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emf" ContentType="image/x-emf"/>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9A36B6C">
      <w:pPr>
        <w:pStyle w:val="56"/>
        <w:rPr>
          <w:rFonts w:hint="eastAsia" w:eastAsia="宋体"/>
          <w:color w:val="000000" w:themeColor="text1"/>
          <w:sz w:val="52"/>
          <w:szCs w:val="44"/>
          <w:lang w:eastAsia="zh-CN"/>
          <w14:textFill>
            <w14:solidFill>
              <w14:schemeClr w14:val="tx1"/>
            </w14:solidFill>
          </w14:textFill>
        </w:rPr>
      </w:pPr>
      <w:r>
        <w:rPr>
          <w:rFonts w:hint="eastAsia" w:eastAsia="宋体"/>
          <w:color w:val="000000" w:themeColor="text1"/>
          <w:sz w:val="52"/>
          <w:szCs w:val="44"/>
          <w:lang w:eastAsia="zh-CN"/>
          <w14:textFill>
            <w14:solidFill>
              <w14:schemeClr w14:val="tx1"/>
            </w14:solidFill>
          </w14:textFill>
        </w:rPr>
        <w:drawing>
          <wp:inline distT="0" distB="0" distL="114300" distR="114300">
            <wp:extent cx="5608955" cy="7924800"/>
            <wp:effectExtent l="0" t="0" r="10795" b="0"/>
            <wp:docPr id="41" name="图片 41" descr="1 首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1 首页"/>
                    <pic:cNvPicPr>
                      <a:picLocks noChangeAspect="1"/>
                    </pic:cNvPicPr>
                  </pic:nvPicPr>
                  <pic:blipFill>
                    <a:blip r:embed="rId19"/>
                    <a:stretch>
                      <a:fillRect/>
                    </a:stretch>
                  </pic:blipFill>
                  <pic:spPr>
                    <a:xfrm>
                      <a:off x="0" y="0"/>
                      <a:ext cx="5608955" cy="7924800"/>
                    </a:xfrm>
                    <a:prstGeom prst="rect">
                      <a:avLst/>
                    </a:prstGeom>
                  </pic:spPr>
                </pic:pic>
              </a:graphicData>
            </a:graphic>
          </wp:inline>
        </w:drawing>
      </w:r>
    </w:p>
    <w:p w14:paraId="7B3A19FA">
      <w:pPr>
        <w:tabs>
          <w:tab w:val="right" w:leader="dot" w:pos="8844"/>
        </w:tabs>
        <w:adjustRightInd w:val="0"/>
        <w:snapToGrid w:val="0"/>
        <w:spacing w:before="0" w:beforeLines="0" w:after="0" w:afterLines="0" w:line="240" w:lineRule="auto"/>
        <w:ind w:left="0" w:leftChars="0" w:right="0" w:rightChars="0" w:firstLine="0" w:firstLineChars="0"/>
        <w:jc w:val="center"/>
        <w:rPr>
          <w:rFonts w:ascii="宋体" w:hAnsi="宋体" w:eastAsia="宋体"/>
          <w:b/>
          <w:bCs/>
          <w:color w:val="000000" w:themeColor="text1"/>
          <w:sz w:val="28"/>
          <w:szCs w:val="28"/>
          <w:highlight w:val="none"/>
          <w14:textFill>
            <w14:solidFill>
              <w14:schemeClr w14:val="tx1"/>
            </w14:solidFill>
          </w14:textFill>
        </w:rPr>
      </w:pPr>
    </w:p>
    <w:p w14:paraId="15A57C71">
      <w:pPr>
        <w:tabs>
          <w:tab w:val="right" w:leader="dot" w:pos="8844"/>
        </w:tabs>
        <w:adjustRightInd w:val="0"/>
        <w:snapToGrid w:val="0"/>
        <w:spacing w:before="0" w:beforeLines="0" w:after="0" w:afterLines="0" w:line="240" w:lineRule="auto"/>
        <w:ind w:left="0" w:leftChars="0" w:right="0" w:rightChars="0" w:firstLine="0" w:firstLineChars="0"/>
        <w:jc w:val="center"/>
        <w:rPr>
          <w:rFonts w:ascii="宋体" w:hAnsi="宋体" w:eastAsia="宋体"/>
          <w:b/>
          <w:bCs/>
          <w:color w:val="000000" w:themeColor="text1"/>
          <w:sz w:val="28"/>
          <w:szCs w:val="28"/>
          <w:highlight w:val="none"/>
          <w14:textFill>
            <w14:solidFill>
              <w14:schemeClr w14:val="tx1"/>
            </w14:solidFill>
          </w14:textFill>
        </w:rPr>
      </w:pPr>
    </w:p>
    <w:p w14:paraId="73BA90D6">
      <w:pPr>
        <w:tabs>
          <w:tab w:val="right" w:leader="dot" w:pos="8844"/>
        </w:tabs>
        <w:adjustRightInd w:val="0"/>
        <w:snapToGrid w:val="0"/>
        <w:spacing w:before="0" w:beforeLines="0" w:after="0" w:afterLines="0" w:line="240" w:lineRule="auto"/>
        <w:ind w:left="0" w:leftChars="0" w:right="0" w:rightChars="0" w:firstLine="0" w:firstLineChars="0"/>
        <w:jc w:val="cente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ascii="宋体" w:hAnsi="宋体" w:eastAsia="宋体"/>
          <w:b/>
          <w:bCs/>
          <w:color w:val="000000" w:themeColor="text1"/>
          <w:sz w:val="28"/>
          <w:szCs w:val="28"/>
          <w:highlight w:val="none"/>
          <w14:textFill>
            <w14:solidFill>
              <w14:schemeClr w14:val="tx1"/>
            </w14:solidFill>
          </w14:textFill>
        </w:rPr>
        <w:t>目</w:t>
      </w:r>
      <w:r>
        <w:rPr>
          <w:rFonts w:hint="eastAsia" w:ascii="宋体" w:hAnsi="宋体" w:eastAsia="宋体"/>
          <w:b/>
          <w:bCs/>
          <w:color w:val="000000" w:themeColor="text1"/>
          <w:sz w:val="28"/>
          <w:szCs w:val="28"/>
          <w:highlight w:val="none"/>
          <w:lang w:val="en-US" w:eastAsia="zh-CN"/>
          <w14:textFill>
            <w14:solidFill>
              <w14:schemeClr w14:val="tx1"/>
            </w14:solidFill>
          </w14:textFill>
        </w:rPr>
        <w:t xml:space="preserve"> </w:t>
      </w:r>
      <w:r>
        <w:rPr>
          <w:rFonts w:ascii="宋体" w:hAnsi="宋体" w:eastAsia="宋体"/>
          <w:b/>
          <w:bCs/>
          <w:color w:val="000000" w:themeColor="text1"/>
          <w:sz w:val="28"/>
          <w:szCs w:val="28"/>
          <w:highlight w:val="none"/>
          <w14:textFill>
            <w14:solidFill>
              <w14:schemeClr w14:val="tx1"/>
            </w14:solidFill>
          </w14:textFill>
        </w:rPr>
        <w:t>录</w: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 w:val="24"/>
          <w:szCs w:val="24"/>
          <w:highlight w:val="none"/>
          <w14:textFill>
            <w14:solidFill>
              <w14:schemeClr w14:val="tx1"/>
            </w14:solidFill>
          </w14:textFill>
        </w:rPr>
        <w:instrText xml:space="preserve">TOC \o "1-1" \h \u </w:instrText>
      </w: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separate"/>
      </w:r>
    </w:p>
    <w:p w14:paraId="7F82E99F">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_Toc17943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一、建设项目基本情况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_Toc17943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8BBD05F">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_Toc14981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二、建设项目工程分析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_Toc14981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A44DEE9">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_Toc13496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三、区域环境质量现状、环境保护目标及评价标准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_Toc13496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66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13C9D9D">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_Toc31582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四、主要环境影响和保护措施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_Toc31582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76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924B6C7">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_Toc5281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五、环境保护措施监督检查清单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_Toc5281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142</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558712F">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_Toc6762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snapToGrid w:val="0"/>
          <w:color w:val="000000" w:themeColor="text1"/>
          <w:szCs w:val="30"/>
          <w:highlight w:val="none"/>
          <w14:textFill>
            <w14:solidFill>
              <w14:schemeClr w14:val="tx1"/>
            </w14:solidFill>
          </w14:textFill>
        </w:rPr>
        <w:t>六、结论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_Toc6762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5339B3B0">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_Toc2248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黑体" w:hAnsi="黑体" w:eastAsia="黑体" w:cs="Times New Roman"/>
          <w:snapToGrid w:val="0"/>
          <w:color w:val="000000" w:themeColor="text1"/>
          <w:kern w:val="0"/>
          <w:szCs w:val="32"/>
          <w:highlight w:val="none"/>
          <w:lang w:val="en-US" w:eastAsia="zh-CN" w:bidi="ar-SA"/>
          <w14:textFill>
            <w14:solidFill>
              <w14:schemeClr w14:val="tx1"/>
            </w14:solidFill>
          </w14:textFill>
        </w:rPr>
        <w:t>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_Toc2248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5803F27E">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_Toc8498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0"/>
          <w:szCs w:val="24"/>
          <w:highlight w:val="none"/>
          <w:lang w:val="en-US" w:eastAsia="zh-CN" w:bidi="ar-SA"/>
          <w14:textFill>
            <w14:solidFill>
              <w14:schemeClr w14:val="tx1"/>
            </w14:solidFill>
          </w14:textFill>
        </w:rPr>
        <w:t>附图1 项目地理位置图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_Toc8498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28F9512F">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_Toc17747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color w:val="000000" w:themeColor="text1"/>
          <w:kern w:val="0"/>
          <w:szCs w:val="20"/>
          <w:highlight w:val="none"/>
          <w:lang w:val="en-US" w:eastAsia="zh-CN" w:bidi="ar-SA"/>
          <w14:textFill>
            <w14:solidFill>
              <w14:schemeClr w14:val="tx1"/>
            </w14:solidFill>
          </w14:textFill>
        </w:rPr>
        <w:t>附图2 项目卫星四至及实景图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_Toc17747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155</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AB4962D">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_Toc2303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1"/>
          <w:highlight w:val="none"/>
          <w14:textFill>
            <w14:solidFill>
              <w14:schemeClr w14:val="tx1"/>
            </w14:solidFill>
          </w14:textFill>
        </w:rPr>
        <w:t>附图</w:t>
      </w:r>
      <w:r>
        <w:rPr>
          <w:rFonts w:hint="eastAsia" w:ascii="Times New Roman" w:eastAsia="宋体"/>
          <w:bCs/>
          <w:color w:val="000000" w:themeColor="text1"/>
          <w:szCs w:val="21"/>
          <w:highlight w:val="none"/>
          <w:lang w:val="en-US" w:eastAsia="zh-CN"/>
          <w14:textFill>
            <w14:solidFill>
              <w14:schemeClr w14:val="tx1"/>
            </w14:solidFill>
          </w14:textFill>
        </w:rPr>
        <w:t>3</w:t>
      </w:r>
      <w:r>
        <w:rPr>
          <w:bCs/>
          <w:color w:val="000000" w:themeColor="text1"/>
          <w:szCs w:val="21"/>
          <w:highlight w:val="none"/>
          <w14:textFill>
            <w14:solidFill>
              <w14:schemeClr w14:val="tx1"/>
            </w14:solidFill>
          </w14:textFill>
        </w:rPr>
        <w:t xml:space="preserve"> </w:t>
      </w:r>
      <w:r>
        <w:rPr>
          <w:rFonts w:hint="eastAsia" w:ascii="Times New Roman" w:eastAsia="宋体"/>
          <w:bCs/>
          <w:color w:val="000000" w:themeColor="text1"/>
          <w:szCs w:val="21"/>
          <w:highlight w:val="none"/>
          <w:lang w:val="en-US" w:eastAsia="zh-CN"/>
          <w14:textFill>
            <w14:solidFill>
              <w14:schemeClr w14:val="tx1"/>
            </w14:solidFill>
          </w14:textFill>
        </w:rPr>
        <w:t>项目</w:t>
      </w:r>
      <w:r>
        <w:rPr>
          <w:bCs/>
          <w:color w:val="000000" w:themeColor="text1"/>
          <w:szCs w:val="21"/>
          <w:highlight w:val="none"/>
          <w14:textFill>
            <w14:solidFill>
              <w14:schemeClr w14:val="tx1"/>
            </w14:solidFill>
          </w14:textFill>
        </w:rPr>
        <w:t>周边现状</w:t>
      </w:r>
      <w:r>
        <w:rPr>
          <w:rFonts w:hint="eastAsia"/>
          <w:bCs/>
          <w:color w:val="000000" w:themeColor="text1"/>
          <w:szCs w:val="21"/>
          <w:highlight w:val="none"/>
          <w14:textFill>
            <w14:solidFill>
              <w14:schemeClr w14:val="tx1"/>
            </w14:solidFill>
          </w14:textFill>
        </w:rPr>
        <w:t>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0603ACD">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_Toc1343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附图</w:t>
      </w:r>
      <w:r>
        <w:rPr>
          <w:rFonts w:hint="eastAsia"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4</w:t>
      </w:r>
      <w:r>
        <w:rPr>
          <w:rFonts w:hint="default"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 xml:space="preserve"> 项目</w:t>
      </w:r>
      <w:r>
        <w:rPr>
          <w:rFonts w:hint="eastAsia"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总</w:t>
      </w:r>
      <w:r>
        <w:rPr>
          <w:rFonts w:hint="default" w:ascii="Times New Roman" w:hAnsi="Times New Roman" w:eastAsia="宋体" w:cs="Times New Roman"/>
          <w:bCs/>
          <w:color w:val="000000" w:themeColor="text1"/>
          <w:kern w:val="0"/>
          <w:szCs w:val="20"/>
          <w:highlight w:val="none"/>
          <w:lang w:val="en-US" w:eastAsia="zh-CN" w:bidi="ar-SA"/>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157</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0661F71">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_Toc29800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5-1</w:t>
      </w:r>
      <w:r>
        <w:rPr>
          <w:rFonts w:hint="default" w:ascii="Times New Roman" w:hAnsi="Times New Roman" w:cs="Times New Roman"/>
          <w:bCs/>
          <w:color w:val="000000" w:themeColor="text1"/>
          <w:highlight w:val="none"/>
          <w14:textFill>
            <w14:solidFill>
              <w14:schemeClr w14:val="tx1"/>
            </w14:solidFill>
          </w14:textFill>
        </w:rPr>
        <w:t xml:space="preserve"> 项目</w:t>
      </w:r>
      <w:r>
        <w:rPr>
          <w:rFonts w:hint="eastAsia" w:ascii="Times New Roman" w:hAnsi="Times New Roman" w:cs="Times New Roman"/>
          <w:bCs/>
          <w:color w:val="000000" w:themeColor="text1"/>
          <w:highlight w:val="none"/>
          <w:lang w:val="en-US" w:eastAsia="zh-CN"/>
          <w14:textFill>
            <w14:solidFill>
              <w14:schemeClr w14:val="tx1"/>
            </w14:solidFill>
          </w14:textFill>
        </w:rPr>
        <w:t>5#厂房</w:t>
      </w:r>
      <w:r>
        <w:rPr>
          <w:rFonts w:hint="default" w:ascii="Times New Roman" w:hAnsi="Times New Roman" w:cs="Times New Roman"/>
          <w:bCs/>
          <w:color w:val="000000" w:themeColor="text1"/>
          <w:highlight w:val="none"/>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_Toc29800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53D460E0">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_Toc3620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highlight w:val="none"/>
          <w14:textFill>
            <w14:solidFill>
              <w14:schemeClr w14:val="tx1"/>
            </w14:solidFill>
          </w14:textFill>
        </w:rPr>
        <w:t>附图</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5-2</w:t>
      </w:r>
      <w:r>
        <w:rPr>
          <w:rFonts w:hint="default" w:ascii="Times New Roman" w:hAnsi="Times New Roman" w:eastAsia="宋体" w:cs="Times New Roman"/>
          <w:bCs/>
          <w:color w:val="000000" w:themeColor="text1"/>
          <w:highlight w:val="none"/>
          <w14:textFill>
            <w14:solidFill>
              <w14:schemeClr w14:val="tx1"/>
            </w14:solidFill>
          </w14:textFill>
        </w:rPr>
        <w:t xml:space="preserve"> 项目</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4#厂房</w:t>
      </w:r>
      <w:r>
        <w:rPr>
          <w:rFonts w:hint="default" w:ascii="Times New Roman" w:hAnsi="Times New Roman" w:eastAsia="宋体" w:cs="Times New Roman"/>
          <w:bCs/>
          <w:color w:val="000000" w:themeColor="text1"/>
          <w:highlight w:val="none"/>
          <w14:textFill>
            <w14:solidFill>
              <w14:schemeClr w14:val="tx1"/>
            </w14:solidFill>
          </w14:textFill>
        </w:rPr>
        <w:t>平面</w:t>
      </w:r>
      <w:r>
        <w:rPr>
          <w:rFonts w:hint="default" w:ascii="Times New Roman" w:hAnsi="Times New Roman" w:cs="Times New Roman"/>
          <w:bCs/>
          <w:color w:val="000000" w:themeColor="text1"/>
          <w:highlight w:val="none"/>
          <w14:textFill>
            <w14:solidFill>
              <w14:schemeClr w14:val="tx1"/>
            </w14:solidFill>
          </w14:textFill>
        </w:rPr>
        <w:t>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_Toc3620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159</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CA12F7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_Toc4729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5-3</w:t>
      </w:r>
      <w:r>
        <w:rPr>
          <w:rFonts w:hint="default" w:ascii="Times New Roman" w:hAnsi="Times New Roman" w:cs="Times New Roman"/>
          <w:bCs/>
          <w:color w:val="000000" w:themeColor="text1"/>
          <w:highlight w:val="none"/>
          <w14:textFill>
            <w14:solidFill>
              <w14:schemeClr w14:val="tx1"/>
            </w14:solidFill>
          </w14:textFill>
        </w:rPr>
        <w:t xml:space="preserve"> 项目</w:t>
      </w:r>
      <w:r>
        <w:rPr>
          <w:rFonts w:hint="eastAsia" w:ascii="Times New Roman" w:hAnsi="Times New Roman" w:cs="Times New Roman"/>
          <w:bCs/>
          <w:color w:val="000000" w:themeColor="text1"/>
          <w:highlight w:val="none"/>
          <w:lang w:val="en-US" w:eastAsia="zh-CN"/>
          <w14:textFill>
            <w14:solidFill>
              <w14:schemeClr w14:val="tx1"/>
            </w14:solidFill>
          </w14:textFill>
        </w:rPr>
        <w:t>3#厂房</w:t>
      </w:r>
      <w:r>
        <w:rPr>
          <w:rFonts w:hint="default" w:ascii="Times New Roman" w:hAnsi="Times New Roman" w:cs="Times New Roman"/>
          <w:bCs/>
          <w:color w:val="000000" w:themeColor="text1"/>
          <w:highlight w:val="none"/>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_Toc4729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7607E54">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_Toc15186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5-4</w:t>
      </w:r>
      <w:r>
        <w:rPr>
          <w:rFonts w:hint="default" w:ascii="Times New Roman" w:hAnsi="Times New Roman" w:cs="Times New Roman"/>
          <w:bCs/>
          <w:color w:val="000000" w:themeColor="text1"/>
          <w:highlight w:val="none"/>
          <w14:textFill>
            <w14:solidFill>
              <w14:schemeClr w14:val="tx1"/>
            </w14:solidFill>
          </w14:textFill>
        </w:rPr>
        <w:t xml:space="preserve"> 项目</w:t>
      </w:r>
      <w:r>
        <w:rPr>
          <w:rFonts w:hint="eastAsia" w:ascii="Times New Roman" w:hAnsi="Times New Roman" w:cs="Times New Roman"/>
          <w:bCs/>
          <w:color w:val="000000" w:themeColor="text1"/>
          <w:highlight w:val="none"/>
          <w:lang w:val="en-US" w:eastAsia="zh-CN"/>
          <w14:textFill>
            <w14:solidFill>
              <w14:schemeClr w14:val="tx1"/>
            </w14:solidFill>
          </w14:textFill>
        </w:rPr>
        <w:t>2#厂房</w:t>
      </w:r>
      <w:r>
        <w:rPr>
          <w:rFonts w:hint="default" w:ascii="Times New Roman" w:hAnsi="Times New Roman" w:cs="Times New Roman"/>
          <w:bCs/>
          <w:color w:val="000000" w:themeColor="text1"/>
          <w:highlight w:val="none"/>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_Toc15186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591D33B">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_Toc24556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5-5</w:t>
      </w:r>
      <w:r>
        <w:rPr>
          <w:rFonts w:hint="default" w:ascii="Times New Roman" w:hAnsi="Times New Roman" w:cs="Times New Roman"/>
          <w:bCs/>
          <w:color w:val="000000" w:themeColor="text1"/>
          <w:highlight w:val="none"/>
          <w14:textFill>
            <w14:solidFill>
              <w14:schemeClr w14:val="tx1"/>
            </w14:solidFill>
          </w14:textFill>
        </w:rPr>
        <w:t xml:space="preserve"> 项目</w:t>
      </w:r>
      <w:r>
        <w:rPr>
          <w:rFonts w:hint="eastAsia" w:ascii="Times New Roman" w:hAnsi="Times New Roman" w:cs="Times New Roman"/>
          <w:bCs/>
          <w:color w:val="000000" w:themeColor="text1"/>
          <w:highlight w:val="none"/>
          <w:lang w:val="en-US" w:eastAsia="zh-CN"/>
          <w14:textFill>
            <w14:solidFill>
              <w14:schemeClr w14:val="tx1"/>
            </w14:solidFill>
          </w14:textFill>
        </w:rPr>
        <w:t>1#厂房</w:t>
      </w:r>
      <w:r>
        <w:rPr>
          <w:rFonts w:hint="default" w:ascii="Times New Roman" w:hAnsi="Times New Roman" w:cs="Times New Roman"/>
          <w:bCs/>
          <w:color w:val="000000" w:themeColor="text1"/>
          <w:highlight w:val="none"/>
          <w14:textFill>
            <w14:solidFill>
              <w14:schemeClr w14:val="tx1"/>
            </w14:solidFill>
          </w14:textFill>
        </w:rPr>
        <w:t>平面布置图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_Toc24556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162</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0757C21">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_Toc4763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6</w:t>
      </w:r>
      <w:r>
        <w:rPr>
          <w:rFonts w:hint="default" w:ascii="Times New Roman" w:hAnsi="Times New Roman" w:cs="Times New Roman"/>
          <w:bCs/>
          <w:color w:val="000000" w:themeColor="text1"/>
          <w:highlight w:val="none"/>
          <w14:textFill>
            <w14:solidFill>
              <w14:schemeClr w14:val="tx1"/>
            </w14:solidFill>
          </w14:textFill>
        </w:rPr>
        <w:t xml:space="preserve"> </w:t>
      </w:r>
      <w:r>
        <w:rPr>
          <w:rFonts w:hint="eastAsia" w:cs="Times New Roman"/>
          <w:bCs/>
          <w:color w:val="000000" w:themeColor="text1"/>
          <w:highlight w:val="none"/>
          <w:lang w:val="en-US" w:eastAsia="zh-CN"/>
          <w14:textFill>
            <w14:solidFill>
              <w14:schemeClr w14:val="tx1"/>
            </w14:solidFill>
          </w14:textFill>
        </w:rPr>
        <w:t>项目所在区域大气</w:t>
      </w:r>
      <w:r>
        <w:rPr>
          <w:rFonts w:hint="eastAsia" w:ascii="Times New Roman" w:hAnsi="Times New Roman" w:cs="Times New Roman"/>
          <w:bCs/>
          <w:color w:val="000000" w:themeColor="text1"/>
          <w:highlight w:val="none"/>
          <w:lang w:val="en-US" w:eastAsia="zh-CN"/>
          <w14:textFill>
            <w14:solidFill>
              <w14:schemeClr w14:val="tx1"/>
            </w14:solidFill>
          </w14:textFill>
        </w:rPr>
        <w:t>环境</w:t>
      </w:r>
      <w:r>
        <w:rPr>
          <w:rFonts w:hint="default" w:ascii="Times New Roman" w:hAnsi="Times New Roman" w:cs="Times New Roman"/>
          <w:bCs/>
          <w:color w:val="000000" w:themeColor="text1"/>
          <w:highlight w:val="none"/>
          <w14:textFill>
            <w14:solidFill>
              <w14:schemeClr w14:val="tx1"/>
            </w14:solidFill>
          </w14:textFill>
        </w:rPr>
        <w:t>功能区划图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_Toc4763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163</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F65021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_Toc24394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7</w:t>
      </w:r>
      <w:r>
        <w:rPr>
          <w:rFonts w:hint="default" w:ascii="Times New Roman" w:hAnsi="Times New Roman" w:cs="Times New Roman"/>
          <w:bCs/>
          <w:color w:val="000000" w:themeColor="text1"/>
          <w:highlight w:val="none"/>
          <w14:textFill>
            <w14:solidFill>
              <w14:schemeClr w14:val="tx1"/>
            </w14:solidFill>
          </w14:textFill>
        </w:rPr>
        <w:t xml:space="preserve"> 环境空气质量现状</w:t>
      </w:r>
      <w:r>
        <w:rPr>
          <w:rFonts w:hint="eastAsia" w:ascii="Times New Roman" w:hAnsi="Times New Roman" w:cs="Times New Roman"/>
          <w:bCs/>
          <w:color w:val="000000" w:themeColor="text1"/>
          <w:highlight w:val="none"/>
          <w:lang w:val="en-US" w:eastAsia="zh-CN"/>
          <w14:textFill>
            <w14:solidFill>
              <w14:schemeClr w14:val="tx1"/>
            </w14:solidFill>
          </w14:textFill>
        </w:rPr>
        <w:t>引用</w:t>
      </w:r>
      <w:r>
        <w:rPr>
          <w:rFonts w:hint="default" w:ascii="Times New Roman" w:hAnsi="Times New Roman" w:cs="Times New Roman"/>
          <w:bCs/>
          <w:color w:val="000000" w:themeColor="text1"/>
          <w:highlight w:val="none"/>
          <w14:textFill>
            <w14:solidFill>
              <w14:schemeClr w14:val="tx1"/>
            </w14:solidFill>
          </w14:textFill>
        </w:rPr>
        <w:t>监测布点示意图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_Toc24394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0246C8C9">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_Toc14457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附图</w:t>
      </w:r>
      <w:r>
        <w:rPr>
          <w:rFonts w:hint="eastAsia" w:ascii="Times New Roman" w:hAnsi="Times New Roman" w:cs="Times New Roman"/>
          <w:bCs/>
          <w:color w:val="000000" w:themeColor="text1"/>
          <w:highlight w:val="none"/>
          <w:lang w:val="en-US" w:eastAsia="zh-CN"/>
          <w14:textFill>
            <w14:solidFill>
              <w14:schemeClr w14:val="tx1"/>
            </w14:solidFill>
          </w14:textFill>
        </w:rPr>
        <w:t>8</w:t>
      </w:r>
      <w:r>
        <w:rPr>
          <w:rFonts w:hint="default" w:ascii="Times New Roman" w:hAnsi="Times New Roman" w:cs="Times New Roman"/>
          <w:bCs/>
          <w:color w:val="000000" w:themeColor="text1"/>
          <w:highlight w:val="none"/>
          <w14:textFill>
            <w14:solidFill>
              <w14:schemeClr w14:val="tx1"/>
            </w14:solidFill>
          </w14:textFill>
        </w:rPr>
        <w:t xml:space="preserve"> </w:t>
      </w:r>
      <w:r>
        <w:rPr>
          <w:rFonts w:hint="eastAsia" w:cs="Times New Roman"/>
          <w:bCs/>
          <w:color w:val="000000" w:themeColor="text1"/>
          <w:highlight w:val="none"/>
          <w:lang w:val="en-US" w:eastAsia="zh-CN"/>
          <w14:textFill>
            <w14:solidFill>
              <w14:schemeClr w14:val="tx1"/>
            </w14:solidFill>
          </w14:textFill>
        </w:rPr>
        <w:t>项目周边水系</w:t>
      </w:r>
      <w:r>
        <w:rPr>
          <w:rFonts w:hint="default" w:ascii="Times New Roman" w:hAnsi="Times New Roman" w:cs="Times New Roman"/>
          <w:bCs/>
          <w:color w:val="000000" w:themeColor="text1"/>
          <w:highlight w:val="none"/>
          <w14:textFill>
            <w14:solidFill>
              <w14:schemeClr w14:val="tx1"/>
            </w14:solidFill>
          </w14:textFill>
        </w:rPr>
        <w:t>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_Toc14457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165</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D1EEF9F">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_Toc26349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附图</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9</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 xml:space="preserve"> </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项目所在区域声环境</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功能区</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区</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划图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_Toc26349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C074183">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_Toc1661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附图10 韶关乐昌经济开发区周边主要饮用水源保护区分布图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_Toc1661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167</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3D1F9A8">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_Toc23610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highlight w:val="none"/>
          <w14:textFill>
            <w14:solidFill>
              <w14:schemeClr w14:val="tx1"/>
            </w14:solidFill>
          </w14:textFill>
        </w:rPr>
        <w:t>附</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图</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11</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 xml:space="preserve"> </w:t>
      </w:r>
      <w:r>
        <w:rPr>
          <w:rFonts w:hint="eastAsia"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项目周边</w:t>
      </w:r>
      <w:r>
        <w:rPr>
          <w:rFonts w:hint="default" w:ascii="Times New Roman" w:hAnsi="Times New Roman" w:eastAsia="宋体" w:cs="Times New Roman"/>
          <w:bCs/>
          <w:color w:val="000000" w:themeColor="text1"/>
          <w:kern w:val="2"/>
          <w:szCs w:val="20"/>
          <w:highlight w:val="none"/>
          <w:lang w:val="en-US" w:eastAsia="zh-CN" w:bidi="ar-SA"/>
          <w14:textFill>
            <w14:solidFill>
              <w14:schemeClr w14:val="tx1"/>
            </w14:solidFill>
          </w14:textFill>
        </w:rPr>
        <w:t>环境</w:t>
      </w:r>
      <w:r>
        <w:rPr>
          <w:rFonts w:hint="default" w:ascii="Times New Roman" w:hAnsi="Times New Roman" w:eastAsia="宋体" w:cs="Times New Roman"/>
          <w:bCs/>
          <w:color w:val="000000" w:themeColor="text1"/>
          <w:highlight w:val="none"/>
          <w:lang w:val="en-US" w:eastAsia="zh-CN"/>
          <w14:textFill>
            <w14:solidFill>
              <w14:schemeClr w14:val="tx1"/>
            </w14:solidFill>
          </w14:textFill>
        </w:rPr>
        <w:t>保护目标分布</w:t>
      </w:r>
      <w:r>
        <w:rPr>
          <w:rFonts w:hint="default" w:ascii="Times New Roman" w:hAnsi="Times New Roman" w:eastAsia="宋体" w:cs="Times New Roman"/>
          <w:bCs/>
          <w:color w:val="000000" w:themeColor="text1"/>
          <w:highlight w:val="none"/>
          <w14:textFill>
            <w14:solidFill>
              <w14:schemeClr w14:val="tx1"/>
            </w14:solidFill>
          </w14:textFill>
        </w:rPr>
        <w:t>示意图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_Toc23610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431127F">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_Toc24107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highlight w:val="none"/>
          <w14:textFill>
            <w14:solidFill>
              <w14:schemeClr w14:val="tx1"/>
            </w14:solidFill>
          </w14:textFill>
        </w:rPr>
        <w:t>附图</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12</w:t>
      </w:r>
      <w:r>
        <w:rPr>
          <w:rFonts w:hint="default" w:ascii="Times New Roman" w:hAnsi="Times New Roman" w:eastAsia="宋体" w:cs="Times New Roman"/>
          <w:bCs/>
          <w:color w:val="000000" w:themeColor="text1"/>
          <w:highlight w:val="none"/>
          <w14:textFill>
            <w14:solidFill>
              <w14:schemeClr w14:val="tx1"/>
            </w14:solidFill>
          </w14:textFill>
        </w:rPr>
        <w:t xml:space="preserve"> </w:t>
      </w:r>
      <w:r>
        <w:rPr>
          <w:rFonts w:hint="eastAsia" w:ascii="Times New Roman" w:hAnsi="Times New Roman" w:cs="Times New Roman"/>
          <w:bCs/>
          <w:color w:val="000000" w:themeColor="text1"/>
          <w:highlight w:val="none"/>
          <w:lang w:val="en-US" w:eastAsia="zh-CN"/>
          <w14:textFill>
            <w14:solidFill>
              <w14:schemeClr w14:val="tx1"/>
            </w14:solidFill>
          </w14:textFill>
        </w:rPr>
        <w:t>韶关乐</w:t>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昌经济开发区</w:t>
      </w:r>
      <w:r>
        <w:rPr>
          <w:rFonts w:hint="default" w:ascii="Times New Roman" w:hAnsi="Times New Roman" w:eastAsia="宋体" w:cs="Times New Roman"/>
          <w:bCs/>
          <w:color w:val="000000" w:themeColor="text1"/>
          <w:highlight w:val="none"/>
          <w:lang w:val="en-US" w:eastAsia="zh-CN"/>
          <w14:textFill>
            <w14:solidFill>
              <w14:schemeClr w14:val="tx1"/>
            </w14:solidFill>
          </w14:textFill>
        </w:rPr>
        <w:t>城东片区控制性详细规划</w:t>
      </w:r>
      <w:r>
        <w:rPr>
          <w:rFonts w:hint="eastAsia" w:ascii="Times New Roman" w:hAnsi="Times New Roman" w:eastAsia="宋体" w:cs="Times New Roman"/>
          <w:bCs/>
          <w:color w:val="000000" w:themeColor="text1"/>
          <w:highlight w:val="none"/>
          <w14:textFill>
            <w14:solidFill>
              <w14:schemeClr w14:val="tx1"/>
            </w14:solidFill>
          </w14:textFill>
        </w:rPr>
        <w:t>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_Toc24107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169</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4474529">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_Toc11664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附图13 项目与广东省“三区三线”的位置关系</w:t>
      </w:r>
      <w:r>
        <w:rPr>
          <w:rFonts w:hint="default"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_Toc11664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D18C77D">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_Toc25512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附图14-3 广东省</w:t>
      </w:r>
      <w:r>
        <w:rPr>
          <w:rFonts w:hint="eastAsia" w:eastAsia="宋体....." w:cs="Times New Roman"/>
          <w:bCs/>
          <w:color w:val="000000" w:themeColor="text1"/>
          <w:kern w:val="2"/>
          <w:szCs w:val="24"/>
          <w:highlight w:val="none"/>
          <w:lang w:val="en-US" w:eastAsia="zh-CN" w:bidi="ar-SA"/>
          <w14:textFill>
            <w14:solidFill>
              <w14:schemeClr w14:val="tx1"/>
            </w14:solidFill>
          </w14:textFill>
        </w:rPr>
        <w:t>生态环境分区</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管控</w:t>
      </w:r>
      <w:r>
        <w:rPr>
          <w:rFonts w:hint="eastAsia" w:eastAsia="宋体....." w:cs="Times New Roman"/>
          <w:bCs/>
          <w:color w:val="000000" w:themeColor="text1"/>
          <w:kern w:val="2"/>
          <w:szCs w:val="24"/>
          <w:highlight w:val="none"/>
          <w:lang w:val="en-US" w:eastAsia="zh-CN" w:bidi="ar-SA"/>
          <w14:textFill>
            <w14:solidFill>
              <w14:schemeClr w14:val="tx1"/>
            </w14:solidFill>
          </w14:textFill>
        </w:rPr>
        <w:t>信息平台</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水环境管控分区截图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_Toc25512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173</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B0306F0">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_Toc10425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附图14-4 广东省</w:t>
      </w:r>
      <w:r>
        <w:rPr>
          <w:rFonts w:hint="eastAsia" w:eastAsia="宋体....." w:cs="Times New Roman"/>
          <w:bCs/>
          <w:color w:val="000000" w:themeColor="text1"/>
          <w:kern w:val="2"/>
          <w:szCs w:val="24"/>
          <w:highlight w:val="none"/>
          <w:lang w:val="en-US" w:eastAsia="zh-CN" w:bidi="ar-SA"/>
          <w14:textFill>
            <w14:solidFill>
              <w14:schemeClr w14:val="tx1"/>
            </w14:solidFill>
          </w14:textFill>
        </w:rPr>
        <w:t>生态环境分区管控信息平台</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大气环境管控分区截图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_Toc10425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38FFB4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_Toc26344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附图14-5 广东省</w:t>
      </w:r>
      <w:r>
        <w:rPr>
          <w:rFonts w:hint="eastAsia" w:eastAsia="宋体....." w:cs="Times New Roman"/>
          <w:bCs/>
          <w:color w:val="000000" w:themeColor="text1"/>
          <w:kern w:val="2"/>
          <w:szCs w:val="24"/>
          <w:highlight w:val="none"/>
          <w:lang w:val="en-US" w:eastAsia="zh-CN" w:bidi="ar-SA"/>
          <w14:textFill>
            <w14:solidFill>
              <w14:schemeClr w14:val="tx1"/>
            </w14:solidFill>
          </w14:textFill>
        </w:rPr>
        <w:t>生态环境分区管控信息平台</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高污染燃料禁燃区截图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_Toc26344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175</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5AE437AD">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_Toc31205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5</w:t>
      </w:r>
      <w:r>
        <w:rPr>
          <w:rFonts w:hint="default"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 xml:space="preserve"> </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韶关乐</w:t>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昌经济开发区</w:t>
      </w:r>
      <w:r>
        <w:rPr>
          <w:rFonts w:hint="default"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管网分布图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_Toc31205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2C85FB9A">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_Toc14143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附图16  项目所在区域</w:t>
      </w:r>
      <w:r>
        <w:rPr>
          <w:rFonts w:hint="default" w:ascii="Times New Roman" w:hAnsi="Times New Roman" w:eastAsia="宋体....." w:cs="Times New Roman"/>
          <w:bCs/>
          <w:color w:val="000000" w:themeColor="text1"/>
          <w:kern w:val="2"/>
          <w:szCs w:val="24"/>
          <w:highlight w:val="none"/>
          <w:lang w:val="en-US" w:eastAsia="en-US" w:bidi="ar-SA"/>
          <w14:textFill>
            <w14:solidFill>
              <w14:schemeClr w14:val="tx1"/>
            </w14:solidFill>
          </w14:textFill>
        </w:rPr>
        <w:t>土地利用规划图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_Toc14143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177</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82756B0">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_Toc16243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附图17  项目所在区域生态红线分布图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_Toc16243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92C265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_Toc15485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SA"/>
          <w14:textFill>
            <w14:solidFill>
              <w14:schemeClr w14:val="tx1"/>
            </w14:solidFill>
          </w14:textFill>
        </w:rPr>
        <w:t>附图18  项目周边永久农田、耕地、园地分布图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_Toc15485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179</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5207496">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_Toc16666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color w:val="000000" w:themeColor="text1"/>
          <w:highlight w:val="none"/>
          <w14:textFill>
            <w14:solidFill>
              <w14:schemeClr w14:val="tx1"/>
            </w14:solidFill>
          </w14:textFill>
        </w:rPr>
        <w:t>附件</w:t>
      </w:r>
      <w:r>
        <w:rPr>
          <w:rFonts w:hint="eastAsia" w:ascii="Times New Roman" w:hAnsi="Times New Roman" w:cs="Times New Roman"/>
          <w:color w:val="000000" w:themeColor="text1"/>
          <w:highlight w:val="none"/>
          <w:lang w:val="en-US" w:eastAsia="zh-CN"/>
          <w14:textFill>
            <w14:solidFill>
              <w14:schemeClr w14:val="tx1"/>
            </w14:solidFill>
          </w14:textFill>
        </w:rPr>
        <w:t>1</w:t>
      </w:r>
      <w:r>
        <w:rPr>
          <w:rFonts w:hint="default" w:ascii="Times New Roman" w:hAnsi="Times New Roman" w:cs="Times New Roman"/>
          <w:color w:val="000000" w:themeColor="text1"/>
          <w:highlight w:val="none"/>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营业执照</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_Toc16666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6EE44F7">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_Toc18951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附件</w:t>
      </w:r>
      <w:r>
        <w:rPr>
          <w:rFonts w:hint="eastAsia" w:ascii="Times New Roman" w:hAnsi="Times New Roman" w:cs="Times New Roman"/>
          <w:bCs/>
          <w:color w:val="000000" w:themeColor="text1"/>
          <w:highlight w:val="none"/>
          <w:lang w:val="en-US" w:eastAsia="zh-CN"/>
          <w14:textFill>
            <w14:solidFill>
              <w14:schemeClr w14:val="tx1"/>
            </w14:solidFill>
          </w14:textFill>
        </w:rPr>
        <w:t>2</w:t>
      </w:r>
      <w:r>
        <w:rPr>
          <w:rFonts w:hint="default" w:ascii="Times New Roman" w:hAnsi="Times New Roman" w:cs="Times New Roman"/>
          <w:bCs/>
          <w:color w:val="000000" w:themeColor="text1"/>
          <w:highlight w:val="none"/>
          <w14:textFill>
            <w14:solidFill>
              <w14:schemeClr w14:val="tx1"/>
            </w14:solidFill>
          </w14:textFill>
        </w:rPr>
        <w:t>：法人身份证复印件</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_Toc18951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BCF0724">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_Toc3366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highlight w:val="none"/>
          <w:lang w:val="en-US" w:eastAsia="zh-CN"/>
          <w14:textFill>
            <w14:solidFill>
              <w14:schemeClr w14:val="tx1"/>
            </w14:solidFill>
          </w14:textFill>
        </w:rPr>
        <w:t>附件3：不动产权证</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_Toc3366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182</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2056E2F8">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_Toc900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default" w:ascii="Times New Roman" w:hAnsi="Times New Roman" w:cs="Times New Roman"/>
          <w:bCs/>
          <w:color w:val="000000" w:themeColor="text1"/>
          <w:highlight w:val="none"/>
          <w14:textFill>
            <w14:solidFill>
              <w14:schemeClr w14:val="tx1"/>
            </w14:solidFill>
          </w14:textFill>
        </w:rPr>
        <w:t>附件</w:t>
      </w:r>
      <w:r>
        <w:rPr>
          <w:rFonts w:hint="eastAsia" w:ascii="Times New Roman" w:hAnsi="Times New Roman" w:cs="Times New Roman"/>
          <w:bCs/>
          <w:color w:val="000000" w:themeColor="text1"/>
          <w:highlight w:val="none"/>
          <w:lang w:val="en-US" w:eastAsia="zh-CN"/>
          <w14:textFill>
            <w14:solidFill>
              <w14:schemeClr w14:val="tx1"/>
            </w14:solidFill>
          </w14:textFill>
        </w:rPr>
        <w:t>4</w:t>
      </w:r>
      <w:r>
        <w:rPr>
          <w:rFonts w:hint="default" w:ascii="Times New Roman" w:hAnsi="Times New Roman" w:cs="Times New Roman"/>
          <w:bCs/>
          <w:color w:val="000000" w:themeColor="text1"/>
          <w:highlight w:val="none"/>
          <w14:textFill>
            <w14:solidFill>
              <w14:schemeClr w14:val="tx1"/>
            </w14:solidFill>
          </w14:textFill>
        </w:rPr>
        <w:t>：</w:t>
      </w:r>
      <w:r>
        <w:rPr>
          <w:rFonts w:hint="default" w:ascii="Times New Roman" w:hAnsi="Times New Roman" w:cs="Times New Roman"/>
          <w:bCs/>
          <w:color w:val="000000" w:themeColor="text1"/>
          <w:highlight w:val="none"/>
          <w:lang w:val="en-US" w:eastAsia="zh-CN"/>
          <w14:textFill>
            <w14:solidFill>
              <w14:schemeClr w14:val="tx1"/>
            </w14:solidFill>
          </w14:textFill>
        </w:rPr>
        <w:t>备案证</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_Toc900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183</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6EF8039">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_Toc5358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5-1</w:t>
      </w:r>
      <w:r>
        <w:rPr>
          <w:bCs/>
          <w:color w:val="000000" w:themeColor="text1"/>
          <w:szCs w:val="24"/>
          <w:highlight w:val="none"/>
          <w14:textFill>
            <w14:solidFill>
              <w14:schemeClr w14:val="tx1"/>
            </w14:solidFill>
          </w14:textFill>
        </w:rPr>
        <w:t xml:space="preserve"> </w:t>
      </w:r>
      <w:r>
        <w:rPr>
          <w:rFonts w:hint="eastAsia"/>
          <w:bCs/>
          <w:color w:val="000000" w:themeColor="text1"/>
          <w:szCs w:val="24"/>
          <w:highlight w:val="none"/>
          <w14:textFill>
            <w14:solidFill>
              <w14:schemeClr w14:val="tx1"/>
            </w14:solidFill>
          </w14:textFill>
        </w:rPr>
        <w:t>除油剂</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_Toc5358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9D2B352">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_Toc10257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5-2</w:t>
      </w:r>
      <w:r>
        <w:rPr>
          <w:bCs/>
          <w:color w:val="000000" w:themeColor="text1"/>
          <w:szCs w:val="24"/>
          <w:highlight w:val="none"/>
          <w14:textFill>
            <w14:solidFill>
              <w14:schemeClr w14:val="tx1"/>
            </w14:solidFill>
          </w14:textFill>
        </w:rPr>
        <w:t xml:space="preserve"> </w:t>
      </w:r>
      <w:r>
        <w:rPr>
          <w:rFonts w:hint="eastAsia"/>
          <w:bCs/>
          <w:color w:val="000000" w:themeColor="text1"/>
          <w:szCs w:val="24"/>
          <w:highlight w:val="none"/>
          <w14:textFill>
            <w14:solidFill>
              <w14:schemeClr w14:val="tx1"/>
            </w14:solidFill>
          </w14:textFill>
        </w:rPr>
        <w:t>无铬钝化剂</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_Toc10257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185</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A34AAC9">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_Toc27056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5-3</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底漆</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_Toc27056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197</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7DA276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_Toc42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5-4</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面漆</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_Toc42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204</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95BB9FB">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_Toc1385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5-5</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清漆</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_Toc1385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DAB76BA">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_Toc19354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5-6</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稀释剂</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_Toc19354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7299AAA3">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_Toc10093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5-7</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32"/>
          <w:highlight w:val="none"/>
          <w:lang w:val="en-US" w:eastAsia="zh-CN"/>
          <w14:textFill>
            <w14:solidFill>
              <w14:schemeClr w14:val="tx1"/>
            </w14:solidFill>
          </w14:textFill>
        </w:rPr>
        <w:t>粉末涂料</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_Toc10093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226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25C11EC1">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_Toc14389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w:t>
      </w:r>
      <w:r>
        <w:rPr>
          <w:rFonts w:hint="eastAsia"/>
          <w:bCs/>
          <w:color w:val="000000" w:themeColor="text1"/>
          <w:szCs w:val="24"/>
          <w:highlight w:val="none"/>
          <w:lang w:val="en-US" w:eastAsia="zh-CN" w:bidi="ar"/>
          <w14:textFill>
            <w14:solidFill>
              <w14:schemeClr w14:val="tx1"/>
            </w14:solidFill>
          </w14:textFill>
        </w:rPr>
        <w:t>8</w:t>
      </w:r>
      <w:r>
        <w:rPr>
          <w:bCs/>
          <w:color w:val="000000" w:themeColor="text1"/>
          <w:szCs w:val="24"/>
          <w:highlight w:val="none"/>
          <w14:textFill>
            <w14:solidFill>
              <w14:schemeClr w14:val="tx1"/>
            </w14:solidFill>
          </w14:textFill>
        </w:rPr>
        <w:t xml:space="preserve"> </w:t>
      </w:r>
      <w:r>
        <w:rPr>
          <w:rFonts w:hint="eastAsia"/>
          <w:bCs/>
          <w:color w:val="000000" w:themeColor="text1"/>
          <w:szCs w:val="24"/>
          <w:highlight w:val="none"/>
          <w:lang w:val="en-US" w:eastAsia="zh-CN"/>
          <w14:textFill>
            <w14:solidFill>
              <w14:schemeClr w14:val="tx1"/>
            </w14:solidFill>
          </w14:textFill>
        </w:rPr>
        <w:t>清洗剂</w:t>
      </w:r>
      <w:r>
        <w:rPr>
          <w:bCs/>
          <w:color w:val="000000" w:themeColor="text1"/>
          <w:szCs w:val="24"/>
          <w:highlight w:val="none"/>
          <w:lang w:bidi="ar"/>
          <w14:textFill>
            <w14:solidFill>
              <w14:schemeClr w14:val="tx1"/>
            </w14:solidFill>
          </w14:textFill>
        </w:rPr>
        <w:t>MSDS报告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_Toc14389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230</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4FBCDA9">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_Toc19146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bCs/>
          <w:color w:val="000000" w:themeColor="text1"/>
          <w:szCs w:val="24"/>
          <w:highlight w:val="none"/>
          <w:lang w:bidi="ar"/>
          <w14:textFill>
            <w14:solidFill>
              <w14:schemeClr w14:val="tx1"/>
            </w14:solidFill>
          </w14:textFill>
        </w:rPr>
        <w:t>附件</w:t>
      </w:r>
      <w:r>
        <w:rPr>
          <w:rFonts w:hint="eastAsia" w:ascii="Times New Roman" w:eastAsia="宋体"/>
          <w:bCs/>
          <w:color w:val="000000" w:themeColor="text1"/>
          <w:szCs w:val="24"/>
          <w:highlight w:val="none"/>
          <w:lang w:val="en-US" w:eastAsia="zh-CN" w:bidi="ar"/>
          <w14:textFill>
            <w14:solidFill>
              <w14:schemeClr w14:val="tx1"/>
            </w14:solidFill>
          </w14:textFill>
        </w:rPr>
        <w:t>5-</w:t>
      </w:r>
      <w:r>
        <w:rPr>
          <w:rFonts w:hint="eastAsia"/>
          <w:bCs/>
          <w:color w:val="000000" w:themeColor="text1"/>
          <w:szCs w:val="24"/>
          <w:highlight w:val="none"/>
          <w:lang w:val="en-US" w:eastAsia="zh-CN" w:bidi="ar"/>
          <w14:textFill>
            <w14:solidFill>
              <w14:schemeClr w14:val="tx1"/>
            </w14:solidFill>
          </w14:textFill>
        </w:rPr>
        <w:t>9</w:t>
      </w:r>
      <w:r>
        <w:rPr>
          <w:bCs/>
          <w:color w:val="000000" w:themeColor="text1"/>
          <w:szCs w:val="24"/>
          <w:highlight w:val="none"/>
          <w14:textFill>
            <w14:solidFill>
              <w14:schemeClr w14:val="tx1"/>
            </w14:solidFill>
          </w14:textFill>
        </w:rPr>
        <w:t xml:space="preserve"> </w:t>
      </w:r>
      <w:r>
        <w:rPr>
          <w:rFonts w:hint="eastAsia" w:ascii="Times New Roman" w:eastAsia="宋体"/>
          <w:bCs/>
          <w:color w:val="000000" w:themeColor="text1"/>
          <w:szCs w:val="24"/>
          <w:highlight w:val="none"/>
          <w:lang w:val="en-US" w:eastAsia="zh-CN"/>
          <w14:textFill>
            <w14:solidFill>
              <w14:schemeClr w14:val="tx1"/>
            </w14:solidFill>
          </w14:textFill>
        </w:rPr>
        <w:t>油漆和粉末涂料VOCs含量检测</w:t>
      </w:r>
      <w:r>
        <w:rPr>
          <w:bCs/>
          <w:color w:val="000000" w:themeColor="text1"/>
          <w:szCs w:val="24"/>
          <w:highlight w:val="none"/>
          <w:lang w:bidi="ar"/>
          <w14:textFill>
            <w14:solidFill>
              <w14:schemeClr w14:val="tx1"/>
            </w14:solidFill>
          </w14:textFill>
        </w:rPr>
        <w:t>报告</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_Toc19146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46E35B3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_Toc28463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hAnsi="Times New Roman" w:eastAsia="宋体" w:cs="Times New Roman"/>
          <w:bCs/>
          <w:color w:val="000000" w:themeColor="text1"/>
          <w:kern w:val="2"/>
          <w:szCs w:val="24"/>
          <w:highlight w:val="none"/>
          <w:lang w:val="en-US" w:eastAsia="zh-CN" w:bidi="ar"/>
          <w14:textFill>
            <w14:solidFill>
              <w14:schemeClr w14:val="tx1"/>
            </w14:solidFill>
          </w14:textFill>
        </w:rPr>
        <w:t>附件6 环境质量现状监测报告（摘录部分）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_Toc28463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253</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6EBE7D43">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_Toc11455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eastAsia="宋体"/>
          <w:bCs/>
          <w:color w:val="000000" w:themeColor="text1"/>
          <w:szCs w:val="24"/>
          <w:highlight w:val="none"/>
          <w:lang w:val="en-US" w:eastAsia="zh-CN"/>
          <w14:textFill>
            <w14:solidFill>
              <w14:schemeClr w14:val="tx1"/>
            </w14:solidFill>
          </w14:textFill>
        </w:rPr>
        <w:t>附件7 武江中钛的监测数据（引用摘录）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_Toc11455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261</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37DBE45C">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_Toc30277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ascii="Times New Roman" w:eastAsia="宋体"/>
          <w:bCs/>
          <w:color w:val="000000" w:themeColor="text1"/>
          <w:szCs w:val="24"/>
          <w:highlight w:val="none"/>
          <w:lang w:val="en-US" w:eastAsia="zh-CN"/>
          <w14:textFill>
            <w14:solidFill>
              <w14:schemeClr w14:val="tx1"/>
            </w14:solidFill>
          </w14:textFill>
        </w:rPr>
        <w:t>附件8 废水水质监测报告（引用摘录）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_Toc30277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266</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0EED8ED7">
      <w:pPr>
        <w:pStyle w:val="40"/>
        <w:tabs>
          <w:tab w:val="right" w:leader="dot" w:pos="8844"/>
        </w:tabs>
        <w:rPr>
          <w:color w:val="000000" w:themeColor="text1"/>
          <w14:textFill>
            <w14:solidFill>
              <w14:schemeClr w14:val="tx1"/>
            </w14:solidFill>
          </w14:textFill>
        </w:rPr>
      </w:pPr>
      <w:r>
        <w:rPr>
          <w:rFonts w:hint="default" w:ascii="Times New Roman" w:hAnsi="Times New Roman" w:eastAsia="宋体" w:cs="Times New Roman"/>
          <w:color w:val="000000" w:themeColor="text1"/>
          <w:szCs w:val="24"/>
          <w:highlight w:val="none"/>
          <w14:textFill>
            <w14:solidFill>
              <w14:schemeClr w14:val="tx1"/>
            </w14:solidFill>
          </w14:textFill>
        </w:rPr>
        <w:fldChar w:fldCharType="begin"/>
      </w:r>
      <w:r>
        <w:rPr>
          <w:rFonts w:hint="default" w:ascii="Times New Roman" w:hAnsi="Times New Roman" w:eastAsia="宋体" w:cs="Times New Roman"/>
          <w:color w:val="000000" w:themeColor="text1"/>
          <w:szCs w:val="24"/>
          <w:highlight w:val="none"/>
          <w14:textFill>
            <w14:solidFill>
              <w14:schemeClr w14:val="tx1"/>
            </w14:solidFill>
          </w14:textFill>
        </w:rPr>
        <w:instrText xml:space="preserve"> HYPERLINK \l _Toc19394 </w:instrText>
      </w:r>
      <w:r>
        <w:rPr>
          <w:rFonts w:hint="default" w:ascii="Times New Roman" w:hAnsi="Times New Roman" w:eastAsia="宋体" w:cs="Times New Roman"/>
          <w:color w:val="000000" w:themeColor="text1"/>
          <w:szCs w:val="24"/>
          <w:highlight w:val="none"/>
          <w14:textFill>
            <w14:solidFill>
              <w14:schemeClr w14:val="tx1"/>
            </w14:solidFill>
          </w14:textFill>
        </w:rPr>
        <w:fldChar w:fldCharType="separate"/>
      </w:r>
      <w:r>
        <w:rPr>
          <w:rFonts w:hint="eastAsia" w:cs="Times New Roman"/>
          <w:bCs/>
          <w:color w:val="000000" w:themeColor="text1"/>
          <w:szCs w:val="24"/>
          <w:highlight w:val="none"/>
          <w:lang w:val="en-US" w:eastAsia="zh-CN"/>
          <w14:textFill>
            <w14:solidFill>
              <w14:schemeClr w14:val="tx1"/>
            </w14:solidFill>
          </w14:textFill>
        </w:rPr>
        <w:t>附件9 总量替代指标来源复函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_Toc19394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268</w:t>
      </w:r>
      <w:r>
        <w:rPr>
          <w:color w:val="000000" w:themeColor="text1"/>
          <w14:textFill>
            <w14:solidFill>
              <w14:schemeClr w14:val="tx1"/>
            </w14:solidFill>
          </w14:textFill>
        </w:rPr>
        <w:fldChar w:fldCharType="end"/>
      </w:r>
      <w:r>
        <w:rPr>
          <w:rFonts w:hint="default" w:ascii="Times New Roman" w:hAnsi="Times New Roman" w:eastAsia="宋体" w:cs="Times New Roman"/>
          <w:color w:val="000000" w:themeColor="text1"/>
          <w:szCs w:val="24"/>
          <w:highlight w:val="none"/>
          <w14:textFill>
            <w14:solidFill>
              <w14:schemeClr w14:val="tx1"/>
            </w14:solidFill>
          </w14:textFill>
        </w:rPr>
        <w:fldChar w:fldCharType="end"/>
      </w:r>
    </w:p>
    <w:p w14:paraId="1ACE1FDC">
      <w:pPr>
        <w:pStyle w:val="40"/>
        <w:tabs>
          <w:tab w:val="right" w:leader="dot" w:pos="8844"/>
        </w:tabs>
        <w:adjustRightInd w:val="0"/>
        <w:snapToGrid w:val="0"/>
        <w:spacing w:before="0" w:beforeLines="0" w:after="0" w:afterLines="0" w:line="240" w:lineRule="auto"/>
        <w:ind w:left="0" w:leftChars="0" w:right="0" w:rightChars="0" w:firstLine="0" w:firstLineChars="0"/>
        <w:jc w:val="center"/>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fldChar w:fldCharType="end"/>
      </w:r>
    </w:p>
    <w:p w14:paraId="104E825B">
      <w:pPr>
        <w:adjustRightInd w:val="0"/>
        <w:snapToGrid w:val="0"/>
        <w:spacing w:line="288" w:lineRule="auto"/>
        <w:jc w:val="center"/>
        <w:rPr>
          <w:rFonts w:hint="default" w:ascii="Times New Roman" w:hAnsi="Times New Roman" w:eastAsia="宋体" w:cs="Times New Roman"/>
          <w:color w:val="000000" w:themeColor="text1"/>
          <w:sz w:val="24"/>
          <w:szCs w:val="24"/>
          <w:highlight w:val="none"/>
          <w14:textFill>
            <w14:solidFill>
              <w14:schemeClr w14:val="tx1"/>
            </w14:solidFill>
          </w14:textFill>
        </w:rPr>
        <w:sectPr>
          <w:headerReference r:id="rId4" w:type="first"/>
          <w:headerReference r:id="rId3" w:type="default"/>
          <w:footerReference r:id="rId5" w:type="default"/>
          <w:footerReference r:id="rId6" w:type="even"/>
          <w:pgSz w:w="11906" w:h="16838"/>
          <w:pgMar w:top="1701" w:right="1531" w:bottom="1701" w:left="1531" w:header="851" w:footer="1077" w:gutter="0"/>
          <w:pgBorders>
            <w:top w:val="none" w:sz="0" w:space="0"/>
            <w:left w:val="none" w:sz="0" w:space="0"/>
            <w:bottom w:val="none" w:sz="0" w:space="0"/>
            <w:right w:val="none" w:sz="0" w:space="0"/>
          </w:pgBorders>
          <w:pgNumType w:fmt="decimal" w:start="3"/>
          <w:cols w:space="720" w:num="1"/>
          <w:docGrid w:linePitch="312" w:charSpace="0"/>
        </w:sectPr>
      </w:pPr>
    </w:p>
    <w:p w14:paraId="134DE0AE">
      <w:pPr>
        <w:pStyle w:val="45"/>
        <w:jc w:val="center"/>
        <w:outlineLvl w:val="0"/>
        <w:rPr>
          <w:rFonts w:hint="eastAsia" w:ascii="黑体" w:hAnsi="黑体" w:eastAsia="黑体"/>
          <w:snapToGrid w:val="0"/>
          <w:color w:val="auto"/>
          <w:sz w:val="30"/>
          <w:szCs w:val="30"/>
          <w:highlight w:val="none"/>
        </w:rPr>
      </w:pPr>
      <w:bookmarkStart w:id="0" w:name="_Toc17943"/>
      <w:bookmarkStart w:id="1" w:name="_Toc4519"/>
      <w:bookmarkStart w:id="2" w:name="_Toc19677"/>
      <w:bookmarkStart w:id="3" w:name="_Toc19762"/>
      <w:r>
        <w:rPr>
          <w:rFonts w:hint="eastAsia" w:ascii="黑体" w:hAnsi="黑体" w:eastAsia="黑体"/>
          <w:snapToGrid w:val="0"/>
          <w:color w:val="auto"/>
          <w:sz w:val="30"/>
          <w:szCs w:val="30"/>
          <w:highlight w:val="none"/>
        </w:rPr>
        <w:t>一、建设项目基本情况</w:t>
      </w:r>
      <w:bookmarkEnd w:id="0"/>
      <w:bookmarkEnd w:id="1"/>
      <w:bookmarkEnd w:id="2"/>
      <w:bookmarkEnd w:id="3"/>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978"/>
        <w:gridCol w:w="2041"/>
        <w:gridCol w:w="1989"/>
        <w:gridCol w:w="2862"/>
      </w:tblGrid>
      <w:tr w14:paraId="2303A6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0D4134C9">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建设项目名称</w:t>
            </w:r>
          </w:p>
        </w:tc>
        <w:tc>
          <w:tcPr>
            <w:tcW w:w="6892" w:type="dxa"/>
            <w:gridSpan w:val="3"/>
            <w:noWrap w:val="0"/>
            <w:vAlign w:val="center"/>
          </w:tcPr>
          <w:p w14:paraId="27E55AE9">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eastAsia="zh-CN"/>
              </w:rPr>
              <w:t>乐昌市三筑金属材料智造项目（</w:t>
            </w:r>
            <w:r>
              <w:rPr>
                <w:rFonts w:hint="eastAsia" w:ascii="Times New Roman" w:hAnsi="Times New Roman" w:eastAsia="宋体" w:cs="Times New Roman"/>
                <w:color w:val="auto"/>
                <w:sz w:val="24"/>
                <w:highlight w:val="none"/>
                <w:lang w:val="en-US" w:eastAsia="zh-CN"/>
              </w:rPr>
              <w:t>重新报批）</w:t>
            </w:r>
          </w:p>
        </w:tc>
      </w:tr>
      <w:tr w14:paraId="436877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34F0AD35">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项目代码</w:t>
            </w:r>
          </w:p>
        </w:tc>
        <w:tc>
          <w:tcPr>
            <w:tcW w:w="6892" w:type="dxa"/>
            <w:gridSpan w:val="3"/>
            <w:noWrap w:val="0"/>
            <w:vAlign w:val="center"/>
          </w:tcPr>
          <w:p w14:paraId="3EC9E275">
            <w:pPr>
              <w:adjustRightInd w:val="0"/>
              <w:snapToGrid w:val="0"/>
              <w:jc w:val="center"/>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2507-440281-04-01-982896</w:t>
            </w:r>
          </w:p>
        </w:tc>
      </w:tr>
      <w:tr w14:paraId="09FD63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021681AE">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建设单位联系人</w:t>
            </w:r>
          </w:p>
        </w:tc>
        <w:tc>
          <w:tcPr>
            <w:tcW w:w="2041" w:type="dxa"/>
            <w:noWrap w:val="0"/>
            <w:vAlign w:val="center"/>
          </w:tcPr>
          <w:p w14:paraId="3B76B617">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邢</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胜</w:t>
            </w:r>
          </w:p>
        </w:tc>
        <w:tc>
          <w:tcPr>
            <w:tcW w:w="1989" w:type="dxa"/>
            <w:noWrap w:val="0"/>
            <w:vAlign w:val="center"/>
          </w:tcPr>
          <w:p w14:paraId="2547486B">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联系方式</w:t>
            </w:r>
          </w:p>
        </w:tc>
        <w:tc>
          <w:tcPr>
            <w:tcW w:w="2862" w:type="dxa"/>
            <w:noWrap w:val="0"/>
            <w:vAlign w:val="center"/>
          </w:tcPr>
          <w:p w14:paraId="462C3736">
            <w:pPr>
              <w:adjustRightInd w:val="0"/>
              <w:snapToGrid w:val="0"/>
              <w:jc w:val="center"/>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159</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1502</w:t>
            </w:r>
          </w:p>
        </w:tc>
      </w:tr>
      <w:tr w14:paraId="70D47D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58A25A31">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建设地点</w:t>
            </w:r>
          </w:p>
        </w:tc>
        <w:tc>
          <w:tcPr>
            <w:tcW w:w="6892" w:type="dxa"/>
            <w:gridSpan w:val="3"/>
            <w:noWrap w:val="0"/>
            <w:vAlign w:val="center"/>
          </w:tcPr>
          <w:p w14:paraId="01DABA0B">
            <w:pPr>
              <w:adjustRightInd w:val="0"/>
              <w:snapToGrid w:val="0"/>
              <w:jc w:val="center"/>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韶关市乐昌市</w:t>
            </w:r>
            <w:r>
              <w:rPr>
                <w:rFonts w:hint="eastAsia" w:cs="Times New Roman"/>
                <w:color w:val="auto"/>
                <w:sz w:val="24"/>
                <w:highlight w:val="none"/>
                <w:lang w:eastAsia="zh-CN"/>
              </w:rPr>
              <w:t>乐昌产业转移工业园GL-02-02-01地块</w:t>
            </w:r>
          </w:p>
        </w:tc>
      </w:tr>
      <w:tr w14:paraId="683D65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0A38E31E">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地理坐标</w:t>
            </w:r>
          </w:p>
        </w:tc>
        <w:tc>
          <w:tcPr>
            <w:tcW w:w="6892" w:type="dxa"/>
            <w:gridSpan w:val="3"/>
            <w:noWrap w:val="0"/>
            <w:vAlign w:val="center"/>
          </w:tcPr>
          <w:p w14:paraId="5202A073">
            <w:pPr>
              <w:jc w:val="center"/>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东经113°24'30.099"，北纬25°9'23.358"</w:t>
            </w:r>
          </w:p>
        </w:tc>
      </w:tr>
      <w:tr w14:paraId="01BC45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978" w:type="dxa"/>
            <w:noWrap w:val="0"/>
            <w:tcMar>
              <w:top w:w="16" w:type="dxa"/>
              <w:left w:w="16" w:type="dxa"/>
              <w:right w:w="16" w:type="dxa"/>
            </w:tcMar>
            <w:vAlign w:val="center"/>
          </w:tcPr>
          <w:p w14:paraId="6327D623">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国民经济</w:t>
            </w:r>
          </w:p>
          <w:p w14:paraId="0942D714">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行业类别</w:t>
            </w:r>
          </w:p>
        </w:tc>
        <w:tc>
          <w:tcPr>
            <w:tcW w:w="2041" w:type="dxa"/>
            <w:noWrap w:val="0"/>
            <w:vAlign w:val="center"/>
          </w:tcPr>
          <w:p w14:paraId="6F778239">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C3360金属表面处理及热处理加工</w:t>
            </w:r>
          </w:p>
        </w:tc>
        <w:tc>
          <w:tcPr>
            <w:tcW w:w="1989" w:type="dxa"/>
            <w:noWrap w:val="0"/>
            <w:vAlign w:val="center"/>
          </w:tcPr>
          <w:p w14:paraId="643D2C7A">
            <w:pPr>
              <w:adjustRightInd w:val="0"/>
              <w:snapToGrid w:val="0"/>
              <w:jc w:val="center"/>
              <w:rPr>
                <w:rFonts w:hint="default" w:ascii="Times New Roman" w:hAnsi="Times New Roman" w:eastAsia="宋体" w:cs="Times New Roman"/>
                <w:color w:val="auto"/>
                <w:sz w:val="24"/>
                <w:highlight w:val="none"/>
              </w:rPr>
            </w:pPr>
            <w:bookmarkStart w:id="4" w:name="_Hlk49843745"/>
            <w:r>
              <w:rPr>
                <w:rFonts w:hint="default" w:ascii="Times New Roman" w:hAnsi="Times New Roman" w:eastAsia="宋体" w:cs="Times New Roman"/>
                <w:color w:val="auto"/>
                <w:sz w:val="24"/>
                <w:highlight w:val="none"/>
              </w:rPr>
              <w:t>建设项目</w:t>
            </w:r>
          </w:p>
          <w:p w14:paraId="343D3B03">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行业类别</w:t>
            </w:r>
            <w:bookmarkEnd w:id="4"/>
          </w:p>
        </w:tc>
        <w:tc>
          <w:tcPr>
            <w:tcW w:w="2862" w:type="dxa"/>
            <w:noWrap w:val="0"/>
            <w:vAlign w:val="center"/>
          </w:tcPr>
          <w:p w14:paraId="4D6FE867">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三十、金属制品业 33—67、金属表面处理及热处理加工 336</w:t>
            </w:r>
          </w:p>
        </w:tc>
      </w:tr>
      <w:tr w14:paraId="182EFB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34" w:hRule="atLeast"/>
          <w:jc w:val="center"/>
        </w:trPr>
        <w:tc>
          <w:tcPr>
            <w:tcW w:w="1978" w:type="dxa"/>
            <w:noWrap w:val="0"/>
            <w:tcMar>
              <w:top w:w="16" w:type="dxa"/>
              <w:left w:w="16" w:type="dxa"/>
              <w:right w:w="16" w:type="dxa"/>
            </w:tcMar>
            <w:vAlign w:val="center"/>
          </w:tcPr>
          <w:p w14:paraId="7AF8B6C9">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建设性质</w:t>
            </w:r>
          </w:p>
        </w:tc>
        <w:tc>
          <w:tcPr>
            <w:tcW w:w="2041" w:type="dxa"/>
            <w:noWrap w:val="0"/>
            <w:vAlign w:val="center"/>
          </w:tcPr>
          <w:p w14:paraId="189850F0">
            <w:pPr>
              <w:ind w:firstLine="240" w:firstLineChars="1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52"/>
            </w:r>
            <w:r>
              <w:rPr>
                <w:rFonts w:hint="default" w:ascii="Times New Roman" w:hAnsi="Times New Roman" w:eastAsia="宋体" w:cs="Times New Roman"/>
                <w:color w:val="auto"/>
                <w:sz w:val="24"/>
                <w:highlight w:val="none"/>
              </w:rPr>
              <w:t>新建（迁建）</w:t>
            </w:r>
          </w:p>
          <w:p w14:paraId="29125996">
            <w:pPr>
              <w:ind w:firstLine="240" w:firstLineChars="1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A3"/>
            </w:r>
            <w:r>
              <w:rPr>
                <w:rFonts w:hint="default" w:ascii="Times New Roman" w:hAnsi="Times New Roman" w:eastAsia="宋体" w:cs="Times New Roman"/>
                <w:color w:val="auto"/>
                <w:sz w:val="24"/>
                <w:highlight w:val="none"/>
              </w:rPr>
              <w:t>改建</w:t>
            </w:r>
          </w:p>
          <w:p w14:paraId="19919C30">
            <w:pPr>
              <w:ind w:firstLine="240" w:firstLineChars="1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A3"/>
            </w:r>
            <w:r>
              <w:rPr>
                <w:rFonts w:hint="default" w:ascii="Times New Roman" w:hAnsi="Times New Roman" w:eastAsia="宋体" w:cs="Times New Roman"/>
                <w:color w:val="auto"/>
                <w:sz w:val="24"/>
                <w:highlight w:val="none"/>
              </w:rPr>
              <w:t>扩建</w:t>
            </w:r>
          </w:p>
          <w:p w14:paraId="052C6C91">
            <w:pPr>
              <w:ind w:firstLine="240" w:firstLineChars="100"/>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A3"/>
            </w:r>
            <w:r>
              <w:rPr>
                <w:rFonts w:hint="default" w:ascii="Times New Roman" w:hAnsi="Times New Roman" w:eastAsia="宋体" w:cs="Times New Roman"/>
                <w:color w:val="auto"/>
                <w:sz w:val="24"/>
                <w:highlight w:val="none"/>
              </w:rPr>
              <w:t>技术改造</w:t>
            </w:r>
          </w:p>
        </w:tc>
        <w:tc>
          <w:tcPr>
            <w:tcW w:w="1989" w:type="dxa"/>
            <w:noWrap w:val="0"/>
            <w:vAlign w:val="center"/>
          </w:tcPr>
          <w:p w14:paraId="79CFAF6D">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建设项目</w:t>
            </w:r>
          </w:p>
          <w:p w14:paraId="12A87414">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申报情形</w:t>
            </w:r>
          </w:p>
        </w:tc>
        <w:tc>
          <w:tcPr>
            <w:tcW w:w="2862" w:type="dxa"/>
            <w:noWrap w:val="0"/>
            <w:vAlign w:val="center"/>
          </w:tcPr>
          <w:p w14:paraId="1FA42C80">
            <w:pPr>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A3"/>
            </w:r>
            <w:r>
              <w:rPr>
                <w:rFonts w:hint="default" w:ascii="Times New Roman" w:hAnsi="Times New Roman" w:eastAsia="宋体" w:cs="Times New Roman"/>
                <w:color w:val="auto"/>
                <w:sz w:val="24"/>
                <w:highlight w:val="none"/>
              </w:rPr>
              <w:t>首次申报项目</w:t>
            </w:r>
          </w:p>
          <w:p w14:paraId="67F1780F">
            <w:pPr>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□不予批准后再次申报项目</w:t>
            </w:r>
          </w:p>
          <w:p w14:paraId="5493AF68">
            <w:pPr>
              <w:jc w:val="lef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□超五年重新审核项目</w:t>
            </w:r>
          </w:p>
          <w:p w14:paraId="17D4CAEC">
            <w:pPr>
              <w:jc w:val="left"/>
              <w:rPr>
                <w:rFonts w:hint="default" w:ascii="Times New Roman" w:hAnsi="Times New Roman" w:eastAsia="宋体" w:cs="Times New Roman"/>
                <w:color w:val="auto"/>
                <w:sz w:val="24"/>
                <w:highlight w:val="none"/>
              </w:rPr>
            </w:pP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重大变动重新报批项目</w:t>
            </w:r>
          </w:p>
        </w:tc>
      </w:tr>
      <w:tr w14:paraId="7F21E0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978" w:type="dxa"/>
            <w:noWrap w:val="0"/>
            <w:tcMar>
              <w:top w:w="16" w:type="dxa"/>
              <w:left w:w="16" w:type="dxa"/>
              <w:right w:w="16" w:type="dxa"/>
            </w:tcMar>
            <w:vAlign w:val="center"/>
          </w:tcPr>
          <w:p w14:paraId="037B1B02">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项目审批（核准/</w:t>
            </w:r>
          </w:p>
          <w:p w14:paraId="0A30172F">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备案）部门（选填）</w:t>
            </w:r>
          </w:p>
        </w:tc>
        <w:tc>
          <w:tcPr>
            <w:tcW w:w="2041" w:type="dxa"/>
            <w:noWrap w:val="0"/>
            <w:vAlign w:val="center"/>
          </w:tcPr>
          <w:p w14:paraId="0DBCE66E">
            <w:pPr>
              <w:adjustRightInd w:val="0"/>
              <w:snapToGrid w:val="0"/>
              <w:jc w:val="center"/>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w:t>
            </w:r>
          </w:p>
        </w:tc>
        <w:tc>
          <w:tcPr>
            <w:tcW w:w="1989" w:type="dxa"/>
            <w:noWrap w:val="0"/>
            <w:vAlign w:val="center"/>
          </w:tcPr>
          <w:p w14:paraId="58D0B87B">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项目审批（核准/</w:t>
            </w:r>
          </w:p>
          <w:p w14:paraId="53C92757">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备案）文号（选填）</w:t>
            </w:r>
          </w:p>
        </w:tc>
        <w:tc>
          <w:tcPr>
            <w:tcW w:w="2862" w:type="dxa"/>
            <w:noWrap w:val="0"/>
            <w:vAlign w:val="center"/>
          </w:tcPr>
          <w:p w14:paraId="5C7D7844">
            <w:pPr>
              <w:adjustRightInd w:val="0"/>
              <w:snapToGrid w:val="0"/>
              <w:jc w:val="center"/>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w:t>
            </w:r>
          </w:p>
        </w:tc>
      </w:tr>
      <w:tr w14:paraId="480BB5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3B7A3059">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总投资（万元）</w:t>
            </w:r>
          </w:p>
        </w:tc>
        <w:tc>
          <w:tcPr>
            <w:tcW w:w="2041" w:type="dxa"/>
            <w:noWrap w:val="0"/>
            <w:vAlign w:val="center"/>
          </w:tcPr>
          <w:p w14:paraId="590D0286">
            <w:pPr>
              <w:adjustRightInd w:val="0"/>
              <w:snapToGrid w:val="0"/>
              <w:jc w:val="center"/>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15000</w:t>
            </w:r>
          </w:p>
        </w:tc>
        <w:tc>
          <w:tcPr>
            <w:tcW w:w="1989" w:type="dxa"/>
            <w:noWrap w:val="0"/>
            <w:tcMar>
              <w:top w:w="16" w:type="dxa"/>
              <w:left w:w="16" w:type="dxa"/>
              <w:right w:w="16" w:type="dxa"/>
            </w:tcMar>
            <w:vAlign w:val="center"/>
          </w:tcPr>
          <w:p w14:paraId="0398D9CF">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环保投资（万元）</w:t>
            </w:r>
          </w:p>
        </w:tc>
        <w:tc>
          <w:tcPr>
            <w:tcW w:w="2862" w:type="dxa"/>
            <w:noWrap w:val="0"/>
            <w:vAlign w:val="center"/>
          </w:tcPr>
          <w:p w14:paraId="2EFD999A">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3</w:t>
            </w:r>
            <w:r>
              <w:rPr>
                <w:rFonts w:hint="eastAsia" w:ascii="Times New Roman" w:hAnsi="Times New Roman" w:eastAsia="宋体" w:cs="Times New Roman"/>
                <w:color w:val="auto"/>
                <w:sz w:val="24"/>
                <w:highlight w:val="none"/>
                <w:lang w:val="en-US" w:eastAsia="zh-CN"/>
              </w:rPr>
              <w:t>00</w:t>
            </w:r>
          </w:p>
        </w:tc>
      </w:tr>
      <w:tr w14:paraId="71366D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6148A1A1">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环保投资占比（%）</w:t>
            </w:r>
          </w:p>
        </w:tc>
        <w:tc>
          <w:tcPr>
            <w:tcW w:w="2041" w:type="dxa"/>
            <w:noWrap w:val="0"/>
            <w:vAlign w:val="center"/>
          </w:tcPr>
          <w:p w14:paraId="7963B011">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2</w:t>
            </w:r>
          </w:p>
        </w:tc>
        <w:tc>
          <w:tcPr>
            <w:tcW w:w="1989" w:type="dxa"/>
            <w:noWrap w:val="0"/>
            <w:tcMar>
              <w:top w:w="16" w:type="dxa"/>
              <w:left w:w="16" w:type="dxa"/>
              <w:right w:w="16" w:type="dxa"/>
            </w:tcMar>
            <w:vAlign w:val="center"/>
          </w:tcPr>
          <w:p w14:paraId="25A019D7">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施工工期</w:t>
            </w:r>
          </w:p>
        </w:tc>
        <w:tc>
          <w:tcPr>
            <w:tcW w:w="2862" w:type="dxa"/>
            <w:noWrap w:val="0"/>
            <w:vAlign w:val="center"/>
          </w:tcPr>
          <w:p w14:paraId="137F0DD7">
            <w:pPr>
              <w:adjustRightInd w:val="0"/>
              <w:snapToGrid w:val="0"/>
              <w:jc w:val="center"/>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6</w:t>
            </w:r>
            <w:r>
              <w:rPr>
                <w:rFonts w:hint="default" w:ascii="Times New Roman" w:hAnsi="Times New Roman" w:eastAsia="宋体" w:cs="Times New Roman"/>
                <w:color w:val="auto"/>
                <w:sz w:val="24"/>
                <w:highlight w:val="none"/>
              </w:rPr>
              <w:t>个月</w:t>
            </w:r>
          </w:p>
        </w:tc>
      </w:tr>
      <w:tr w14:paraId="1AF531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8" w:type="dxa"/>
            <w:noWrap w:val="0"/>
            <w:tcMar>
              <w:top w:w="16" w:type="dxa"/>
              <w:left w:w="16" w:type="dxa"/>
              <w:right w:w="16" w:type="dxa"/>
            </w:tcMar>
            <w:vAlign w:val="center"/>
          </w:tcPr>
          <w:p w14:paraId="41EAC164">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是否开工建设</w:t>
            </w:r>
          </w:p>
        </w:tc>
        <w:tc>
          <w:tcPr>
            <w:tcW w:w="2041" w:type="dxa"/>
            <w:noWrap w:val="0"/>
            <w:vAlign w:val="center"/>
          </w:tcPr>
          <w:p w14:paraId="263B1782">
            <w:pPr>
              <w:adjustRightInd w:val="0"/>
              <w:snapToGrid w:val="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A3"/>
            </w:r>
            <w:r>
              <w:rPr>
                <w:rFonts w:hint="default" w:ascii="Times New Roman" w:hAnsi="Times New Roman" w:eastAsia="宋体" w:cs="Times New Roman"/>
                <w:color w:val="auto"/>
                <w:sz w:val="24"/>
                <w:highlight w:val="none"/>
              </w:rPr>
              <w:t>否</w:t>
            </w:r>
          </w:p>
          <w:p w14:paraId="50E12261">
            <w:pPr>
              <w:adjustRightInd w:val="0"/>
              <w:snapToGrid w:val="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sym w:font="Wingdings 2" w:char="0052"/>
            </w:r>
            <w:r>
              <w:rPr>
                <w:rFonts w:hint="default" w:ascii="Times New Roman" w:hAnsi="Times New Roman" w:eastAsia="宋体" w:cs="Times New Roman"/>
                <w:color w:val="auto"/>
                <w:sz w:val="24"/>
                <w:highlight w:val="none"/>
              </w:rPr>
              <w:t>是：</w:t>
            </w:r>
            <w:r>
              <w:rPr>
                <w:rFonts w:hint="default" w:ascii="Times New Roman" w:hAnsi="Times New Roman" w:eastAsia="宋体" w:cs="Times New Roman"/>
                <w:color w:val="auto"/>
                <w:sz w:val="24"/>
                <w:highlight w:val="none"/>
                <w:u w:val="single"/>
              </w:rPr>
              <w:t xml:space="preserve"> </w:t>
            </w:r>
            <w:r>
              <w:rPr>
                <w:rFonts w:hint="eastAsia" w:ascii="Times New Roman" w:hAnsi="Times New Roman" w:eastAsia="宋体" w:cs="Times New Roman"/>
                <w:color w:val="auto"/>
                <w:sz w:val="24"/>
                <w:highlight w:val="none"/>
                <w:u w:val="single"/>
                <w:lang w:val="en-US" w:eastAsia="zh-CN"/>
              </w:rPr>
              <w:t>原项目在建设过程中发生重大变动</w:t>
            </w:r>
            <w:r>
              <w:rPr>
                <w:rFonts w:hint="default" w:ascii="Times New Roman" w:hAnsi="Times New Roman" w:eastAsia="宋体" w:cs="Times New Roman"/>
                <w:color w:val="auto"/>
                <w:sz w:val="24"/>
                <w:highlight w:val="none"/>
                <w:u w:val="single"/>
              </w:rPr>
              <w:t xml:space="preserve">         </w:t>
            </w:r>
          </w:p>
        </w:tc>
        <w:tc>
          <w:tcPr>
            <w:tcW w:w="1989" w:type="dxa"/>
            <w:noWrap w:val="0"/>
            <w:tcMar>
              <w:top w:w="16" w:type="dxa"/>
              <w:left w:w="16" w:type="dxa"/>
              <w:right w:w="16" w:type="dxa"/>
            </w:tcMar>
            <w:vAlign w:val="center"/>
          </w:tcPr>
          <w:p w14:paraId="2DCD810F">
            <w:pPr>
              <w:adjustRightInd w:val="0"/>
              <w:snapToGrid w:val="0"/>
              <w:jc w:val="center"/>
              <w:rPr>
                <w:rFonts w:hint="default" w:ascii="Times New Roman" w:hAnsi="Times New Roman" w:eastAsia="宋体" w:cs="Times New Roman"/>
                <w:color w:val="auto"/>
                <w:spacing w:val="-6"/>
                <w:sz w:val="24"/>
                <w:highlight w:val="none"/>
              </w:rPr>
            </w:pPr>
            <w:r>
              <w:rPr>
                <w:rFonts w:hint="default" w:ascii="Times New Roman" w:hAnsi="Times New Roman" w:eastAsia="宋体" w:cs="Times New Roman"/>
                <w:color w:val="auto"/>
                <w:spacing w:val="-6"/>
                <w:sz w:val="24"/>
                <w:highlight w:val="none"/>
              </w:rPr>
              <w:t>用地（用海）</w:t>
            </w:r>
          </w:p>
          <w:p w14:paraId="299CB2BE">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pacing w:val="-6"/>
                <w:sz w:val="24"/>
                <w:highlight w:val="none"/>
              </w:rPr>
              <w:t>面积（m</w:t>
            </w:r>
            <w:r>
              <w:rPr>
                <w:rFonts w:hint="default" w:ascii="Times New Roman" w:hAnsi="Times New Roman" w:eastAsia="宋体" w:cs="Times New Roman"/>
                <w:color w:val="auto"/>
                <w:spacing w:val="-6"/>
                <w:sz w:val="24"/>
                <w:highlight w:val="none"/>
                <w:vertAlign w:val="superscript"/>
              </w:rPr>
              <w:t>2</w:t>
            </w:r>
            <w:r>
              <w:rPr>
                <w:rFonts w:hint="default" w:ascii="Times New Roman" w:hAnsi="Times New Roman" w:eastAsia="宋体" w:cs="Times New Roman"/>
                <w:color w:val="auto"/>
                <w:spacing w:val="-6"/>
                <w:sz w:val="24"/>
                <w:highlight w:val="none"/>
              </w:rPr>
              <w:t>）</w:t>
            </w:r>
          </w:p>
        </w:tc>
        <w:tc>
          <w:tcPr>
            <w:tcW w:w="2862" w:type="dxa"/>
            <w:noWrap w:val="0"/>
            <w:vAlign w:val="center"/>
          </w:tcPr>
          <w:p w14:paraId="1D8830B3">
            <w:pPr>
              <w:adjustRightInd w:val="0"/>
              <w:snapToGrid w:val="0"/>
              <w:jc w:val="center"/>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54139.29</w:t>
            </w:r>
          </w:p>
        </w:tc>
      </w:tr>
      <w:tr w14:paraId="1B5791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78" w:type="dxa"/>
            <w:noWrap w:val="0"/>
            <w:vAlign w:val="center"/>
          </w:tcPr>
          <w:p w14:paraId="6E9E060D">
            <w:pPr>
              <w:autoSpaceDE w:val="0"/>
              <w:autoSpaceDN w:val="0"/>
              <w:adjustRightInd w:val="0"/>
              <w:snapToGrid w:val="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专项评价设置情况</w:t>
            </w:r>
          </w:p>
        </w:tc>
        <w:tc>
          <w:tcPr>
            <w:tcW w:w="6892" w:type="dxa"/>
            <w:gridSpan w:val="3"/>
            <w:noWrap w:val="0"/>
            <w:vAlign w:val="center"/>
          </w:tcPr>
          <w:p w14:paraId="296721F2">
            <w:pPr>
              <w:pStyle w:val="120"/>
              <w:keepNext w:val="0"/>
              <w:keepLines w:val="0"/>
              <w:pageBreakBefore w:val="0"/>
              <w:widowControl w:val="0"/>
              <w:kinsoku/>
              <w:wordWrap/>
              <w:overflowPunct/>
              <w:topLinePunct w:val="0"/>
              <w:autoSpaceDE/>
              <w:autoSpaceDN/>
              <w:bidi w:val="0"/>
              <w:adjustRightInd/>
              <w:snapToGrid/>
              <w:spacing w:line="100" w:lineRule="exact"/>
              <w:jc w:val="left"/>
              <w:textAlignment w:val="auto"/>
              <w:rPr>
                <w:rFonts w:hint="default" w:ascii="Times New Roman" w:hAnsi="Times New Roman" w:eastAsia="宋体" w:cs="Times New Roman"/>
                <w:color w:val="auto"/>
                <w:kern w:val="2"/>
                <w:sz w:val="24"/>
                <w:szCs w:val="24"/>
                <w:highlight w:val="none"/>
                <w:lang w:val="en-US" w:eastAsia="zh-CN" w:bidi="ar-SA"/>
              </w:rPr>
            </w:pPr>
          </w:p>
          <w:p w14:paraId="0BA9A221">
            <w:pPr>
              <w:pStyle w:val="120"/>
              <w:adjustRightInd/>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根据《建设项目环境影响报告表编制技术指南（污染影响类）（试行）》中“表1专项评价设置原则表”，本项目专项评价设置情况如下：</w:t>
            </w:r>
          </w:p>
          <w:p w14:paraId="49A3CDDC">
            <w:pPr>
              <w:pStyle w:val="15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专项评价设置情况</w:t>
            </w:r>
          </w:p>
          <w:tbl>
            <w:tblPr>
              <w:tblStyle w:val="132"/>
              <w:tblW w:w="499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12"/>
              <w:gridCol w:w="3057"/>
              <w:gridCol w:w="2226"/>
              <w:gridCol w:w="867"/>
            </w:tblGrid>
            <w:tr w14:paraId="656EF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384" w:type="pct"/>
                  <w:tcBorders>
                    <w:tl2br w:val="nil"/>
                    <w:tr2bl w:val="nil"/>
                  </w:tcBorders>
                  <w:noWrap w:val="0"/>
                  <w:vAlign w:val="center"/>
                </w:tcPr>
                <w:p w14:paraId="65C2A5BC">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Cs w:val="21"/>
                      <w:highlight w:val="none"/>
                      <w:lang w:eastAsia="zh-CN"/>
                    </w:rPr>
                  </w:pPr>
                  <w:r>
                    <w:rPr>
                      <w:rFonts w:hint="default" w:ascii="Times New Roman" w:hAnsi="Times New Roman" w:eastAsia="宋体" w:cs="Times New Roman"/>
                      <w:b/>
                      <w:bCs/>
                      <w:snapToGrid/>
                      <w:color w:val="auto"/>
                      <w:kern w:val="2"/>
                      <w:szCs w:val="21"/>
                      <w:highlight w:val="none"/>
                      <w:lang w:eastAsia="zh-CN"/>
                    </w:rPr>
                    <w:t>专项类别</w:t>
                  </w:r>
                </w:p>
              </w:tc>
              <w:tc>
                <w:tcPr>
                  <w:tcW w:w="2294" w:type="pct"/>
                  <w:tcBorders>
                    <w:tl2br w:val="nil"/>
                    <w:tr2bl w:val="nil"/>
                  </w:tcBorders>
                  <w:noWrap w:val="0"/>
                  <w:vAlign w:val="center"/>
                </w:tcPr>
                <w:p w14:paraId="2585FB9D">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Cs w:val="21"/>
                      <w:highlight w:val="none"/>
                      <w:lang w:eastAsia="zh-CN"/>
                    </w:rPr>
                  </w:pPr>
                  <w:r>
                    <w:rPr>
                      <w:rFonts w:hint="default" w:ascii="Times New Roman" w:hAnsi="Times New Roman" w:eastAsia="宋体" w:cs="Times New Roman"/>
                      <w:b/>
                      <w:bCs/>
                      <w:snapToGrid/>
                      <w:color w:val="auto"/>
                      <w:kern w:val="2"/>
                      <w:szCs w:val="21"/>
                      <w:highlight w:val="none"/>
                      <w:lang w:eastAsia="zh-CN"/>
                    </w:rPr>
                    <w:t>涉及项目类别</w:t>
                  </w:r>
                </w:p>
              </w:tc>
              <w:tc>
                <w:tcPr>
                  <w:tcW w:w="1671" w:type="pct"/>
                  <w:tcBorders>
                    <w:tl2br w:val="nil"/>
                    <w:tr2bl w:val="nil"/>
                  </w:tcBorders>
                  <w:noWrap w:val="0"/>
                  <w:vAlign w:val="center"/>
                </w:tcPr>
                <w:p w14:paraId="3F33EC97">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Cs w:val="21"/>
                      <w:highlight w:val="none"/>
                      <w:lang w:eastAsia="zh-CN"/>
                    </w:rPr>
                  </w:pPr>
                  <w:r>
                    <w:rPr>
                      <w:rFonts w:hint="default" w:ascii="Times New Roman" w:hAnsi="Times New Roman" w:eastAsia="宋体" w:cs="Times New Roman"/>
                      <w:b/>
                      <w:bCs/>
                      <w:snapToGrid/>
                      <w:color w:val="auto"/>
                      <w:kern w:val="2"/>
                      <w:szCs w:val="21"/>
                      <w:highlight w:val="none"/>
                      <w:lang w:eastAsia="zh-CN"/>
                    </w:rPr>
                    <w:t>本项目情况</w:t>
                  </w:r>
                </w:p>
              </w:tc>
              <w:tc>
                <w:tcPr>
                  <w:tcW w:w="649" w:type="pct"/>
                  <w:tcBorders>
                    <w:tl2br w:val="nil"/>
                    <w:tr2bl w:val="nil"/>
                  </w:tcBorders>
                  <w:noWrap w:val="0"/>
                  <w:vAlign w:val="center"/>
                </w:tcPr>
                <w:p w14:paraId="1B555A2C">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Cs w:val="21"/>
                      <w:highlight w:val="none"/>
                      <w:lang w:eastAsia="zh-CN"/>
                    </w:rPr>
                  </w:pPr>
                  <w:r>
                    <w:rPr>
                      <w:rFonts w:hint="default" w:ascii="Times New Roman" w:hAnsi="Times New Roman" w:eastAsia="宋体" w:cs="Times New Roman"/>
                      <w:b/>
                      <w:bCs/>
                      <w:snapToGrid/>
                      <w:color w:val="auto"/>
                      <w:kern w:val="2"/>
                      <w:szCs w:val="21"/>
                      <w:highlight w:val="none"/>
                      <w:lang w:eastAsia="zh-CN"/>
                    </w:rPr>
                    <w:t>是否设置</w:t>
                  </w:r>
                </w:p>
              </w:tc>
            </w:tr>
            <w:tr w14:paraId="21CCD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384" w:type="pct"/>
                  <w:tcBorders>
                    <w:tl2br w:val="nil"/>
                    <w:tr2bl w:val="nil"/>
                  </w:tcBorders>
                  <w:noWrap w:val="0"/>
                  <w:vAlign w:val="center"/>
                </w:tcPr>
                <w:p w14:paraId="5A6300F7">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大气</w:t>
                  </w:r>
                </w:p>
              </w:tc>
              <w:tc>
                <w:tcPr>
                  <w:tcW w:w="2294" w:type="pct"/>
                  <w:tcBorders>
                    <w:tl2br w:val="nil"/>
                    <w:tr2bl w:val="nil"/>
                  </w:tcBorders>
                  <w:noWrap w:val="0"/>
                  <w:vAlign w:val="center"/>
                </w:tcPr>
                <w:p w14:paraId="17441BB8">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排放废气含有毒有害污染物</w:t>
                  </w:r>
                  <w:r>
                    <w:rPr>
                      <w:rFonts w:hint="default" w:ascii="Times New Roman" w:hAnsi="Times New Roman" w:eastAsia="宋体" w:cs="Times New Roman"/>
                      <w:b w:val="0"/>
                      <w:bCs w:val="0"/>
                      <w:snapToGrid/>
                      <w:color w:val="auto"/>
                      <w:kern w:val="2"/>
                      <w:szCs w:val="21"/>
                      <w:highlight w:val="none"/>
                      <w:vertAlign w:val="superscript"/>
                      <w:lang w:eastAsia="zh-CN"/>
                    </w:rPr>
                    <w:t>1</w:t>
                  </w:r>
                  <w:r>
                    <w:rPr>
                      <w:rFonts w:hint="default" w:ascii="Times New Roman" w:hAnsi="Times New Roman" w:eastAsia="宋体" w:cs="Times New Roman"/>
                      <w:b w:val="0"/>
                      <w:bCs w:val="0"/>
                      <w:snapToGrid/>
                      <w:color w:val="auto"/>
                      <w:kern w:val="2"/>
                      <w:szCs w:val="21"/>
                      <w:highlight w:val="none"/>
                      <w:lang w:eastAsia="zh-CN"/>
                    </w:rPr>
                    <w:t>、二噁英、苯并[a]芘、氰化物、氯气且厂界外500米范围内有环境空气保护目标</w:t>
                  </w:r>
                  <w:r>
                    <w:rPr>
                      <w:rFonts w:hint="default" w:ascii="Times New Roman" w:hAnsi="Times New Roman" w:eastAsia="宋体" w:cs="Times New Roman"/>
                      <w:b w:val="0"/>
                      <w:bCs w:val="0"/>
                      <w:snapToGrid/>
                      <w:color w:val="auto"/>
                      <w:kern w:val="2"/>
                      <w:szCs w:val="21"/>
                      <w:highlight w:val="none"/>
                      <w:vertAlign w:val="superscript"/>
                      <w:lang w:eastAsia="zh-CN"/>
                    </w:rPr>
                    <w:t>2</w:t>
                  </w:r>
                  <w:r>
                    <w:rPr>
                      <w:rFonts w:hint="default" w:ascii="Times New Roman" w:hAnsi="Times New Roman" w:eastAsia="宋体" w:cs="Times New Roman"/>
                      <w:b w:val="0"/>
                      <w:bCs w:val="0"/>
                      <w:snapToGrid/>
                      <w:color w:val="auto"/>
                      <w:kern w:val="2"/>
                      <w:szCs w:val="21"/>
                      <w:highlight w:val="none"/>
                      <w:lang w:eastAsia="zh-CN"/>
                    </w:rPr>
                    <w:t>的建设项目</w:t>
                  </w:r>
                </w:p>
              </w:tc>
              <w:tc>
                <w:tcPr>
                  <w:tcW w:w="2226" w:type="dxa"/>
                  <w:tcBorders>
                    <w:tl2br w:val="nil"/>
                    <w:tr2bl w:val="nil"/>
                  </w:tcBorders>
                  <w:noWrap w:val="0"/>
                  <w:vAlign w:val="center"/>
                </w:tcPr>
                <w:p w14:paraId="47C6DA2D">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val="en-US" w:eastAsia="zh-CN"/>
                    </w:rPr>
                    <w:t>本项目排放的</w:t>
                  </w:r>
                  <w:r>
                    <w:rPr>
                      <w:rFonts w:hint="eastAsia" w:ascii="Times New Roman" w:hAnsi="Times New Roman" w:eastAsia="宋体" w:cs="Times New Roman"/>
                      <w:b w:val="0"/>
                      <w:bCs w:val="0"/>
                      <w:snapToGrid/>
                      <w:color w:val="auto"/>
                      <w:kern w:val="2"/>
                      <w:szCs w:val="21"/>
                      <w:highlight w:val="none"/>
                      <w:lang w:val="en-US" w:eastAsia="zh-CN"/>
                    </w:rPr>
                    <w:t>废气</w:t>
                  </w:r>
                  <w:r>
                    <w:rPr>
                      <w:rFonts w:hint="default" w:ascii="Times New Roman" w:hAnsi="Times New Roman" w:eastAsia="宋体" w:cs="Times New Roman"/>
                      <w:b w:val="0"/>
                      <w:bCs w:val="0"/>
                      <w:snapToGrid/>
                      <w:color w:val="auto"/>
                      <w:kern w:val="2"/>
                      <w:szCs w:val="21"/>
                      <w:highlight w:val="none"/>
                      <w:lang w:val="en-US" w:eastAsia="zh-CN"/>
                    </w:rPr>
                    <w:t>不涉及技术指南规定的有毒有害废气污染物</w:t>
                  </w:r>
                </w:p>
              </w:tc>
              <w:tc>
                <w:tcPr>
                  <w:tcW w:w="649" w:type="pct"/>
                  <w:tcBorders>
                    <w:tl2br w:val="nil"/>
                    <w:tr2bl w:val="nil"/>
                  </w:tcBorders>
                  <w:noWrap w:val="0"/>
                  <w:vAlign w:val="center"/>
                </w:tcPr>
                <w:p w14:paraId="7FCFE6CC">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否</w:t>
                  </w:r>
                </w:p>
              </w:tc>
            </w:tr>
            <w:tr w14:paraId="44D8D5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384" w:type="pct"/>
                  <w:tcBorders>
                    <w:tl2br w:val="nil"/>
                    <w:tr2bl w:val="nil"/>
                  </w:tcBorders>
                  <w:noWrap w:val="0"/>
                  <w:vAlign w:val="center"/>
                </w:tcPr>
                <w:p w14:paraId="4AE28995">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地表水</w:t>
                  </w:r>
                </w:p>
              </w:tc>
              <w:tc>
                <w:tcPr>
                  <w:tcW w:w="2294" w:type="pct"/>
                  <w:tcBorders>
                    <w:tl2br w:val="nil"/>
                    <w:tr2bl w:val="nil"/>
                  </w:tcBorders>
                  <w:noWrap w:val="0"/>
                  <w:vAlign w:val="center"/>
                </w:tcPr>
                <w:p w14:paraId="2278C630">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新增工业废水直排建设项目（槽罐车外送污水处理厂的除外）；新增废水直排的污水集中处理厂</w:t>
                  </w:r>
                </w:p>
              </w:tc>
              <w:tc>
                <w:tcPr>
                  <w:tcW w:w="2226" w:type="dxa"/>
                  <w:tcBorders>
                    <w:tl2br w:val="nil"/>
                    <w:tr2bl w:val="nil"/>
                  </w:tcBorders>
                  <w:noWrap w:val="0"/>
                  <w:vAlign w:val="center"/>
                </w:tcPr>
                <w:p w14:paraId="661A4F57">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val="en-US" w:eastAsia="zh-CN"/>
                    </w:rPr>
                    <w:t>项目废水自处理后依托园区污水处理厂进一步处理，达标后排放至武江，不直排</w:t>
                  </w:r>
                </w:p>
              </w:tc>
              <w:tc>
                <w:tcPr>
                  <w:tcW w:w="649" w:type="pct"/>
                  <w:tcBorders>
                    <w:tl2br w:val="nil"/>
                    <w:tr2bl w:val="nil"/>
                  </w:tcBorders>
                  <w:noWrap w:val="0"/>
                  <w:vAlign w:val="center"/>
                </w:tcPr>
                <w:p w14:paraId="38CC51FB">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eastAsia" w:ascii="Times New Roman" w:hAnsi="Times New Roman" w:eastAsia="宋体" w:cs="Times New Roman"/>
                      <w:b w:val="0"/>
                      <w:bCs w:val="0"/>
                      <w:snapToGrid/>
                      <w:color w:val="auto"/>
                      <w:kern w:val="2"/>
                      <w:szCs w:val="21"/>
                      <w:highlight w:val="none"/>
                      <w:lang w:val="en-US" w:eastAsia="zh-CN"/>
                    </w:rPr>
                    <w:t>否</w:t>
                  </w:r>
                </w:p>
              </w:tc>
            </w:tr>
            <w:tr w14:paraId="120AA6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384" w:type="pct"/>
                  <w:tcBorders>
                    <w:tl2br w:val="nil"/>
                    <w:tr2bl w:val="nil"/>
                  </w:tcBorders>
                  <w:noWrap w:val="0"/>
                  <w:vAlign w:val="center"/>
                </w:tcPr>
                <w:p w14:paraId="462AD2ED">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环境风险</w:t>
                  </w:r>
                </w:p>
              </w:tc>
              <w:tc>
                <w:tcPr>
                  <w:tcW w:w="2294" w:type="pct"/>
                  <w:tcBorders>
                    <w:tl2br w:val="nil"/>
                    <w:tr2bl w:val="nil"/>
                  </w:tcBorders>
                  <w:noWrap w:val="0"/>
                  <w:vAlign w:val="center"/>
                </w:tcPr>
                <w:p w14:paraId="221780BA">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有毒有害和易燃易爆危险物质存储量超过临界量</w:t>
                  </w:r>
                  <w:r>
                    <w:rPr>
                      <w:rFonts w:hint="default" w:ascii="Times New Roman" w:hAnsi="Times New Roman" w:eastAsia="宋体" w:cs="Times New Roman"/>
                      <w:b w:val="0"/>
                      <w:bCs w:val="0"/>
                      <w:snapToGrid/>
                      <w:color w:val="auto"/>
                      <w:kern w:val="2"/>
                      <w:szCs w:val="21"/>
                      <w:highlight w:val="none"/>
                      <w:vertAlign w:val="superscript"/>
                      <w:lang w:eastAsia="zh-CN"/>
                    </w:rPr>
                    <w:t>3</w:t>
                  </w:r>
                  <w:r>
                    <w:rPr>
                      <w:rFonts w:hint="default" w:ascii="Times New Roman" w:hAnsi="Times New Roman" w:eastAsia="宋体" w:cs="Times New Roman"/>
                      <w:b w:val="0"/>
                      <w:bCs w:val="0"/>
                      <w:snapToGrid/>
                      <w:color w:val="auto"/>
                      <w:kern w:val="2"/>
                      <w:szCs w:val="21"/>
                      <w:highlight w:val="none"/>
                      <w:lang w:eastAsia="zh-CN"/>
                    </w:rPr>
                    <w:t>的建设项目</w:t>
                  </w:r>
                </w:p>
              </w:tc>
              <w:tc>
                <w:tcPr>
                  <w:tcW w:w="2226" w:type="dxa"/>
                  <w:tcBorders>
                    <w:tl2br w:val="nil"/>
                    <w:tr2bl w:val="nil"/>
                  </w:tcBorders>
                  <w:noWrap w:val="0"/>
                  <w:vAlign w:val="center"/>
                </w:tcPr>
                <w:p w14:paraId="5E7B3894">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val="en-US" w:eastAsia="zh-CN"/>
                    </w:rPr>
                    <w:t>经分析，本项目危险物质存储量总计未超过临界量</w:t>
                  </w:r>
                </w:p>
              </w:tc>
              <w:tc>
                <w:tcPr>
                  <w:tcW w:w="649" w:type="pct"/>
                  <w:tcBorders>
                    <w:tl2br w:val="nil"/>
                    <w:tr2bl w:val="nil"/>
                  </w:tcBorders>
                  <w:noWrap w:val="0"/>
                  <w:vAlign w:val="center"/>
                </w:tcPr>
                <w:p w14:paraId="0712E732">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否</w:t>
                  </w:r>
                </w:p>
              </w:tc>
            </w:tr>
            <w:tr w14:paraId="2B508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384" w:type="pct"/>
                  <w:tcBorders>
                    <w:tl2br w:val="nil"/>
                    <w:tr2bl w:val="nil"/>
                  </w:tcBorders>
                  <w:noWrap w:val="0"/>
                  <w:vAlign w:val="center"/>
                </w:tcPr>
                <w:p w14:paraId="5390E7FA">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eastAsia="zh-CN"/>
                    </w:rPr>
                    <w:t>生态</w:t>
                  </w:r>
                </w:p>
              </w:tc>
              <w:tc>
                <w:tcPr>
                  <w:tcW w:w="2294" w:type="pct"/>
                  <w:tcBorders>
                    <w:tl2br w:val="nil"/>
                    <w:tr2bl w:val="nil"/>
                  </w:tcBorders>
                  <w:noWrap w:val="0"/>
                  <w:vAlign w:val="center"/>
                </w:tcPr>
                <w:p w14:paraId="407AC827">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eastAsia="zh-CN"/>
                    </w:rPr>
                    <w:t>取水口下游500米范围内有重要水生生物的自然产卵场、索饵场、越冬场和洄游通道的新增河道取水的污染类建设项目</w:t>
                  </w:r>
                </w:p>
              </w:tc>
              <w:tc>
                <w:tcPr>
                  <w:tcW w:w="2226" w:type="dxa"/>
                  <w:tcBorders>
                    <w:tl2br w:val="nil"/>
                    <w:tr2bl w:val="nil"/>
                  </w:tcBorders>
                  <w:noWrap w:val="0"/>
                  <w:vAlign w:val="center"/>
                </w:tcPr>
                <w:p w14:paraId="1074E128">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val="en-US" w:eastAsia="zh-CN"/>
                    </w:rPr>
                    <w:t>本项目不涉及直接从河道取水</w:t>
                  </w:r>
                </w:p>
              </w:tc>
              <w:tc>
                <w:tcPr>
                  <w:tcW w:w="649" w:type="pct"/>
                  <w:tcBorders>
                    <w:tl2br w:val="nil"/>
                    <w:tr2bl w:val="nil"/>
                  </w:tcBorders>
                  <w:noWrap w:val="0"/>
                  <w:vAlign w:val="center"/>
                </w:tcPr>
                <w:p w14:paraId="4FD8D7DB">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eastAsia="zh-CN"/>
                    </w:rPr>
                    <w:t>否</w:t>
                  </w:r>
                </w:p>
              </w:tc>
            </w:tr>
            <w:tr w14:paraId="58688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384" w:type="pct"/>
                  <w:tcBorders>
                    <w:tl2br w:val="nil"/>
                    <w:tr2bl w:val="nil"/>
                  </w:tcBorders>
                  <w:noWrap w:val="0"/>
                  <w:vAlign w:val="center"/>
                </w:tcPr>
                <w:p w14:paraId="4C1C73AE">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eastAsia="zh-CN"/>
                    </w:rPr>
                    <w:t>海洋</w:t>
                  </w:r>
                </w:p>
              </w:tc>
              <w:tc>
                <w:tcPr>
                  <w:tcW w:w="2294" w:type="pct"/>
                  <w:tcBorders>
                    <w:tl2br w:val="nil"/>
                    <w:tr2bl w:val="nil"/>
                  </w:tcBorders>
                  <w:noWrap w:val="0"/>
                  <w:vAlign w:val="center"/>
                </w:tcPr>
                <w:p w14:paraId="1B52977B">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eastAsia="zh-CN"/>
                    </w:rPr>
                    <w:t>直接向海排放污染物的海洋工程建设项目</w:t>
                  </w:r>
                </w:p>
              </w:tc>
              <w:tc>
                <w:tcPr>
                  <w:tcW w:w="2226" w:type="dxa"/>
                  <w:tcBorders>
                    <w:tl2br w:val="nil"/>
                    <w:tr2bl w:val="nil"/>
                  </w:tcBorders>
                  <w:noWrap w:val="0"/>
                  <w:vAlign w:val="center"/>
                </w:tcPr>
                <w:p w14:paraId="637ADDC8">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val="en-US" w:eastAsia="zh-CN"/>
                    </w:rPr>
                    <w:t>本项目污水排放不涉及海洋</w:t>
                  </w:r>
                </w:p>
              </w:tc>
              <w:tc>
                <w:tcPr>
                  <w:tcW w:w="649" w:type="pct"/>
                  <w:tcBorders>
                    <w:tl2br w:val="nil"/>
                    <w:tr2bl w:val="nil"/>
                  </w:tcBorders>
                  <w:noWrap w:val="0"/>
                  <w:vAlign w:val="center"/>
                </w:tcPr>
                <w:p w14:paraId="4FDE6046">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default" w:ascii="Times New Roman" w:hAnsi="Times New Roman" w:eastAsia="宋体" w:cs="Times New Roman"/>
                      <w:b w:val="0"/>
                      <w:bCs w:val="0"/>
                      <w:snapToGrid/>
                      <w:color w:val="auto"/>
                      <w:kern w:val="2"/>
                      <w:szCs w:val="21"/>
                      <w:highlight w:val="none"/>
                      <w:lang w:eastAsia="zh-CN"/>
                    </w:rPr>
                    <w:t>否</w:t>
                  </w:r>
                </w:p>
              </w:tc>
            </w:tr>
            <w:tr w14:paraId="654F6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 w:hRule="atLeast"/>
              </w:trPr>
              <w:tc>
                <w:tcPr>
                  <w:tcW w:w="5000" w:type="pct"/>
                  <w:gridSpan w:val="4"/>
                  <w:tcBorders>
                    <w:tl2br w:val="nil"/>
                    <w:tr2bl w:val="nil"/>
                  </w:tcBorders>
                  <w:noWrap w:val="0"/>
                  <w:vAlign w:val="center"/>
                </w:tcPr>
                <w:p w14:paraId="3AD33EB0">
                  <w:pPr>
                    <w:widowControl w:val="0"/>
                    <w:kinsoku/>
                    <w:autoSpaceDE/>
                    <w:autoSpaceDN/>
                    <w:adjustRightInd/>
                    <w:snapToGrid/>
                    <w:spacing w:line="240" w:lineRule="auto"/>
                    <w:jc w:val="left"/>
                    <w:textAlignment w:val="auto"/>
                    <w:rPr>
                      <w:rFonts w:hint="default" w:ascii="Times New Roman" w:hAnsi="Times New Roman" w:eastAsia="宋体" w:cs="Times New Roman"/>
                      <w:b w:val="0"/>
                      <w:bCs w:val="0"/>
                      <w:snapToGrid/>
                      <w:color w:val="auto"/>
                      <w:kern w:val="2"/>
                      <w:szCs w:val="21"/>
                      <w:highlight w:val="none"/>
                      <w:lang w:eastAsia="zh-CN"/>
                    </w:rPr>
                  </w:pPr>
                  <w:r>
                    <w:rPr>
                      <w:rFonts w:hint="default" w:ascii="Times New Roman" w:hAnsi="Times New Roman" w:eastAsia="宋体" w:cs="Times New Roman"/>
                      <w:b w:val="0"/>
                      <w:bCs w:val="0"/>
                      <w:snapToGrid/>
                      <w:color w:val="auto"/>
                      <w:kern w:val="2"/>
                      <w:szCs w:val="21"/>
                      <w:highlight w:val="none"/>
                      <w:lang w:eastAsia="zh-CN"/>
                    </w:rPr>
                    <w:t>注：1、废气中有毒有害污染物指纳入《有毒有害大气污染物名录》的污染物（不包括无排放标准的污染物）。2、环境空气保护目标指自然保护区、风景名胜区、居住区、文化区和农村地区中人群较集中的区域。3、临界量及其计算方法可参考《建设项目环境风险评价技术导则》（HJ169）附录B、附录C。</w:t>
                  </w:r>
                </w:p>
              </w:tc>
            </w:tr>
          </w:tbl>
          <w:p w14:paraId="3CD2D015">
            <w:pPr>
              <w:pStyle w:val="2"/>
              <w:keepNext w:val="0"/>
              <w:keepLines w:val="0"/>
              <w:pageBreakBefore w:val="0"/>
              <w:widowControl w:val="0"/>
              <w:numPr>
                <w:ilvl w:val="0"/>
                <w:numId w:val="0"/>
              </w:numPr>
              <w:kinsoku/>
              <w:wordWrap/>
              <w:overflowPunct/>
              <w:topLinePunct w:val="0"/>
              <w:autoSpaceDE w:val="0"/>
              <w:autoSpaceDN w:val="0"/>
              <w:bidi w:val="0"/>
              <w:adjustRightInd w:val="0"/>
              <w:snapToGrid w:val="0"/>
              <w:spacing w:line="100" w:lineRule="exact"/>
              <w:jc w:val="left"/>
              <w:textAlignment w:val="auto"/>
              <w:rPr>
                <w:rFonts w:hint="default" w:ascii="Times New Roman" w:hAnsi="Times New Roman" w:eastAsia="宋体" w:cs="Times New Roman"/>
                <w:color w:val="auto"/>
                <w:kern w:val="0"/>
                <w:highlight w:val="none"/>
              </w:rPr>
            </w:pPr>
          </w:p>
          <w:p w14:paraId="6943482A">
            <w:pPr>
              <w:spacing w:line="360" w:lineRule="auto"/>
              <w:ind w:firstLine="420" w:firstLineChars="200"/>
              <w:jc w:val="left"/>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kern w:val="0"/>
                <w:highlight w:val="none"/>
              </w:rPr>
              <w:t>根据上表分析，本项目</w:t>
            </w:r>
            <w:r>
              <w:rPr>
                <w:rFonts w:hint="eastAsia" w:ascii="Times New Roman" w:hAnsi="Times New Roman" w:eastAsia="宋体" w:cs="Times New Roman"/>
                <w:color w:val="auto"/>
                <w:kern w:val="0"/>
                <w:highlight w:val="none"/>
                <w:lang w:eastAsia="zh-CN"/>
              </w:rPr>
              <w:t>无须设置</w:t>
            </w:r>
            <w:r>
              <w:rPr>
                <w:rFonts w:hint="default" w:ascii="Times New Roman" w:hAnsi="Times New Roman" w:eastAsia="宋体" w:cs="Times New Roman"/>
                <w:color w:val="auto"/>
                <w:kern w:val="0"/>
                <w:highlight w:val="none"/>
              </w:rPr>
              <w:t>专项评价。</w:t>
            </w:r>
          </w:p>
        </w:tc>
      </w:tr>
      <w:tr w14:paraId="4D07EB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978" w:type="dxa"/>
            <w:noWrap w:val="0"/>
            <w:vAlign w:val="center"/>
          </w:tcPr>
          <w:p w14:paraId="58871FF1">
            <w:pPr>
              <w:autoSpaceDE w:val="0"/>
              <w:autoSpaceDN w:val="0"/>
              <w:adjustRightInd w:val="0"/>
              <w:snapToGrid w:val="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highlight w:val="none"/>
              </w:rPr>
              <w:t>规划情况</w:t>
            </w:r>
          </w:p>
        </w:tc>
        <w:tc>
          <w:tcPr>
            <w:tcW w:w="6892" w:type="dxa"/>
            <w:gridSpan w:val="3"/>
            <w:noWrap w:val="0"/>
            <w:vAlign w:val="center"/>
          </w:tcPr>
          <w:p w14:paraId="1DF713E3">
            <w:pPr>
              <w:autoSpaceDE w:val="0"/>
              <w:autoSpaceDN w:val="0"/>
              <w:adjustRightInd w:val="0"/>
              <w:snapToGrid w:val="0"/>
              <w:jc w:val="center"/>
              <w:rPr>
                <w:rFonts w:hint="default" w:ascii="Times New Roman" w:hAnsi="Times New Roman" w:eastAsia="宋体" w:cs="Times New Roman"/>
                <w:color w:val="auto"/>
                <w:kern w:val="0"/>
                <w:highlight w:val="none"/>
              </w:rPr>
            </w:pPr>
            <w:r>
              <w:rPr>
                <w:rFonts w:hint="default" w:ascii="Times New Roman" w:hAnsi="Times New Roman" w:eastAsia="宋体" w:cs="Times New Roman"/>
                <w:color w:val="auto"/>
                <w:sz w:val="24"/>
                <w:highlight w:val="none"/>
              </w:rPr>
              <w:t>《乐昌产业转移工业园</w:t>
            </w:r>
            <w:r>
              <w:rPr>
                <w:rFonts w:hint="default" w:ascii="Times New Roman" w:hAnsi="Times New Roman" w:eastAsia="宋体" w:cs="Times New Roman"/>
                <w:color w:val="auto"/>
                <w:sz w:val="24"/>
                <w:highlight w:val="none"/>
                <w:lang w:val="en-US" w:eastAsia="zh-CN"/>
              </w:rPr>
              <w:t>城东片区控制性详细规划修编</w:t>
            </w:r>
            <w:r>
              <w:rPr>
                <w:rFonts w:hint="default" w:ascii="Times New Roman" w:hAnsi="Times New Roman" w:eastAsia="宋体" w:cs="Times New Roman"/>
                <w:color w:val="auto"/>
                <w:sz w:val="24"/>
                <w:highlight w:val="none"/>
              </w:rPr>
              <w:t>》</w:t>
            </w:r>
          </w:p>
        </w:tc>
      </w:tr>
      <w:tr w14:paraId="309580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78" w:type="dxa"/>
            <w:noWrap w:val="0"/>
            <w:vAlign w:val="center"/>
          </w:tcPr>
          <w:p w14:paraId="0B6ADCA3">
            <w:pPr>
              <w:adjustRightInd w:val="0"/>
              <w:snapToGrid w:val="0"/>
              <w:jc w:val="center"/>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规划环境影响</w:t>
            </w:r>
          </w:p>
          <w:p w14:paraId="5B527D29">
            <w:pPr>
              <w:adjustRightInd w:val="0"/>
              <w:snapToGrid w:val="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sz w:val="24"/>
                <w:highlight w:val="none"/>
              </w:rPr>
              <w:t>评价情况</w:t>
            </w:r>
          </w:p>
        </w:tc>
        <w:tc>
          <w:tcPr>
            <w:tcW w:w="6892" w:type="dxa"/>
            <w:gridSpan w:val="3"/>
            <w:noWrap w:val="0"/>
            <w:vAlign w:val="center"/>
          </w:tcPr>
          <w:p w14:paraId="1DA6595D">
            <w:pPr>
              <w:pStyle w:val="109"/>
              <w:keepNext w:val="0"/>
              <w:keepLines w:val="0"/>
              <w:pageBreakBefore w:val="0"/>
              <w:tabs>
                <w:tab w:val="left" w:pos="-2848"/>
              </w:tabs>
              <w:kinsoku/>
              <w:wordWrap w:val="0"/>
              <w:overflowPunct/>
              <w:topLinePunct w:val="0"/>
              <w:bidi w:val="0"/>
              <w:adjustRightInd/>
              <w:snapToGrid/>
              <w:spacing w:line="36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spacing w:val="-1"/>
                <w:sz w:val="24"/>
                <w:szCs w:val="24"/>
                <w:highlight w:val="none"/>
              </w:rPr>
              <w:t>《韶关乐昌经济开发区规划环境影响报告书》，</w:t>
            </w:r>
            <w:r>
              <w:rPr>
                <w:rFonts w:hint="default" w:ascii="Times New Roman" w:hAnsi="Times New Roman" w:eastAsia="宋体" w:cs="Times New Roman"/>
                <w:color w:val="auto"/>
                <w:spacing w:val="-1"/>
                <w:sz w:val="24"/>
                <w:szCs w:val="24"/>
                <w:highlight w:val="none"/>
                <w:lang w:eastAsia="zh-CN"/>
              </w:rPr>
              <w:t>审查单位：</w:t>
            </w:r>
            <w:r>
              <w:rPr>
                <w:rFonts w:hint="default" w:ascii="Times New Roman" w:hAnsi="Times New Roman" w:eastAsia="宋体" w:cs="Times New Roman"/>
                <w:color w:val="auto"/>
                <w:spacing w:val="-1"/>
                <w:sz w:val="24"/>
                <w:szCs w:val="24"/>
                <w:highlight w:val="none"/>
              </w:rPr>
              <w:t>广东省</w:t>
            </w:r>
            <w:r>
              <w:rPr>
                <w:rFonts w:hint="default" w:ascii="Times New Roman" w:hAnsi="Times New Roman" w:eastAsia="宋体" w:cs="Times New Roman"/>
                <w:color w:val="auto"/>
                <w:spacing w:val="-1"/>
                <w:sz w:val="24"/>
                <w:szCs w:val="24"/>
                <w:highlight w:val="none"/>
                <w:lang w:val="en-US" w:eastAsia="zh-CN"/>
              </w:rPr>
              <w:t>生态环境</w:t>
            </w:r>
            <w:r>
              <w:rPr>
                <w:rFonts w:hint="default" w:ascii="Times New Roman" w:hAnsi="Times New Roman" w:eastAsia="宋体" w:cs="Times New Roman"/>
                <w:color w:val="auto"/>
                <w:spacing w:val="-1"/>
                <w:sz w:val="24"/>
                <w:szCs w:val="24"/>
                <w:highlight w:val="none"/>
              </w:rPr>
              <w:t>厅，广东省生态环境厅关于印发</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韶关乐昌经济开发区规划环境影响报告书审查意见</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的函</w:t>
            </w:r>
            <w:r>
              <w:rPr>
                <w:rFonts w:hint="default" w:ascii="Times New Roman" w:hAnsi="Times New Roman" w:eastAsia="宋体" w:cs="Times New Roman"/>
                <w:color w:val="auto"/>
                <w:spacing w:val="-1"/>
                <w:sz w:val="24"/>
                <w:szCs w:val="24"/>
                <w:highlight w:val="none"/>
                <w:lang w:val="en-US" w:eastAsia="zh-CN"/>
              </w:rPr>
              <w:t xml:space="preserve"> </w:t>
            </w:r>
            <w:r>
              <w:rPr>
                <w:rFonts w:hint="default" w:ascii="Times New Roman" w:hAnsi="Times New Roman" w:eastAsia="宋体" w:cs="Times New Roman"/>
                <w:color w:val="auto"/>
                <w:spacing w:val="-1"/>
                <w:sz w:val="24"/>
                <w:szCs w:val="24"/>
                <w:highlight w:val="none"/>
              </w:rPr>
              <w:t>粤环审〔2026〕80 号</w:t>
            </w:r>
          </w:p>
        </w:tc>
      </w:tr>
      <w:tr w14:paraId="257A4C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78" w:type="dxa"/>
            <w:noWrap w:val="0"/>
            <w:vAlign w:val="center"/>
          </w:tcPr>
          <w:p w14:paraId="63DB7E6C">
            <w:pPr>
              <w:autoSpaceDE w:val="0"/>
              <w:autoSpaceDN w:val="0"/>
              <w:adjustRightInd w:val="0"/>
              <w:snapToGrid w:val="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规划及规划环境</w:t>
            </w:r>
          </w:p>
          <w:p w14:paraId="48851F8B">
            <w:pPr>
              <w:autoSpaceDE w:val="0"/>
              <w:autoSpaceDN w:val="0"/>
              <w:adjustRightInd w:val="0"/>
              <w:snapToGrid w:val="0"/>
              <w:jc w:val="center"/>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影响评价符合性分析</w:t>
            </w:r>
          </w:p>
        </w:tc>
        <w:tc>
          <w:tcPr>
            <w:tcW w:w="6892" w:type="dxa"/>
            <w:gridSpan w:val="3"/>
            <w:noWrap w:val="0"/>
            <w:vAlign w:val="center"/>
          </w:tcPr>
          <w:p w14:paraId="34BD84BD">
            <w:pPr>
              <w:keepNext w:val="0"/>
              <w:keepLines w:val="0"/>
              <w:pageBreakBefore w:val="0"/>
              <w:numPr>
                <w:ilvl w:val="0"/>
                <w:numId w:val="0"/>
              </w:numPr>
              <w:tabs>
                <w:tab w:val="left" w:pos="0"/>
              </w:tabs>
              <w:kinsoku/>
              <w:wordWrap w:val="0"/>
              <w:overflowPunct/>
              <w:topLinePunct w:val="0"/>
              <w:bidi w:val="0"/>
              <w:adjustRightInd/>
              <w:snapToGrid/>
              <w:spacing w:line="360" w:lineRule="auto"/>
              <w:ind w:firstLine="476" w:firstLineChars="200"/>
              <w:jc w:val="left"/>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highlight w:val="none"/>
              </w:rPr>
              <w:t>根据</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韶关乐昌经济开发区规划环境影响报告书审查意见</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，新引入企业</w:t>
            </w:r>
            <w:r>
              <w:rPr>
                <w:rFonts w:hint="default" w:ascii="Times New Roman" w:hAnsi="Times New Roman" w:eastAsia="宋体" w:cs="Times New Roman"/>
                <w:color w:val="auto"/>
                <w:sz w:val="24"/>
                <w:szCs w:val="24"/>
                <w:vertAlign w:val="baseline"/>
              </w:rPr>
              <w:t>应符合现行有效的《产业结构调整指导目录</w:t>
            </w:r>
            <w:r>
              <w:rPr>
                <w:rFonts w:hint="eastAsia" w:cs="Times New Roman"/>
                <w:color w:val="auto"/>
                <w:sz w:val="24"/>
                <w:szCs w:val="24"/>
                <w:vertAlign w:val="baseline"/>
                <w:lang w:eastAsia="zh-CN"/>
              </w:rPr>
              <w:t>（</w:t>
            </w:r>
            <w:r>
              <w:rPr>
                <w:rFonts w:hint="default" w:ascii="Times New Roman" w:hAnsi="Times New Roman" w:eastAsia="宋体" w:cs="Times New Roman"/>
                <w:color w:val="auto"/>
                <w:sz w:val="24"/>
                <w:szCs w:val="24"/>
                <w:vertAlign w:val="baseline"/>
                <w:lang w:val="en-US" w:eastAsia="zh-CN"/>
              </w:rPr>
              <w:t>2024</w:t>
            </w:r>
            <w:r>
              <w:rPr>
                <w:rFonts w:hint="eastAsia" w:cs="Times New Roman"/>
                <w:color w:val="auto"/>
                <w:sz w:val="24"/>
                <w:szCs w:val="24"/>
                <w:vertAlign w:val="baseline"/>
                <w:lang w:val="en-US" w:eastAsia="zh-CN"/>
              </w:rPr>
              <w:t>年</w:t>
            </w:r>
            <w:r>
              <w:rPr>
                <w:rFonts w:hint="default" w:ascii="Times New Roman" w:hAnsi="Times New Roman" w:eastAsia="宋体" w:cs="Times New Roman"/>
                <w:color w:val="auto"/>
                <w:sz w:val="24"/>
                <w:szCs w:val="24"/>
                <w:vertAlign w:val="baseline"/>
                <w:lang w:val="en-US" w:eastAsia="zh-CN"/>
              </w:rPr>
              <w:t>本</w:t>
            </w:r>
            <w:r>
              <w:rPr>
                <w:rFonts w:hint="eastAsia" w:cs="Times New Roman"/>
                <w:color w:val="auto"/>
                <w:sz w:val="24"/>
                <w:szCs w:val="24"/>
                <w:vertAlign w:val="baseline"/>
                <w:lang w:val="en-US" w:eastAsia="zh-CN"/>
              </w:rPr>
              <w:t>）</w:t>
            </w:r>
            <w:r>
              <w:rPr>
                <w:rFonts w:hint="default" w:ascii="Times New Roman" w:hAnsi="Times New Roman" w:eastAsia="宋体" w:cs="Times New Roman"/>
                <w:color w:val="auto"/>
                <w:sz w:val="24"/>
                <w:szCs w:val="24"/>
                <w:vertAlign w:val="baseline"/>
              </w:rPr>
              <w:t>》、《市场准入负面清单》</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rPr>
              <w:t>发改体改规〔2025〕466 号</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vertAlign w:val="baseline"/>
              </w:rPr>
              <w:t>、《广东省国家重点生态功能区产业准入负面清单(试行</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vertAlign w:val="baseline"/>
              </w:rPr>
              <w:t>》</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rPr>
              <w:t>粤发改规划〔2017〕331 号</w:t>
            </w:r>
            <w:r>
              <w:rPr>
                <w:rFonts w:hint="default" w:ascii="Times New Roman" w:hAnsi="Times New Roman" w:eastAsia="宋体" w:cs="Times New Roman"/>
                <w:color w:val="auto"/>
                <w:sz w:val="24"/>
                <w:szCs w:val="24"/>
                <w:vertAlign w:val="baseline"/>
                <w:lang w:eastAsia="zh-CN"/>
              </w:rPr>
              <w:t>）</w:t>
            </w:r>
            <w:r>
              <w:rPr>
                <w:rFonts w:hint="default" w:ascii="Times New Roman" w:hAnsi="Times New Roman" w:eastAsia="宋体" w:cs="Times New Roman"/>
                <w:color w:val="auto"/>
                <w:sz w:val="24"/>
                <w:szCs w:val="24"/>
                <w:vertAlign w:val="baseline"/>
              </w:rPr>
              <w:t>等相关产业政策要求</w:t>
            </w:r>
            <w:r>
              <w:rPr>
                <w:rFonts w:hint="default" w:ascii="Times New Roman" w:hAnsi="Times New Roman" w:eastAsia="宋体" w:cs="Times New Roman"/>
                <w:color w:val="auto"/>
                <w:spacing w:val="-1"/>
                <w:sz w:val="24"/>
                <w:szCs w:val="24"/>
                <w:highlight w:val="none"/>
              </w:rPr>
              <w:t>。本次规划确定以轻工纺织、机械制造、电子信息、家具制造、金属制品为主导，以特色商贸等现代服务业为支撑的产业体系，重点发展机械、电子、纺织产业，优先引进无污染物或轻污染项目，</w:t>
            </w:r>
            <w:r>
              <w:rPr>
                <w:rFonts w:hint="default" w:ascii="Times New Roman" w:hAnsi="Times New Roman" w:eastAsia="宋体" w:cs="Times New Roman"/>
                <w:color w:val="auto"/>
                <w:sz w:val="24"/>
                <w:szCs w:val="24"/>
              </w:rPr>
              <w:t>禁止建设生产和使用高VOCs含量的溶剂型涂料、油墨、胶粘剂等项目。</w:t>
            </w:r>
            <w:r>
              <w:rPr>
                <w:rFonts w:hint="default" w:ascii="Times New Roman" w:hAnsi="Times New Roman" w:eastAsia="宋体" w:cs="Times New Roman"/>
                <w:color w:val="auto"/>
                <w:sz w:val="24"/>
                <w:szCs w:val="24"/>
                <w:vertAlign w:val="baseline"/>
              </w:rPr>
              <w:t>禁止新建、扩建专业电镀、鞣革、印染、化学制浆等水污染物排放量大或排放一类污染物、持久性有机污染物的项目。</w:t>
            </w:r>
          </w:p>
          <w:p w14:paraId="58F6471E">
            <w:pPr>
              <w:pStyle w:val="109"/>
              <w:keepNext w:val="0"/>
              <w:keepLines w:val="0"/>
              <w:pageBreakBefore w:val="0"/>
              <w:tabs>
                <w:tab w:val="left" w:pos="-2848"/>
              </w:tabs>
              <w:kinsoku/>
              <w:wordWrap w:val="0"/>
              <w:overflowPunct/>
              <w:topLinePunct w:val="0"/>
              <w:bidi w:val="0"/>
              <w:adjustRightInd/>
              <w:snapToGrid/>
              <w:spacing w:line="360" w:lineRule="auto"/>
              <w:ind w:firstLine="476" w:firstLineChars="200"/>
              <w:jc w:val="left"/>
              <w:outlineLvl w:val="9"/>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本项目满足国家和地方相关产业政策，</w:t>
            </w:r>
            <w:r>
              <w:rPr>
                <w:rFonts w:hint="default" w:ascii="Times New Roman" w:hAnsi="Times New Roman" w:eastAsia="宋体" w:cs="Times New Roman"/>
                <w:color w:val="auto"/>
                <w:spacing w:val="-1"/>
                <w:sz w:val="24"/>
                <w:szCs w:val="24"/>
                <w:highlight w:val="none"/>
                <w:lang w:val="en-US" w:eastAsia="zh-CN"/>
              </w:rPr>
              <w:t>项目所使用溶剂型涂料均为低挥发性产品，项目</w:t>
            </w:r>
            <w:r>
              <w:rPr>
                <w:rFonts w:hint="default" w:ascii="Times New Roman" w:hAnsi="Times New Roman" w:eastAsia="宋体" w:cs="Times New Roman"/>
                <w:color w:val="auto"/>
                <w:spacing w:val="-1"/>
                <w:sz w:val="24"/>
                <w:szCs w:val="24"/>
                <w:highlight w:val="none"/>
              </w:rPr>
              <w:t>不排放一类污染物和有毒有害物质，不向河流排放含汞、砷、镉、铬、铅等重金属污染物和持久性有机污染物，不属于园区禁止项目，符合园区准入条件。</w:t>
            </w:r>
          </w:p>
          <w:p w14:paraId="0C070EFB">
            <w:pPr>
              <w:pStyle w:val="15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与</w:t>
            </w:r>
            <w:r>
              <w:rPr>
                <w:rFonts w:hint="default" w:ascii="Times New Roman" w:hAnsi="Times New Roman" w:eastAsia="宋体" w:cs="Times New Roman"/>
                <w:color w:val="auto"/>
                <w:sz w:val="21"/>
                <w:szCs w:val="21"/>
                <w:highlight w:val="none"/>
                <w:lang w:val="en-US" w:eastAsia="zh-CN"/>
              </w:rPr>
              <w:t>《韶关乐昌经济开发区规划</w:t>
            </w:r>
          </w:p>
          <w:p w14:paraId="1F06AF07">
            <w:pPr>
              <w:pStyle w:val="155"/>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环境影响报告书审查意见》的</w:t>
            </w:r>
            <w:r>
              <w:rPr>
                <w:rFonts w:hint="eastAsia" w:ascii="Times New Roman" w:hAnsi="Times New Roman" w:eastAsia="宋体" w:cs="Times New Roman"/>
                <w:color w:val="auto"/>
                <w:sz w:val="21"/>
                <w:szCs w:val="21"/>
                <w:highlight w:val="none"/>
                <w:lang w:val="en-US" w:eastAsia="zh-CN"/>
              </w:rPr>
              <w:t>相符性分析</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3324"/>
              <w:gridCol w:w="2172"/>
              <w:gridCol w:w="482"/>
            </w:tblGrid>
            <w:tr w14:paraId="0F7FF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vAlign w:val="center"/>
                </w:tcPr>
                <w:p w14:paraId="02265759">
                  <w:pPr>
                    <w:jc w:val="center"/>
                    <w:rPr>
                      <w:rFonts w:hint="default" w:eastAsiaTheme="minorEastAsia"/>
                      <w:b/>
                      <w:bCs/>
                      <w:color w:val="auto"/>
                      <w:vertAlign w:val="baseline"/>
                      <w:lang w:val="en-US" w:eastAsia="zh-CN"/>
                    </w:rPr>
                  </w:pPr>
                  <w:r>
                    <w:rPr>
                      <w:rFonts w:hint="eastAsia"/>
                      <w:b/>
                      <w:bCs/>
                      <w:color w:val="auto"/>
                      <w:vertAlign w:val="baseline"/>
                      <w:lang w:val="en-US" w:eastAsia="zh-CN"/>
                    </w:rPr>
                    <w:t>管控要求</w:t>
                  </w:r>
                </w:p>
              </w:tc>
              <w:tc>
                <w:tcPr>
                  <w:tcW w:w="3324" w:type="dxa"/>
                  <w:vAlign w:val="center"/>
                </w:tcPr>
                <w:p w14:paraId="034E8FDF">
                  <w:pPr>
                    <w:jc w:val="center"/>
                    <w:rPr>
                      <w:rFonts w:hint="default" w:eastAsiaTheme="minorEastAsia"/>
                      <w:b/>
                      <w:bCs/>
                      <w:color w:val="auto"/>
                      <w:vertAlign w:val="baseline"/>
                      <w:lang w:val="en-US" w:eastAsia="zh-CN"/>
                    </w:rPr>
                  </w:pPr>
                  <w:r>
                    <w:rPr>
                      <w:rFonts w:hint="eastAsia"/>
                      <w:b/>
                      <w:bCs/>
                      <w:color w:val="auto"/>
                      <w:vertAlign w:val="baseline"/>
                      <w:lang w:val="en-US" w:eastAsia="zh-CN"/>
                    </w:rPr>
                    <w:t>总体准入要求</w:t>
                  </w:r>
                </w:p>
              </w:tc>
              <w:tc>
                <w:tcPr>
                  <w:tcW w:w="2172" w:type="dxa"/>
                  <w:vAlign w:val="center"/>
                </w:tcPr>
                <w:p w14:paraId="55B94685">
                  <w:pPr>
                    <w:jc w:val="center"/>
                    <w:rPr>
                      <w:rFonts w:hint="default"/>
                      <w:b/>
                      <w:bCs/>
                      <w:color w:val="auto"/>
                      <w:vertAlign w:val="baseline"/>
                      <w:lang w:val="en-US" w:eastAsia="zh-CN"/>
                    </w:rPr>
                  </w:pPr>
                  <w:r>
                    <w:rPr>
                      <w:rFonts w:hint="eastAsia"/>
                      <w:b/>
                      <w:bCs/>
                      <w:color w:val="auto"/>
                      <w:vertAlign w:val="baseline"/>
                      <w:lang w:val="en-US" w:eastAsia="zh-CN"/>
                    </w:rPr>
                    <w:t>项目情况</w:t>
                  </w:r>
                </w:p>
              </w:tc>
              <w:tc>
                <w:tcPr>
                  <w:tcW w:w="482" w:type="dxa"/>
                  <w:vAlign w:val="center"/>
                </w:tcPr>
                <w:p w14:paraId="7CA629BE">
                  <w:pPr>
                    <w:jc w:val="center"/>
                    <w:rPr>
                      <w:rFonts w:hint="default"/>
                      <w:b/>
                      <w:bCs/>
                      <w:color w:val="auto"/>
                      <w:vertAlign w:val="baseline"/>
                      <w:lang w:val="en-US" w:eastAsia="zh-CN"/>
                    </w:rPr>
                  </w:pPr>
                  <w:r>
                    <w:rPr>
                      <w:rFonts w:hint="eastAsia"/>
                      <w:b/>
                      <w:bCs/>
                      <w:color w:val="auto"/>
                      <w:vertAlign w:val="baseline"/>
                      <w:lang w:val="en-US" w:eastAsia="zh-CN"/>
                    </w:rPr>
                    <w:t>相符性</w:t>
                  </w:r>
                </w:p>
              </w:tc>
            </w:tr>
            <w:tr w14:paraId="790B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trPr>
              <w:tc>
                <w:tcPr>
                  <w:tcW w:w="688" w:type="dxa"/>
                  <w:vAlign w:val="center"/>
                </w:tcPr>
                <w:p w14:paraId="6B5E015F">
                  <w:pPr>
                    <w:jc w:val="center"/>
                    <w:rPr>
                      <w:rFonts w:hint="default" w:eastAsiaTheme="minorEastAsia"/>
                      <w:b/>
                      <w:bCs/>
                      <w:color w:val="auto"/>
                      <w:vertAlign w:val="baseline"/>
                      <w:lang w:val="en-US" w:eastAsia="zh-CN"/>
                    </w:rPr>
                  </w:pPr>
                  <w:r>
                    <w:rPr>
                      <w:rFonts w:hint="eastAsia"/>
                      <w:b/>
                      <w:bCs/>
                      <w:color w:val="auto"/>
                      <w:vertAlign w:val="baseline"/>
                      <w:lang w:val="en-US" w:eastAsia="zh-CN"/>
                    </w:rPr>
                    <w:t>空间布局约束</w:t>
                  </w:r>
                </w:p>
              </w:tc>
              <w:tc>
                <w:tcPr>
                  <w:tcW w:w="3324" w:type="dxa"/>
                  <w:vAlign w:val="center"/>
                </w:tcPr>
                <w:p w14:paraId="256B593B">
                  <w:pPr>
                    <w:jc w:val="center"/>
                    <w:rPr>
                      <w:rFonts w:hint="eastAsia"/>
                      <w:color w:val="auto"/>
                      <w:vertAlign w:val="baseline"/>
                    </w:rPr>
                  </w:pPr>
                  <w:r>
                    <w:rPr>
                      <w:rFonts w:hint="eastAsia"/>
                      <w:color w:val="auto"/>
                      <w:vertAlign w:val="baseline"/>
                    </w:rPr>
                    <w:t>引入产业应符合现行有效的《产业结构调整指导目录》、《市场准入负面清单》、《广东省国家重点生态功能区产业准入负面清单(试行</w:t>
                  </w:r>
                  <w:r>
                    <w:rPr>
                      <w:rFonts w:hint="eastAsia"/>
                      <w:color w:val="auto"/>
                      <w:vertAlign w:val="baseline"/>
                      <w:lang w:eastAsia="zh-CN"/>
                    </w:rPr>
                    <w:t>）</w:t>
                  </w:r>
                  <w:r>
                    <w:rPr>
                      <w:rFonts w:hint="eastAsia"/>
                      <w:color w:val="auto"/>
                      <w:vertAlign w:val="baseline"/>
                    </w:rPr>
                    <w:t>》等相关产业政策要求。</w:t>
                  </w:r>
                </w:p>
                <w:p w14:paraId="31C47328">
                  <w:pPr>
                    <w:jc w:val="center"/>
                    <w:rPr>
                      <w:rFonts w:hint="eastAsia"/>
                      <w:color w:val="auto"/>
                      <w:vertAlign w:val="baseline"/>
                      <w:lang w:val="en-US" w:eastAsia="zh-CN"/>
                    </w:rPr>
                  </w:pPr>
                  <w:r>
                    <w:rPr>
                      <w:rFonts w:hint="eastAsia"/>
                      <w:color w:val="auto"/>
                    </w:rPr>
                    <w:t>严格控制高污染高能耗项目建设。</w:t>
                  </w:r>
                  <w:r>
                    <w:rPr>
                      <w:rFonts w:hint="eastAsia"/>
                      <w:color w:val="auto"/>
                      <w:vertAlign w:val="baseline"/>
                    </w:rPr>
                    <w:t>新、改、扩建项目要达到国内清洁生产先进水平。</w:t>
                  </w:r>
                </w:p>
                <w:p w14:paraId="09EDE0FD">
                  <w:pPr>
                    <w:jc w:val="center"/>
                    <w:rPr>
                      <w:rFonts w:hint="eastAsia"/>
                      <w:color w:val="auto"/>
                      <w:vertAlign w:val="baseline"/>
                      <w:lang w:val="en-US" w:eastAsia="zh-CN"/>
                    </w:rPr>
                  </w:pPr>
                  <w:r>
                    <w:rPr>
                      <w:rFonts w:hint="eastAsia"/>
                      <w:color w:val="auto"/>
                      <w:vertAlign w:val="baseline"/>
                    </w:rPr>
                    <w:t>禁止销售、燃用高污染燃料</w:t>
                  </w:r>
                  <w:r>
                    <w:rPr>
                      <w:rFonts w:hint="eastAsia"/>
                      <w:color w:val="auto"/>
                      <w:vertAlign w:val="baseline"/>
                      <w:lang w:eastAsia="zh-CN"/>
                    </w:rPr>
                    <w:t>；</w:t>
                  </w:r>
                  <w:r>
                    <w:rPr>
                      <w:rFonts w:hint="eastAsia"/>
                      <w:color w:val="auto"/>
                      <w:vertAlign w:val="baseline"/>
                    </w:rPr>
                    <w:t>禁止新建、扩建燃用高污染燃料的设施</w:t>
                  </w:r>
                  <w:r>
                    <w:rPr>
                      <w:rFonts w:hint="eastAsia"/>
                      <w:color w:val="auto"/>
                      <w:vertAlign w:val="baseline"/>
                      <w:lang w:eastAsia="zh-CN"/>
                    </w:rPr>
                    <w:t>；</w:t>
                  </w:r>
                  <w:r>
                    <w:rPr>
                      <w:rFonts w:hint="eastAsia"/>
                      <w:color w:val="auto"/>
                    </w:rPr>
                    <w:t>禁止建设生产和使用高VOCs含量的溶剂型涂料、油墨、胶粘剂等项目。</w:t>
                  </w:r>
                </w:p>
                <w:p w14:paraId="69ED5A52">
                  <w:pPr>
                    <w:jc w:val="center"/>
                    <w:rPr>
                      <w:rFonts w:hint="eastAsia"/>
                      <w:color w:val="auto"/>
                      <w:vertAlign w:val="baseline"/>
                      <w:lang w:val="en-US" w:eastAsia="zh-CN"/>
                    </w:rPr>
                  </w:pPr>
                  <w:r>
                    <w:rPr>
                      <w:rFonts w:hint="eastAsia"/>
                      <w:color w:val="auto"/>
                      <w:vertAlign w:val="baseline"/>
                    </w:rPr>
                    <w:t>禁止新建、扩建专业电镀、鞣革、印染、化学制浆等水污染物排放量大或排放一类污染物、持久性有机污染物的项目。</w:t>
                  </w:r>
                </w:p>
                <w:p w14:paraId="2E4492C1">
                  <w:pPr>
                    <w:jc w:val="center"/>
                    <w:rPr>
                      <w:rFonts w:hint="eastAsia"/>
                      <w:color w:val="auto"/>
                      <w:vertAlign w:val="baseline"/>
                      <w:lang w:val="en-US" w:eastAsia="zh-CN"/>
                    </w:rPr>
                  </w:pPr>
                  <w:r>
                    <w:rPr>
                      <w:rFonts w:hint="eastAsia"/>
                      <w:color w:val="auto"/>
                      <w:vertAlign w:val="baseline"/>
                    </w:rPr>
                    <w:t>与中部规划居住用地、行政办公用地、教育用地等敏感区域临近的区域优先引进无污染的生产性服务业，布置废气排放量小、工业噪声影响小及没有恶臭气体产生的产业。学校周围直线延伸二百米范围内禁止设立易燃易爆、剧毒、放射性、腐蚀性等危险物品的生产、经营、储存、使用场所或者设施。临近南岸村、饮用水源准保护区等敏感用地优先引进无污染的生产性服务业，布置废气排放量小、工业噪声影响小及没有恶臭气体产生的产业。相关项目环评阶段应充分论证、优化项目布局以及按照相关要求确定大气环境防护距离。</w:t>
                  </w:r>
                </w:p>
                <w:p w14:paraId="18954211">
                  <w:pPr>
                    <w:jc w:val="center"/>
                    <w:rPr>
                      <w:rFonts w:hint="eastAsia"/>
                      <w:color w:val="auto"/>
                      <w:vertAlign w:val="baseline"/>
                    </w:rPr>
                  </w:pPr>
                  <w:r>
                    <w:rPr>
                      <w:rFonts w:hint="eastAsia"/>
                      <w:color w:val="auto"/>
                      <w:vertAlign w:val="baseline"/>
                    </w:rPr>
                    <w:t>与饮用水源准保护区重叠区域划定为优先保护单元，不进行工业开发利用，禁止新建、扩建对水体污染严重的建设项目，改建项目不得增加排污量。</w:t>
                  </w:r>
                </w:p>
                <w:p w14:paraId="38826741">
                  <w:pPr>
                    <w:jc w:val="center"/>
                    <w:rPr>
                      <w:rFonts w:hint="eastAsia"/>
                      <w:color w:val="auto"/>
                      <w:vertAlign w:val="baseline"/>
                      <w:lang w:val="en-US" w:eastAsia="zh-CN"/>
                    </w:rPr>
                  </w:pPr>
                  <w:r>
                    <w:rPr>
                      <w:rFonts w:hint="eastAsia"/>
                      <w:color w:val="auto"/>
                      <w:vertAlign w:val="baseline"/>
                    </w:rPr>
                    <w:t>在永久基本农田以及居民区、学校、医疗和养老机构等单位周边，避免新建涉重金属、多环芳烃类等持久性有机污染物企业。永久基本农田集中区域内，禁止建设工业固体废物、危险废物集中贮存、利用、处置的设施、场所。</w:t>
                  </w:r>
                </w:p>
              </w:tc>
              <w:tc>
                <w:tcPr>
                  <w:tcW w:w="2172" w:type="dxa"/>
                  <w:vAlign w:val="center"/>
                </w:tcPr>
                <w:p w14:paraId="72148161">
                  <w:pPr>
                    <w:jc w:val="center"/>
                    <w:rPr>
                      <w:rFonts w:hint="default"/>
                      <w:color w:val="auto"/>
                      <w:vertAlign w:val="baseline"/>
                      <w:lang w:val="en-US" w:eastAsia="zh-CN"/>
                    </w:rPr>
                  </w:pPr>
                  <w:r>
                    <w:rPr>
                      <w:rFonts w:hint="default" w:ascii="Times New Roman" w:hAnsi="Times New Roman" w:cs="Times New Roman"/>
                      <w:color w:val="auto"/>
                      <w:sz w:val="21"/>
                      <w:szCs w:val="21"/>
                      <w:highlight w:val="none"/>
                    </w:rPr>
                    <w:t>本项目为金属表面处理及热处理加工行业，不属于造纸、焦化、有色金属、印染、农副食品加工、原料药制造、制革、农药、电镀等行业，不属于“两高”项目。</w:t>
                  </w:r>
                  <w:r>
                    <w:rPr>
                      <w:rFonts w:hint="default" w:ascii="Times New Roman" w:hAnsi="Times New Roman" w:eastAsia="宋体" w:cs="Times New Roman"/>
                      <w:color w:val="auto"/>
                      <w:spacing w:val="-1"/>
                      <w:sz w:val="21"/>
                      <w:szCs w:val="21"/>
                      <w:highlight w:val="none"/>
                    </w:rPr>
                    <w:t>本项目满足国家和地方相关产业政策，</w:t>
                  </w:r>
                  <w:r>
                    <w:rPr>
                      <w:rFonts w:hint="default" w:ascii="Times New Roman" w:hAnsi="Times New Roman" w:eastAsia="宋体" w:cs="Times New Roman"/>
                      <w:color w:val="auto"/>
                      <w:spacing w:val="-1"/>
                      <w:sz w:val="21"/>
                      <w:szCs w:val="21"/>
                      <w:highlight w:val="none"/>
                      <w:lang w:val="en-US" w:eastAsia="zh-CN"/>
                    </w:rPr>
                    <w:t>项目所使用溶剂型涂料</w:t>
                  </w:r>
                  <w:r>
                    <w:rPr>
                      <w:rFonts w:hint="eastAsia" w:cs="Times New Roman"/>
                      <w:color w:val="auto"/>
                      <w:spacing w:val="-1"/>
                      <w:sz w:val="21"/>
                      <w:szCs w:val="21"/>
                      <w:highlight w:val="none"/>
                      <w:lang w:val="en-US" w:eastAsia="zh-CN"/>
                    </w:rPr>
                    <w:t>等</w:t>
                  </w:r>
                  <w:r>
                    <w:rPr>
                      <w:rFonts w:hint="default" w:ascii="Times New Roman" w:hAnsi="Times New Roman" w:eastAsia="宋体" w:cs="Times New Roman"/>
                      <w:color w:val="auto"/>
                      <w:spacing w:val="-1"/>
                      <w:sz w:val="21"/>
                      <w:szCs w:val="21"/>
                      <w:highlight w:val="none"/>
                      <w:lang w:val="en-US" w:eastAsia="zh-CN"/>
                    </w:rPr>
                    <w:t>均为低</w:t>
                  </w:r>
                  <w:r>
                    <w:rPr>
                      <w:rFonts w:hint="eastAsia" w:cs="Times New Roman"/>
                      <w:color w:val="auto"/>
                      <w:spacing w:val="-1"/>
                      <w:sz w:val="21"/>
                      <w:szCs w:val="21"/>
                      <w:highlight w:val="none"/>
                      <w:lang w:val="en-US" w:eastAsia="zh-CN"/>
                    </w:rPr>
                    <w:t>VOCs含量</w:t>
                  </w:r>
                  <w:r>
                    <w:rPr>
                      <w:rFonts w:hint="default" w:ascii="Times New Roman" w:hAnsi="Times New Roman" w:eastAsia="宋体" w:cs="Times New Roman"/>
                      <w:color w:val="auto"/>
                      <w:spacing w:val="-1"/>
                      <w:sz w:val="21"/>
                      <w:szCs w:val="21"/>
                      <w:highlight w:val="none"/>
                      <w:lang w:val="en-US" w:eastAsia="zh-CN"/>
                    </w:rPr>
                    <w:t>产品，项目</w:t>
                  </w:r>
                  <w:r>
                    <w:rPr>
                      <w:rFonts w:hint="default" w:ascii="Times New Roman" w:hAnsi="Times New Roman" w:eastAsia="宋体" w:cs="Times New Roman"/>
                      <w:color w:val="auto"/>
                      <w:spacing w:val="-1"/>
                      <w:sz w:val="21"/>
                      <w:szCs w:val="21"/>
                      <w:highlight w:val="none"/>
                    </w:rPr>
                    <w:t>不排放一类污染物和有毒有害物质，不向河流排放含汞、砷、镉、铬、铅等重金属污染物和持久性有机污染物，不属于园区禁止项目</w:t>
                  </w:r>
                  <w:r>
                    <w:rPr>
                      <w:rFonts w:hint="default" w:ascii="Times New Roman" w:hAnsi="Times New Roman" w:cs="Times New Roman"/>
                      <w:color w:val="auto"/>
                      <w:sz w:val="21"/>
                      <w:szCs w:val="21"/>
                      <w:highlight w:val="none"/>
                    </w:rPr>
                    <w:t>。</w:t>
                  </w:r>
                </w:p>
              </w:tc>
              <w:tc>
                <w:tcPr>
                  <w:tcW w:w="482" w:type="dxa"/>
                  <w:vAlign w:val="center"/>
                </w:tcPr>
                <w:p w14:paraId="0999741C">
                  <w:pPr>
                    <w:jc w:val="center"/>
                    <w:rPr>
                      <w:rFonts w:hint="default"/>
                      <w:color w:val="auto"/>
                      <w:vertAlign w:val="baseline"/>
                      <w:lang w:val="en-US" w:eastAsia="zh-CN"/>
                    </w:rPr>
                  </w:pPr>
                  <w:r>
                    <w:rPr>
                      <w:rFonts w:hint="eastAsia"/>
                      <w:color w:val="auto"/>
                      <w:vertAlign w:val="baseline"/>
                      <w:lang w:val="en-US" w:eastAsia="zh-CN"/>
                    </w:rPr>
                    <w:t>相符</w:t>
                  </w:r>
                </w:p>
              </w:tc>
            </w:tr>
            <w:tr w14:paraId="4392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688" w:type="dxa"/>
                  <w:vAlign w:val="center"/>
                </w:tcPr>
                <w:p w14:paraId="357B90F9">
                  <w:pPr>
                    <w:jc w:val="center"/>
                    <w:rPr>
                      <w:rFonts w:hint="default" w:eastAsiaTheme="minorEastAsia"/>
                      <w:b/>
                      <w:bCs/>
                      <w:color w:val="auto"/>
                      <w:vertAlign w:val="baseline"/>
                      <w:lang w:val="en-US" w:eastAsia="zh-CN"/>
                    </w:rPr>
                  </w:pPr>
                  <w:r>
                    <w:rPr>
                      <w:rFonts w:hint="eastAsia"/>
                      <w:b/>
                      <w:bCs/>
                      <w:color w:val="auto"/>
                      <w:vertAlign w:val="baseline"/>
                      <w:lang w:val="en-US" w:eastAsia="zh-CN"/>
                    </w:rPr>
                    <w:t>污染物排放管控</w:t>
                  </w:r>
                </w:p>
              </w:tc>
              <w:tc>
                <w:tcPr>
                  <w:tcW w:w="3324" w:type="dxa"/>
                  <w:vAlign w:val="center"/>
                </w:tcPr>
                <w:p w14:paraId="17608DDC">
                  <w:pPr>
                    <w:numPr>
                      <w:ilvl w:val="0"/>
                      <w:numId w:val="0"/>
                    </w:numPr>
                    <w:jc w:val="center"/>
                    <w:rPr>
                      <w:rFonts w:hint="eastAsia"/>
                      <w:color w:val="auto"/>
                      <w:vertAlign w:val="baseline"/>
                    </w:rPr>
                  </w:pPr>
                  <w:r>
                    <w:rPr>
                      <w:rFonts w:hint="eastAsia"/>
                      <w:color w:val="auto"/>
                      <w:vertAlign w:val="baseline"/>
                    </w:rPr>
                    <w:t>在可核查、可监管的基础上，新建项目原则上实施氮氧化物(NOx)和挥发性有机物(VOCs)等量替代。</w:t>
                  </w:r>
                </w:p>
                <w:p w14:paraId="1217B418">
                  <w:pPr>
                    <w:jc w:val="center"/>
                    <w:rPr>
                      <w:rFonts w:hint="eastAsia"/>
                      <w:color w:val="auto"/>
                      <w:vertAlign w:val="baseline"/>
                      <w:lang w:val="en-US" w:eastAsia="zh-CN"/>
                    </w:rPr>
                  </w:pPr>
                  <w:r>
                    <w:rPr>
                      <w:rFonts w:hint="eastAsia"/>
                      <w:color w:val="auto"/>
                      <w:vertAlign w:val="baseline"/>
                    </w:rPr>
                    <w:t>根据《广东省生态环境厅关于在重点区域执行污染物特别排放限值的公告》(粤环发(2023)1号)要求，执行相应特别排放限值要求。</w:t>
                  </w:r>
                </w:p>
                <w:p w14:paraId="11EDA0F2">
                  <w:pPr>
                    <w:jc w:val="center"/>
                    <w:rPr>
                      <w:rFonts w:hint="eastAsia"/>
                      <w:color w:val="auto"/>
                      <w:vertAlign w:val="baseline"/>
                      <w:lang w:val="en-US" w:eastAsia="zh-CN"/>
                    </w:rPr>
                  </w:pPr>
                  <w:r>
                    <w:rPr>
                      <w:rFonts w:hint="eastAsia"/>
                      <w:color w:val="auto"/>
                      <w:vertAlign w:val="baseline"/>
                    </w:rPr>
                    <w:t>开发区内各企业污废水原则上应接入园区污水处理厂进行集中处理、达标排放。各企业生产废水需经预处理达到广东省《水污染物排放限值》(DB4426-2001)第二时段三级标准、所属行业排放标准(间接排放)，以及污水处理厂接管标准后，方可与规划区生活污水通过污水管线一并进入园区污水处理厂处理。</w:t>
                  </w:r>
                </w:p>
                <w:p w14:paraId="557F8C9C">
                  <w:pPr>
                    <w:jc w:val="center"/>
                    <w:rPr>
                      <w:rFonts w:hint="eastAsia"/>
                      <w:color w:val="auto"/>
                      <w:vertAlign w:val="baseline"/>
                      <w:lang w:val="en-US" w:eastAsia="zh-CN"/>
                    </w:rPr>
                  </w:pPr>
                  <w:r>
                    <w:rPr>
                      <w:rFonts w:hint="eastAsia"/>
                      <w:color w:val="auto"/>
                      <w:vertAlign w:val="baseline"/>
                    </w:rPr>
                    <w:t>新建燃气锅炉废气执行《锅炉大气污染物排放标准》(DB44/765-2019)表3大气污染物特别排放限值:现有单台出力1蒸吨/小时(0.7兆瓦)以上，65蒸吨/小时及以下燃气锅炉执行《锅炉大气污染物排放标准》(DB44/765-2019)表3大气污染物特别排放限值;其它行业工艺废气有行业标准的执行行业标准，无行业标准的排放执行广东省地方标准《大气污染物排放限值》DB44/27-2001)第二时段二级标准。</w:t>
                  </w:r>
                </w:p>
                <w:p w14:paraId="474FB97C">
                  <w:pPr>
                    <w:jc w:val="center"/>
                    <w:rPr>
                      <w:rFonts w:hint="eastAsia"/>
                      <w:color w:val="auto"/>
                      <w:vertAlign w:val="baseline"/>
                      <w:lang w:val="en-US" w:eastAsia="zh-CN"/>
                    </w:rPr>
                  </w:pPr>
                  <w:r>
                    <w:rPr>
                      <w:rFonts w:hint="eastAsia"/>
                      <w:color w:val="auto"/>
                      <w:vertAlign w:val="baseline"/>
                    </w:rPr>
                    <w:t>产生固体废物(含危险废物)的企业须配套建设符合规范且满足需求的贮存场所，固体废物(含危险废物)贮存、转移过程中应配套防扬散、防流失、防渗漏及其它防止污染环境的措施。</w:t>
                  </w:r>
                </w:p>
                <w:p w14:paraId="64BD7CD4">
                  <w:pPr>
                    <w:jc w:val="center"/>
                    <w:rPr>
                      <w:rFonts w:hint="eastAsia"/>
                      <w:color w:val="auto"/>
                      <w:vertAlign w:val="baseline"/>
                      <w:lang w:val="en-US" w:eastAsia="zh-CN"/>
                    </w:rPr>
                  </w:pPr>
                  <w:r>
                    <w:rPr>
                      <w:rFonts w:hint="eastAsia"/>
                      <w:color w:val="auto"/>
                      <w:vertAlign w:val="baseline"/>
                    </w:rPr>
                    <w:t>重点重金属按照韶关市生态环境分区管控要求执行。</w:t>
                  </w:r>
                </w:p>
              </w:tc>
              <w:tc>
                <w:tcPr>
                  <w:tcW w:w="2172" w:type="dxa"/>
                  <w:vAlign w:val="center"/>
                </w:tcPr>
                <w:p w14:paraId="0222A704">
                  <w:pPr>
                    <w:jc w:val="center"/>
                    <w:rPr>
                      <w:rFonts w:hint="eastAsia" w:eastAsia="宋体"/>
                      <w:color w:val="auto"/>
                      <w:vertAlign w:val="baseline"/>
                      <w:lang w:val="en-US" w:eastAsia="zh-CN"/>
                    </w:rPr>
                  </w:pPr>
                  <w:r>
                    <w:rPr>
                      <w:rFonts w:hint="default" w:ascii="Times New Roman" w:hAnsi="Times New Roman" w:eastAsia="宋体" w:cs="Times New Roman"/>
                      <w:color w:val="auto"/>
                      <w:spacing w:val="-1"/>
                      <w:sz w:val="21"/>
                      <w:szCs w:val="21"/>
                      <w:highlight w:val="none"/>
                      <w:lang w:val="en-US" w:eastAsia="zh-CN"/>
                    </w:rPr>
                    <w:t>项目</w:t>
                  </w:r>
                  <w:r>
                    <w:rPr>
                      <w:rFonts w:hint="default" w:ascii="Times New Roman" w:hAnsi="Times New Roman" w:eastAsia="宋体" w:cs="Times New Roman"/>
                      <w:color w:val="auto"/>
                      <w:spacing w:val="-1"/>
                      <w:sz w:val="21"/>
                      <w:szCs w:val="21"/>
                      <w:highlight w:val="none"/>
                    </w:rPr>
                    <w:t>不排放一类污染物和有毒有害物质，不向河流排放含汞、砷、镉、铬、铅等重金属污染物和持久性有机污染物，不属于园区禁止项目</w:t>
                  </w:r>
                  <w:r>
                    <w:rPr>
                      <w:rFonts w:hint="eastAsia" w:ascii="Times New Roman" w:hAnsi="Times New Roman" w:eastAsia="宋体" w:cs="Times New Roman"/>
                      <w:color w:val="auto"/>
                      <w:spacing w:val="-1"/>
                      <w:sz w:val="21"/>
                      <w:szCs w:val="21"/>
                      <w:highlight w:val="none"/>
                      <w:lang w:eastAsia="zh-CN"/>
                    </w:rPr>
                    <w:t>。</w:t>
                  </w:r>
                  <w:r>
                    <w:rPr>
                      <w:rFonts w:hint="default" w:ascii="Times New Roman" w:hAnsi="Times New Roman" w:cs="Times New Roman"/>
                      <w:color w:val="auto"/>
                      <w:sz w:val="21"/>
                      <w:szCs w:val="21"/>
                      <w:highlight w:val="none"/>
                    </w:rPr>
                    <w:t>氮氧化物</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VOCs实行总量控制。项目所在地不涉及饮用水水源保护区，外排生产</w:t>
                  </w:r>
                  <w:r>
                    <w:rPr>
                      <w:rFonts w:hint="eastAsia" w:cs="Times New Roman"/>
                      <w:color w:val="auto"/>
                      <w:sz w:val="21"/>
                      <w:szCs w:val="21"/>
                      <w:highlight w:val="none"/>
                      <w:lang w:eastAsia="zh-CN"/>
                    </w:rPr>
                    <w:t>废水经自建</w:t>
                  </w:r>
                  <w:r>
                    <w:rPr>
                      <w:rFonts w:hint="default" w:ascii="Times New Roman" w:hAnsi="Times New Roman" w:cs="Times New Roman"/>
                      <w:color w:val="auto"/>
                      <w:sz w:val="21"/>
                      <w:szCs w:val="21"/>
                      <w:highlight w:val="none"/>
                    </w:rPr>
                    <w:t>污水处理站处理后排入园区污水处理厂</w:t>
                  </w:r>
                  <w:r>
                    <w:rPr>
                      <w:rFonts w:hint="eastAsia"/>
                      <w:color w:val="auto"/>
                      <w:sz w:val="21"/>
                      <w:szCs w:val="21"/>
                      <w:highlight w:val="none"/>
                      <w:lang w:val="en-US" w:eastAsia="zh-CN"/>
                    </w:rPr>
                    <w:t>深度处理</w:t>
                  </w:r>
                  <w:r>
                    <w:rPr>
                      <w:rFonts w:hint="eastAsia"/>
                      <w:color w:val="auto"/>
                      <w:sz w:val="21"/>
                      <w:szCs w:val="21"/>
                      <w:highlight w:val="none"/>
                    </w:rPr>
                    <w:t>，</w:t>
                  </w:r>
                  <w:r>
                    <w:rPr>
                      <w:rFonts w:hint="eastAsia"/>
                      <w:color w:val="auto"/>
                      <w:sz w:val="21"/>
                      <w:szCs w:val="21"/>
                      <w:highlight w:val="none"/>
                      <w:lang w:val="en-US" w:eastAsia="zh-CN"/>
                    </w:rPr>
                    <w:t>处理</w:t>
                  </w:r>
                  <w:r>
                    <w:rPr>
                      <w:rFonts w:hint="eastAsia"/>
                      <w:color w:val="auto"/>
                      <w:sz w:val="21"/>
                      <w:szCs w:val="21"/>
                      <w:highlight w:val="none"/>
                    </w:rPr>
                    <w:t>达标后通过出水管道输送</w:t>
                  </w:r>
                  <w:r>
                    <w:rPr>
                      <w:rFonts w:hint="eastAsia"/>
                      <w:color w:val="auto"/>
                      <w:sz w:val="21"/>
                      <w:szCs w:val="21"/>
                      <w:highlight w:val="none"/>
                      <w:lang w:val="en-US" w:eastAsia="zh-CN"/>
                    </w:rPr>
                    <w:t>尾水</w:t>
                  </w:r>
                  <w:r>
                    <w:rPr>
                      <w:rFonts w:hint="eastAsia"/>
                      <w:color w:val="auto"/>
                      <w:sz w:val="21"/>
                      <w:szCs w:val="21"/>
                      <w:highlight w:val="none"/>
                      <w:lang w:eastAsia="zh-CN"/>
                    </w:rPr>
                    <w:t>，</w:t>
                  </w:r>
                  <w:r>
                    <w:rPr>
                      <w:rFonts w:hint="eastAsia"/>
                      <w:color w:val="auto"/>
                      <w:sz w:val="21"/>
                      <w:szCs w:val="21"/>
                      <w:highlight w:val="none"/>
                      <w:lang w:val="en-US" w:eastAsia="zh-CN"/>
                    </w:rPr>
                    <w:t>经</w:t>
                  </w:r>
                  <w:r>
                    <w:rPr>
                      <w:rFonts w:hint="eastAsia"/>
                      <w:color w:val="auto"/>
                      <w:sz w:val="21"/>
                      <w:szCs w:val="21"/>
                      <w:highlight w:val="none"/>
                    </w:rPr>
                    <w:t>废水排放口</w:t>
                  </w:r>
                  <w:r>
                    <w:rPr>
                      <w:rFonts w:hint="eastAsia"/>
                      <w:color w:val="auto"/>
                      <w:sz w:val="21"/>
                      <w:szCs w:val="21"/>
                      <w:highlight w:val="none"/>
                      <w:lang w:eastAsia="zh-CN"/>
                    </w:rPr>
                    <w:t>（</w:t>
                  </w:r>
                  <w:r>
                    <w:rPr>
                      <w:rFonts w:hint="eastAsia"/>
                      <w:color w:val="auto"/>
                      <w:sz w:val="21"/>
                      <w:szCs w:val="21"/>
                      <w:highlight w:val="none"/>
                    </w:rPr>
                    <w:t>WS-LC005001</w:t>
                  </w:r>
                  <w:r>
                    <w:rPr>
                      <w:rFonts w:hint="eastAsia"/>
                      <w:color w:val="auto"/>
                      <w:sz w:val="21"/>
                      <w:szCs w:val="21"/>
                      <w:highlight w:val="none"/>
                      <w:lang w:eastAsia="zh-CN"/>
                    </w:rPr>
                    <w:t>）</w:t>
                  </w:r>
                  <w:r>
                    <w:rPr>
                      <w:rFonts w:hint="eastAsia"/>
                      <w:color w:val="auto"/>
                      <w:sz w:val="21"/>
                      <w:szCs w:val="21"/>
                      <w:highlight w:val="none"/>
                      <w:lang w:val="en-US" w:eastAsia="zh-CN"/>
                    </w:rPr>
                    <w:t>排放至</w:t>
                  </w:r>
                  <w:r>
                    <w:rPr>
                      <w:rFonts w:hint="eastAsia"/>
                      <w:color w:val="auto"/>
                      <w:sz w:val="21"/>
                      <w:szCs w:val="21"/>
                      <w:highlight w:val="none"/>
                    </w:rPr>
                    <w:t>榴村霜降坑河</w:t>
                  </w:r>
                  <w:r>
                    <w:rPr>
                      <w:rFonts w:hint="eastAsia"/>
                      <w:color w:val="auto"/>
                      <w:sz w:val="21"/>
                      <w:szCs w:val="21"/>
                      <w:highlight w:val="none"/>
                      <w:lang w:eastAsia="zh-CN"/>
                    </w:rPr>
                    <w:t>，</w:t>
                  </w:r>
                  <w:r>
                    <w:rPr>
                      <w:rFonts w:hint="eastAsia"/>
                      <w:color w:val="auto"/>
                      <w:sz w:val="21"/>
                      <w:szCs w:val="21"/>
                      <w:highlight w:val="none"/>
                      <w:lang w:val="en-US" w:eastAsia="zh-CN"/>
                    </w:rPr>
                    <w:t>最终</w:t>
                  </w:r>
                  <w:r>
                    <w:rPr>
                      <w:rFonts w:hint="eastAsia"/>
                      <w:color w:val="auto"/>
                      <w:sz w:val="21"/>
                      <w:szCs w:val="21"/>
                      <w:highlight w:val="none"/>
                    </w:rPr>
                    <w:t>流入武江</w:t>
                  </w:r>
                  <w:r>
                    <w:rPr>
                      <w:rFonts w:hint="default" w:ascii="Times New Roman" w:hAnsi="Times New Roman" w:cs="Times New Roman"/>
                      <w:color w:val="auto"/>
                      <w:sz w:val="21"/>
                      <w:szCs w:val="21"/>
                      <w:highlight w:val="none"/>
                    </w:rPr>
                    <w:t>；生活污水经三级化粪池</w:t>
                  </w:r>
                  <w:r>
                    <w:rPr>
                      <w:rFonts w:hint="default" w:ascii="Times New Roman" w:hAnsi="Times New Roman" w:cs="Times New Roman"/>
                      <w:color w:val="auto"/>
                      <w:sz w:val="21"/>
                      <w:szCs w:val="21"/>
                      <w:highlight w:val="none"/>
                      <w:lang w:val="en-US" w:eastAsia="zh-CN"/>
                    </w:rPr>
                    <w:t>+隔油隔渣池</w:t>
                  </w:r>
                  <w:r>
                    <w:rPr>
                      <w:rFonts w:hint="default" w:ascii="Times New Roman" w:hAnsi="Times New Roman" w:cs="Times New Roman"/>
                      <w:color w:val="auto"/>
                      <w:sz w:val="21"/>
                      <w:szCs w:val="21"/>
                      <w:highlight w:val="none"/>
                    </w:rPr>
                    <w:t>处理后排入园区污水处理厂，园区污水处理厂执行《城镇污水处理厂污染物排放标准》</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GB18918-2002</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中</w:t>
                  </w:r>
                  <w:r>
                    <w:rPr>
                      <w:rFonts w:hint="eastAsia" w:cs="Times New Roman"/>
                      <w:color w:val="auto"/>
                      <w:sz w:val="21"/>
                      <w:szCs w:val="21"/>
                      <w:highlight w:val="none"/>
                      <w:lang w:eastAsia="zh-CN"/>
                    </w:rPr>
                    <w:t>及其修改单一级 A 标准</w:t>
                  </w:r>
                  <w:r>
                    <w:rPr>
                      <w:rFonts w:hint="default" w:ascii="Times New Roman" w:hAnsi="Times New Roman" w:cs="Times New Roman"/>
                      <w:color w:val="auto"/>
                      <w:sz w:val="21"/>
                      <w:szCs w:val="21"/>
                      <w:highlight w:val="none"/>
                    </w:rPr>
                    <w:t>和广东省《水污染物排放限值</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（DB44/26-2001）中的第二时段一级排放标准中严者。</w:t>
                  </w:r>
                </w:p>
              </w:tc>
              <w:tc>
                <w:tcPr>
                  <w:tcW w:w="482" w:type="dxa"/>
                  <w:vAlign w:val="center"/>
                </w:tcPr>
                <w:p w14:paraId="49114389">
                  <w:pPr>
                    <w:jc w:val="center"/>
                    <w:rPr>
                      <w:rFonts w:hint="eastAsia"/>
                      <w:color w:val="auto"/>
                      <w:vertAlign w:val="baseline"/>
                      <w:lang w:val="en-US" w:eastAsia="zh-CN"/>
                    </w:rPr>
                  </w:pPr>
                  <w:r>
                    <w:rPr>
                      <w:rFonts w:hint="eastAsia"/>
                      <w:color w:val="auto"/>
                      <w:vertAlign w:val="baseline"/>
                      <w:lang w:val="en-US" w:eastAsia="zh-CN"/>
                    </w:rPr>
                    <w:t>相符</w:t>
                  </w:r>
                </w:p>
              </w:tc>
            </w:tr>
            <w:tr w14:paraId="0D91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atLeast"/>
              </w:trPr>
              <w:tc>
                <w:tcPr>
                  <w:tcW w:w="688" w:type="dxa"/>
                  <w:vAlign w:val="center"/>
                </w:tcPr>
                <w:p w14:paraId="455C11EF">
                  <w:pPr>
                    <w:jc w:val="center"/>
                    <w:rPr>
                      <w:rFonts w:hint="default" w:eastAsiaTheme="minorEastAsia"/>
                      <w:b/>
                      <w:bCs/>
                      <w:color w:val="auto"/>
                      <w:vertAlign w:val="baseline"/>
                      <w:lang w:val="en-US" w:eastAsia="zh-CN"/>
                    </w:rPr>
                  </w:pPr>
                  <w:r>
                    <w:rPr>
                      <w:rFonts w:hint="eastAsia"/>
                      <w:b/>
                      <w:bCs/>
                      <w:color w:val="auto"/>
                      <w:vertAlign w:val="baseline"/>
                      <w:lang w:val="en-US" w:eastAsia="zh-CN"/>
                    </w:rPr>
                    <w:t>环境风险管控</w:t>
                  </w:r>
                </w:p>
              </w:tc>
              <w:tc>
                <w:tcPr>
                  <w:tcW w:w="3324" w:type="dxa"/>
                  <w:vAlign w:val="center"/>
                </w:tcPr>
                <w:p w14:paraId="25F061C1">
                  <w:pPr>
                    <w:numPr>
                      <w:ilvl w:val="0"/>
                      <w:numId w:val="0"/>
                    </w:numPr>
                    <w:ind w:left="0" w:leftChars="0" w:firstLine="0" w:firstLineChars="0"/>
                    <w:jc w:val="center"/>
                    <w:rPr>
                      <w:rFonts w:hint="eastAsia"/>
                      <w:color w:val="auto"/>
                      <w:vertAlign w:val="baseline"/>
                    </w:rPr>
                  </w:pPr>
                  <w:r>
                    <w:rPr>
                      <w:rFonts w:hint="eastAsia"/>
                      <w:color w:val="auto"/>
                      <w:vertAlign w:val="baseline"/>
                    </w:rPr>
                    <w:t>生产、使用、储存危险化学品或其他存在环境风险的入区项目应配套有效的风险防范措施，并根据国家及广东省环境应急预案管理的要求编制环境风险应急预案，防止因渗漏污染地下水、土壤，以及因事故废水直排污染地表水体。</w:t>
                  </w:r>
                </w:p>
                <w:p w14:paraId="0F72638C">
                  <w:pPr>
                    <w:numPr>
                      <w:ilvl w:val="0"/>
                      <w:numId w:val="0"/>
                    </w:numPr>
                    <w:ind w:leftChars="0"/>
                    <w:jc w:val="center"/>
                    <w:rPr>
                      <w:rFonts w:hint="eastAsia"/>
                      <w:color w:val="auto"/>
                      <w:vertAlign w:val="baseline"/>
                      <w:lang w:val="en-US" w:eastAsia="zh-CN"/>
                    </w:rPr>
                  </w:pPr>
                  <w:r>
                    <w:rPr>
                      <w:rFonts w:hint="eastAsia"/>
                      <w:color w:val="auto"/>
                      <w:vertAlign w:val="baseline"/>
                    </w:rPr>
                    <w:t>涉及生产废水排放企业需配套有效措施，防止事故废水直排污染地表水体，防止因渗漏污染地下水。</w:t>
                  </w:r>
                </w:p>
                <w:p w14:paraId="3E690A33">
                  <w:pPr>
                    <w:numPr>
                      <w:ilvl w:val="0"/>
                      <w:numId w:val="0"/>
                    </w:numPr>
                    <w:ind w:leftChars="0"/>
                    <w:jc w:val="center"/>
                    <w:rPr>
                      <w:color w:val="auto"/>
                      <w:vertAlign w:val="baseline"/>
                    </w:rPr>
                  </w:pPr>
                  <w:r>
                    <w:rPr>
                      <w:rFonts w:hint="eastAsia"/>
                      <w:color w:val="auto"/>
                      <w:vertAlign w:val="baseline"/>
                    </w:rPr>
                    <w:t>应符合《韶关市人民政府关于印发韶关市“三线一单"生态环境分区管控方案的通知》(韶府(2021)10号)、《韶关市生态环境分区管控动态更新成果》及后续生态环境分区管控动态更新要求</w:t>
                  </w:r>
                </w:p>
              </w:tc>
              <w:tc>
                <w:tcPr>
                  <w:tcW w:w="2172" w:type="dxa"/>
                  <w:vAlign w:val="center"/>
                </w:tcPr>
                <w:p w14:paraId="43DB271E">
                  <w:pPr>
                    <w:numPr>
                      <w:ilvl w:val="0"/>
                      <w:numId w:val="0"/>
                    </w:numPr>
                    <w:ind w:leftChars="0"/>
                    <w:jc w:val="center"/>
                    <w:rPr>
                      <w:rFonts w:hint="eastAsia"/>
                      <w:color w:val="auto"/>
                      <w:vertAlign w:val="baseline"/>
                      <w:lang w:val="en-US" w:eastAsia="zh-CN"/>
                    </w:rPr>
                  </w:pPr>
                  <w:r>
                    <w:rPr>
                      <w:rFonts w:hint="default" w:ascii="Times New Roman" w:hAnsi="Times New Roman" w:cs="Times New Roman"/>
                      <w:color w:val="auto"/>
                      <w:sz w:val="21"/>
                      <w:szCs w:val="21"/>
                      <w:highlight w:val="none"/>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482" w:type="dxa"/>
                  <w:vAlign w:val="center"/>
                </w:tcPr>
                <w:p w14:paraId="270D4C84">
                  <w:pPr>
                    <w:numPr>
                      <w:ilvl w:val="0"/>
                      <w:numId w:val="0"/>
                    </w:numPr>
                    <w:ind w:leftChars="0"/>
                    <w:jc w:val="center"/>
                    <w:rPr>
                      <w:rFonts w:hint="eastAsia"/>
                      <w:color w:val="auto"/>
                      <w:vertAlign w:val="baseline"/>
                      <w:lang w:val="en-US" w:eastAsia="zh-CN"/>
                    </w:rPr>
                  </w:pPr>
                  <w:r>
                    <w:rPr>
                      <w:rFonts w:hint="eastAsia"/>
                      <w:color w:val="auto"/>
                      <w:vertAlign w:val="baseline"/>
                      <w:lang w:val="en-US" w:eastAsia="zh-CN"/>
                    </w:rPr>
                    <w:t>相符</w:t>
                  </w:r>
                </w:p>
              </w:tc>
            </w:tr>
            <w:tr w14:paraId="7CDB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trPr>
              <w:tc>
                <w:tcPr>
                  <w:tcW w:w="688" w:type="dxa"/>
                  <w:vAlign w:val="center"/>
                </w:tcPr>
                <w:p w14:paraId="03DC78EE">
                  <w:pPr>
                    <w:jc w:val="center"/>
                    <w:rPr>
                      <w:rFonts w:hint="default" w:eastAsiaTheme="minorEastAsia"/>
                      <w:b/>
                      <w:bCs/>
                      <w:color w:val="auto"/>
                      <w:vertAlign w:val="baseline"/>
                      <w:lang w:val="en-US" w:eastAsia="zh-CN"/>
                    </w:rPr>
                  </w:pPr>
                  <w:r>
                    <w:rPr>
                      <w:rFonts w:hint="eastAsia"/>
                      <w:b/>
                      <w:bCs/>
                      <w:color w:val="auto"/>
                      <w:vertAlign w:val="baseline"/>
                      <w:lang w:val="en-US" w:eastAsia="zh-CN"/>
                    </w:rPr>
                    <w:t>资源开发利用管理</w:t>
                  </w:r>
                </w:p>
              </w:tc>
              <w:tc>
                <w:tcPr>
                  <w:tcW w:w="3324" w:type="dxa"/>
                  <w:vAlign w:val="center"/>
                </w:tcPr>
                <w:p w14:paraId="621A37A3">
                  <w:pPr>
                    <w:jc w:val="center"/>
                    <w:rPr>
                      <w:rFonts w:hint="eastAsia"/>
                      <w:color w:val="auto"/>
                      <w:vertAlign w:val="baseline"/>
                    </w:rPr>
                  </w:pPr>
                  <w:r>
                    <w:rPr>
                      <w:rFonts w:hint="eastAsia"/>
                      <w:color w:val="auto"/>
                      <w:vertAlign w:val="baseline"/>
                    </w:rPr>
                    <w:t>禁止使用高污染燃料，建议使用电能、天然气等清洁能源。</w:t>
                  </w:r>
                </w:p>
                <w:p w14:paraId="61D3E95D">
                  <w:pPr>
                    <w:jc w:val="center"/>
                    <w:rPr>
                      <w:rFonts w:hint="eastAsia" w:eastAsiaTheme="minorEastAsia"/>
                      <w:color w:val="auto"/>
                      <w:vertAlign w:val="baseline"/>
                      <w:lang w:eastAsia="zh-CN"/>
                    </w:rPr>
                  </w:pPr>
                  <w:r>
                    <w:rPr>
                      <w:rFonts w:hint="eastAsia"/>
                      <w:color w:val="auto"/>
                      <w:vertAlign w:val="baseline"/>
                    </w:rPr>
                    <w:t>贯彻落实“节水优先”方针，实行最严格水资源管理制度</w:t>
                  </w:r>
                  <w:r>
                    <w:rPr>
                      <w:rFonts w:hint="eastAsia"/>
                      <w:color w:val="auto"/>
                      <w:vertAlign w:val="baseline"/>
                      <w:lang w:eastAsia="zh-CN"/>
                    </w:rPr>
                    <w:t>。</w:t>
                  </w:r>
                </w:p>
                <w:p w14:paraId="4672DF94">
                  <w:pPr>
                    <w:jc w:val="center"/>
                    <w:rPr>
                      <w:rFonts w:hint="eastAsia" w:eastAsiaTheme="minorEastAsia"/>
                      <w:color w:val="auto"/>
                      <w:vertAlign w:val="baseline"/>
                      <w:lang w:eastAsia="zh-CN"/>
                    </w:rPr>
                  </w:pPr>
                  <w:r>
                    <w:rPr>
                      <w:rFonts w:hint="eastAsia"/>
                      <w:color w:val="auto"/>
                      <w:vertAlign w:val="baseline"/>
                    </w:rPr>
                    <w:t>符合《韶关市人民政府关于印发韶关市“三线一单”生态环境分区管控方案的通知》(韶府(2021)10号)《韶关市生态环境分区管控动态更新成果》及后续生态环境分区管控动态更新要求</w:t>
                  </w:r>
                  <w:r>
                    <w:rPr>
                      <w:rFonts w:hint="eastAsia"/>
                      <w:color w:val="auto"/>
                      <w:vertAlign w:val="baseline"/>
                      <w:lang w:eastAsia="zh-CN"/>
                    </w:rPr>
                    <w:t>。</w:t>
                  </w:r>
                </w:p>
              </w:tc>
              <w:tc>
                <w:tcPr>
                  <w:tcW w:w="2172" w:type="dxa"/>
                  <w:vAlign w:val="center"/>
                </w:tcPr>
                <w:p w14:paraId="7765BF25">
                  <w:pPr>
                    <w:jc w:val="center"/>
                    <w:rPr>
                      <w:rFonts w:hint="eastAsia"/>
                      <w:color w:val="auto"/>
                      <w:vertAlign w:val="baseline"/>
                    </w:rPr>
                  </w:pPr>
                  <w:r>
                    <w:rPr>
                      <w:rFonts w:hint="default" w:ascii="Times New Roman" w:hAnsi="Times New Roman" w:cs="Times New Roman"/>
                      <w:color w:val="auto"/>
                      <w:sz w:val="21"/>
                      <w:szCs w:val="21"/>
                      <w:highlight w:val="none"/>
                    </w:rPr>
                    <w:t>本项目</w:t>
                  </w:r>
                  <w:r>
                    <w:rPr>
                      <w:rFonts w:hint="default" w:ascii="Times New Roman" w:hAnsi="Times New Roman" w:cs="Times New Roman"/>
                      <w:color w:val="auto"/>
                      <w:sz w:val="21"/>
                      <w:szCs w:val="21"/>
                      <w:highlight w:val="none"/>
                      <w:lang w:eastAsia="zh-CN"/>
                    </w:rPr>
                    <w:t>属于</w:t>
                  </w:r>
                  <w:r>
                    <w:rPr>
                      <w:rFonts w:hint="default" w:ascii="Times New Roman" w:hAnsi="Times New Roman" w:cs="Times New Roman"/>
                      <w:color w:val="auto"/>
                      <w:sz w:val="21"/>
                      <w:szCs w:val="21"/>
                      <w:highlight w:val="none"/>
                    </w:rPr>
                    <w:t>金属表面处理及热处理加工行业，不属于电力、建材、冶炼等重点耗能行业，不涉及水电、风电、矿产资源开发。项目</w:t>
                  </w:r>
                  <w:r>
                    <w:rPr>
                      <w:rFonts w:hint="eastAsia" w:cs="Times New Roman"/>
                      <w:color w:val="auto"/>
                      <w:sz w:val="21"/>
                      <w:szCs w:val="21"/>
                      <w:highlight w:val="none"/>
                      <w:lang w:val="en-US" w:eastAsia="zh-CN"/>
                    </w:rPr>
                    <w:t>固化炉</w:t>
                  </w:r>
                  <w:r>
                    <w:rPr>
                      <w:rFonts w:hint="default" w:ascii="Times New Roman" w:hAnsi="Times New Roman" w:cs="Times New Roman"/>
                      <w:color w:val="auto"/>
                      <w:sz w:val="21"/>
                      <w:szCs w:val="21"/>
                      <w:highlight w:val="none"/>
                    </w:rPr>
                    <w:t>能源使用天然气，天然气属于清洁能源。</w:t>
                  </w:r>
                </w:p>
              </w:tc>
              <w:tc>
                <w:tcPr>
                  <w:tcW w:w="482" w:type="dxa"/>
                  <w:vAlign w:val="center"/>
                </w:tcPr>
                <w:p w14:paraId="74C71E57">
                  <w:pPr>
                    <w:jc w:val="center"/>
                    <w:rPr>
                      <w:rFonts w:hint="eastAsia"/>
                      <w:color w:val="auto"/>
                      <w:vertAlign w:val="baseline"/>
                    </w:rPr>
                  </w:pPr>
                  <w:r>
                    <w:rPr>
                      <w:rFonts w:hint="eastAsia"/>
                      <w:color w:val="auto"/>
                      <w:vertAlign w:val="baseline"/>
                      <w:lang w:val="en-US" w:eastAsia="zh-CN"/>
                    </w:rPr>
                    <w:t>相符</w:t>
                  </w:r>
                </w:p>
              </w:tc>
            </w:tr>
          </w:tbl>
          <w:p w14:paraId="1E94C62D">
            <w:pPr>
              <w:pStyle w:val="109"/>
              <w:keepNext w:val="0"/>
              <w:keepLines w:val="0"/>
              <w:pageBreakBefore w:val="0"/>
              <w:tabs>
                <w:tab w:val="left" w:pos="-2848"/>
              </w:tabs>
              <w:kinsoku/>
              <w:wordWrap w:val="0"/>
              <w:overflowPunct/>
              <w:topLinePunct w:val="0"/>
              <w:bidi w:val="0"/>
              <w:adjustRightInd/>
              <w:snapToGrid/>
              <w:spacing w:line="360" w:lineRule="auto"/>
              <w:ind w:firstLine="476" w:firstLineChars="200"/>
              <w:jc w:val="left"/>
              <w:outlineLvl w:val="9"/>
              <w:rPr>
                <w:rFonts w:hint="eastAsia" w:ascii="Times New Roman" w:hAnsi="Times New Roman" w:cs="Times New Roman"/>
                <w:color w:val="auto"/>
                <w:spacing w:val="-1"/>
                <w:sz w:val="24"/>
                <w:szCs w:val="24"/>
                <w:highlight w:val="none"/>
                <w:lang w:val="en-US" w:eastAsia="zh-CN"/>
              </w:rPr>
            </w:pPr>
          </w:p>
        </w:tc>
      </w:tr>
      <w:tr w14:paraId="7C3E30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978" w:type="dxa"/>
            <w:noWrap w:val="0"/>
            <w:vAlign w:val="center"/>
          </w:tcPr>
          <w:p w14:paraId="47132AA7">
            <w:pPr>
              <w:autoSpaceDE w:val="0"/>
              <w:autoSpaceDN w:val="0"/>
              <w:adjustRightInd w:val="0"/>
              <w:snapToGrid w:val="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highlight w:val="none"/>
              </w:rPr>
              <w:t>其他符合性分析</w:t>
            </w:r>
          </w:p>
        </w:tc>
        <w:tc>
          <w:tcPr>
            <w:tcW w:w="6892" w:type="dxa"/>
            <w:gridSpan w:val="3"/>
            <w:noWrap w:val="0"/>
            <w:vAlign w:val="center"/>
          </w:tcPr>
          <w:p w14:paraId="42BC4FBE">
            <w:pPr>
              <w:pStyle w:val="2"/>
              <w:keepNext w:val="0"/>
              <w:keepLines w:val="0"/>
              <w:pageBreakBefore w:val="0"/>
              <w:widowControl w:val="0"/>
              <w:numPr>
                <w:ilvl w:val="0"/>
                <w:numId w:val="0"/>
              </w:numPr>
              <w:kinsoku/>
              <w:wordWrap/>
              <w:overflowPunct/>
              <w:topLinePunct w:val="0"/>
              <w:autoSpaceDE w:val="0"/>
              <w:autoSpaceDN w:val="0"/>
              <w:bidi w:val="0"/>
              <w:adjustRightInd w:val="0"/>
              <w:snapToGrid w:val="0"/>
              <w:spacing w:line="100" w:lineRule="exact"/>
              <w:jc w:val="left"/>
              <w:textAlignment w:val="auto"/>
              <w:rPr>
                <w:rFonts w:hint="default" w:ascii="Times New Roman" w:hAnsi="Times New Roman" w:eastAsia="宋体" w:cs="Times New Roman"/>
                <w:color w:val="auto"/>
                <w:kern w:val="0"/>
                <w:highlight w:val="none"/>
              </w:rPr>
            </w:pPr>
          </w:p>
          <w:p w14:paraId="222300B7">
            <w:pPr>
              <w:adjustRightInd w:val="0"/>
              <w:snapToGrid w:val="0"/>
              <w:spacing w:line="360" w:lineRule="auto"/>
              <w:ind w:firstLine="482" w:firstLineChars="20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1、产业政策符合性分析</w:t>
            </w:r>
          </w:p>
          <w:p w14:paraId="0EC7AF7B">
            <w:pPr>
              <w:spacing w:line="360" w:lineRule="auto"/>
              <w:ind w:firstLine="480" w:firstLineChars="200"/>
              <w:jc w:val="left"/>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本项目所属行业类别为C3360金属表面处理及热处理加工，根据《产业结构调整指导目录（2024年本）》（国家发展和改革委员会令 第7号），本项目不属于指导目录中的鼓励类、限制类和淘汰类产业，符合国家有关法律、法规和政策规定，属于允许类。经查《市场准入负面清单（202</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年版）》，项目不在清单中禁止和许可两类事项范畴内，可依法平等进入。因此，本项目符合国家产业政策要求。</w:t>
            </w:r>
          </w:p>
          <w:p w14:paraId="66B39871">
            <w:pPr>
              <w:autoSpaceDE w:val="0"/>
              <w:autoSpaceDN w:val="0"/>
              <w:adjustRightInd w:val="0"/>
              <w:snapToGrid w:val="0"/>
              <w:spacing w:line="360" w:lineRule="auto"/>
              <w:ind w:firstLine="482" w:firstLineChars="200"/>
              <w:jc w:val="left"/>
              <w:rPr>
                <w:rFonts w:hint="default" w:ascii="Times New Roman" w:hAnsi="Times New Roman" w:eastAsia="宋体" w:cs="Times New Roman"/>
                <w:b/>
                <w:bCs/>
                <w:color w:val="auto"/>
                <w:kern w:val="0"/>
                <w:sz w:val="24"/>
                <w:szCs w:val="24"/>
                <w:highlight w:val="none"/>
              </w:rPr>
            </w:pPr>
            <w:r>
              <w:rPr>
                <w:rFonts w:hint="default" w:ascii="Times New Roman" w:hAnsi="Times New Roman" w:eastAsia="宋体" w:cs="Times New Roman"/>
                <w:b/>
                <w:bCs/>
                <w:color w:val="auto"/>
                <w:kern w:val="0"/>
                <w:sz w:val="24"/>
                <w:szCs w:val="24"/>
                <w:highlight w:val="none"/>
              </w:rPr>
              <w:t>2、用地合理性分析</w:t>
            </w:r>
          </w:p>
          <w:p w14:paraId="15E2C782">
            <w:pPr>
              <w:spacing w:line="360" w:lineRule="auto"/>
              <w:ind w:firstLine="480" w:firstLineChars="200"/>
              <w:jc w:val="left"/>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bidi="ar"/>
              </w:rPr>
              <w:t>本项目选址于</w:t>
            </w:r>
            <w:r>
              <w:rPr>
                <w:rFonts w:hint="eastAsia" w:ascii="Times New Roman" w:hAnsi="Times New Roman" w:eastAsia="宋体" w:cs="Times New Roman"/>
                <w:color w:val="auto"/>
                <w:kern w:val="0"/>
                <w:sz w:val="24"/>
                <w:szCs w:val="24"/>
                <w:highlight w:val="none"/>
                <w:lang w:eastAsia="zh-CN" w:bidi="ar"/>
              </w:rPr>
              <w:t>韶关市乐昌市</w:t>
            </w:r>
            <w:r>
              <w:rPr>
                <w:rFonts w:hint="eastAsia" w:cs="Times New Roman"/>
                <w:color w:val="auto"/>
                <w:kern w:val="0"/>
                <w:sz w:val="24"/>
                <w:szCs w:val="24"/>
                <w:highlight w:val="none"/>
                <w:lang w:eastAsia="zh-CN" w:bidi="ar"/>
              </w:rPr>
              <w:t>乐昌产业转移工业园GL-02-02-01地块</w:t>
            </w:r>
            <w:r>
              <w:rPr>
                <w:rFonts w:hint="default" w:ascii="Times New Roman" w:hAnsi="Times New Roman" w:eastAsia="宋体" w:cs="Times New Roman"/>
                <w:color w:val="auto"/>
                <w:kern w:val="0"/>
                <w:sz w:val="24"/>
                <w:szCs w:val="24"/>
                <w:highlight w:val="none"/>
                <w:lang w:bidi="ar"/>
              </w:rPr>
              <w:t>，</w:t>
            </w:r>
            <w:r>
              <w:rPr>
                <w:rFonts w:hint="default" w:ascii="Times New Roman" w:hAnsi="Times New Roman" w:eastAsia="宋体" w:cs="Times New Roman"/>
                <w:color w:val="auto"/>
                <w:kern w:val="0"/>
                <w:sz w:val="24"/>
                <w:szCs w:val="24"/>
                <w:highlight w:val="none"/>
              </w:rPr>
              <w:t>根据建设单位提供的</w:t>
            </w:r>
            <w:r>
              <w:rPr>
                <w:rFonts w:hint="eastAsia" w:ascii="Times New Roman" w:hAnsi="Times New Roman" w:eastAsia="宋体" w:cs="Times New Roman"/>
                <w:color w:val="auto"/>
                <w:kern w:val="0"/>
                <w:sz w:val="24"/>
                <w:szCs w:val="24"/>
                <w:highlight w:val="none"/>
                <w:lang w:val="en-US" w:eastAsia="zh-CN"/>
              </w:rPr>
              <w:t>不动产权证</w:t>
            </w:r>
            <w:r>
              <w:rPr>
                <w:rFonts w:hint="default"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粤（2025）乐昌市不动产权0009019号</w:t>
            </w:r>
            <w:r>
              <w:rPr>
                <w:rFonts w:hint="default" w:ascii="Times New Roman" w:hAnsi="Times New Roman" w:eastAsia="宋体" w:cs="Times New Roman"/>
                <w:color w:val="auto"/>
                <w:kern w:val="0"/>
                <w:sz w:val="24"/>
                <w:szCs w:val="24"/>
                <w:highlight w:val="none"/>
                <w:lang w:val="en-US" w:eastAsia="zh-CN"/>
              </w:rPr>
              <w:t>（见附件</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本项目宗地</w:t>
            </w:r>
            <w:r>
              <w:rPr>
                <w:rFonts w:hint="default" w:ascii="Times New Roman" w:hAnsi="Times New Roman" w:eastAsia="宋体" w:cs="Times New Roman"/>
                <w:bCs/>
                <w:color w:val="auto"/>
                <w:sz w:val="24"/>
                <w:szCs w:val="24"/>
                <w:highlight w:val="none"/>
                <w:lang w:val="en-US" w:eastAsia="zh-CN"/>
              </w:rPr>
              <w:t>面积</w:t>
            </w:r>
            <w:r>
              <w:rPr>
                <w:rFonts w:hint="eastAsia" w:ascii="Times New Roman" w:hAnsi="Times New Roman" w:eastAsia="宋体" w:cs="Times New Roman"/>
                <w:bCs/>
                <w:color w:val="auto"/>
                <w:sz w:val="24"/>
                <w:szCs w:val="24"/>
                <w:highlight w:val="none"/>
                <w:lang w:val="en-US" w:eastAsia="zh-CN"/>
              </w:rPr>
              <w:t>54139.29</w:t>
            </w:r>
            <w:r>
              <w:rPr>
                <w:rFonts w:hint="default" w:ascii="Times New Roman" w:hAnsi="Times New Roman" w:eastAsia="宋体" w:cs="Times New Roman"/>
                <w:bCs/>
                <w:color w:val="auto"/>
                <w:sz w:val="24"/>
                <w:szCs w:val="24"/>
                <w:highlight w:val="none"/>
                <w:lang w:val="en-US" w:eastAsia="zh-CN"/>
              </w:rPr>
              <w:t>m</w:t>
            </w:r>
            <w:r>
              <w:rPr>
                <w:rFonts w:hint="default" w:ascii="Times New Roman" w:hAnsi="Times New Roman" w:eastAsia="宋体" w:cs="Times New Roman"/>
                <w:bCs/>
                <w:color w:val="auto"/>
                <w:sz w:val="24"/>
                <w:szCs w:val="24"/>
                <w:highlight w:val="none"/>
                <w:vertAlign w:val="superscript"/>
                <w:lang w:val="en-US" w:eastAsia="zh-CN"/>
              </w:rPr>
              <w:t>2</w:t>
            </w:r>
            <w:r>
              <w:rPr>
                <w:rFonts w:hint="default" w:ascii="Times New Roman" w:hAnsi="Times New Roman" w:eastAsia="宋体" w:cs="Times New Roman"/>
                <w:bCs/>
                <w:color w:val="auto"/>
                <w:sz w:val="24"/>
                <w:szCs w:val="24"/>
                <w:highlight w:val="none"/>
                <w:lang w:val="en-US" w:eastAsia="zh-CN"/>
              </w:rPr>
              <w:t>，</w:t>
            </w:r>
            <w:r>
              <w:rPr>
                <w:rFonts w:hint="default" w:ascii="Times New Roman" w:hAnsi="Times New Roman" w:eastAsia="宋体" w:cs="Times New Roman"/>
                <w:color w:val="auto"/>
                <w:kern w:val="0"/>
                <w:sz w:val="24"/>
                <w:szCs w:val="24"/>
                <w:highlight w:val="none"/>
              </w:rPr>
              <w:t>属于</w:t>
            </w:r>
            <w:r>
              <w:rPr>
                <w:rFonts w:hint="eastAsia" w:ascii="Times New Roman" w:hAnsi="Times New Roman" w:eastAsia="宋体" w:cs="Times New Roman"/>
                <w:color w:val="auto"/>
                <w:kern w:val="0"/>
                <w:sz w:val="24"/>
                <w:szCs w:val="24"/>
                <w:highlight w:val="none"/>
                <w:lang w:val="en-US" w:eastAsia="zh-CN"/>
              </w:rPr>
              <w:t>工业</w:t>
            </w:r>
            <w:r>
              <w:rPr>
                <w:rFonts w:hint="default" w:ascii="Times New Roman" w:hAnsi="Times New Roman" w:eastAsia="宋体" w:cs="Times New Roman"/>
                <w:color w:val="auto"/>
                <w:kern w:val="0"/>
                <w:sz w:val="24"/>
                <w:szCs w:val="24"/>
                <w:highlight w:val="none"/>
              </w:rPr>
              <w:t>用地</w:t>
            </w:r>
            <w:r>
              <w:rPr>
                <w:rFonts w:hint="eastAsia" w:ascii="Times New Roman" w:hAnsi="Times New Roman" w:eastAsia="宋体" w:cs="Times New Roman"/>
                <w:color w:val="auto"/>
                <w:kern w:val="0"/>
                <w:sz w:val="24"/>
                <w:szCs w:val="24"/>
                <w:highlight w:val="none"/>
                <w:lang w:eastAsia="zh-CN"/>
              </w:rPr>
              <w:t>，没有占用</w:t>
            </w:r>
            <w:r>
              <w:rPr>
                <w:rFonts w:hint="eastAsia" w:cs="Times New Roman"/>
                <w:color w:val="auto"/>
                <w:kern w:val="0"/>
                <w:sz w:val="24"/>
                <w:szCs w:val="24"/>
                <w:highlight w:val="none"/>
                <w:lang w:eastAsia="zh-CN"/>
              </w:rPr>
              <w:t>基本农田</w:t>
            </w:r>
            <w:r>
              <w:rPr>
                <w:rFonts w:hint="eastAsia" w:ascii="Times New Roman" w:hAnsi="Times New Roman" w:eastAsia="宋体" w:cs="Times New Roman"/>
                <w:color w:val="auto"/>
                <w:kern w:val="0"/>
                <w:sz w:val="24"/>
                <w:szCs w:val="24"/>
                <w:highlight w:val="none"/>
                <w:lang w:eastAsia="zh-CN"/>
              </w:rPr>
              <w:t>，符合韶关市城市建设和环境功能区规划的要求，且具有水、电等供应保障，交通便利等条件。项目周围没有风景名胜区、生态脆弱带等。故项目选址是合理的。</w:t>
            </w:r>
          </w:p>
          <w:p w14:paraId="366ECB08">
            <w:pPr>
              <w:spacing w:line="360" w:lineRule="auto"/>
              <w:ind w:firstLine="482" w:firstLineChars="200"/>
              <w:rPr>
                <w:rFonts w:hint="default" w:ascii="Times New Roman" w:hAnsi="Times New Roman" w:eastAsia="宋体" w:cs="Times New Roman"/>
                <w:b/>
                <w:bCs/>
                <w:color w:val="auto"/>
                <w:kern w:val="0"/>
                <w:sz w:val="24"/>
                <w:highlight w:val="none"/>
              </w:rPr>
            </w:pPr>
            <w:r>
              <w:rPr>
                <w:rFonts w:hint="default" w:ascii="Times New Roman" w:hAnsi="Times New Roman" w:eastAsia="宋体" w:cs="Times New Roman"/>
                <w:b/>
                <w:bCs/>
                <w:color w:val="auto"/>
                <w:kern w:val="0"/>
                <w:sz w:val="24"/>
                <w:highlight w:val="none"/>
              </w:rPr>
              <w:t>3、与环境功能区划相符性分析</w:t>
            </w:r>
          </w:p>
          <w:p w14:paraId="1BE3721C">
            <w:pPr>
              <w:spacing w:line="360" w:lineRule="auto"/>
              <w:ind w:firstLine="480" w:firstLineChars="200"/>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rPr>
              <w:t>（1）根据《广东省人民政府关于印发部分市乡镇集中式饮用水源保护区划分方案的通知》（粤府函〔2015〕17号）</w:t>
            </w:r>
            <w:r>
              <w:rPr>
                <w:rFonts w:hint="eastAsia"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rPr>
              <w:t>《广东省人民政府关于调整韶关市部分饮用水水源保护区的批复》（粤府函〔2018〕427号）及</w:t>
            </w:r>
            <w:r>
              <w:rPr>
                <w:rFonts w:hint="eastAsia"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rPr>
              <w:t>广东省生态环境厅 广东省水利厅关于印发〈韶关市部分饮用水水源保护区调整方案〉的通知</w:t>
            </w:r>
            <w:r>
              <w:rPr>
                <w:rFonts w:hint="eastAsia"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rPr>
              <w:t>粤环函〔2024〕146号</w:t>
            </w:r>
            <w:r>
              <w:rPr>
                <w:rFonts w:hint="eastAsia" w:ascii="Times New Roman" w:hAnsi="Times New Roman" w:eastAsia="宋体" w:cs="Times New Roman"/>
                <w:b w:val="0"/>
                <w:bCs w:val="0"/>
                <w:color w:val="auto"/>
                <w:kern w:val="0"/>
                <w:sz w:val="24"/>
                <w:highlight w:val="none"/>
                <w:lang w:eastAsia="zh-CN"/>
              </w:rPr>
              <w:t>）</w:t>
            </w:r>
            <w:r>
              <w:rPr>
                <w:rFonts w:hint="default" w:ascii="Times New Roman" w:hAnsi="Times New Roman" w:eastAsia="宋体" w:cs="Times New Roman"/>
                <w:b w:val="0"/>
                <w:bCs w:val="0"/>
                <w:color w:val="auto"/>
                <w:kern w:val="0"/>
                <w:sz w:val="24"/>
                <w:highlight w:val="none"/>
              </w:rPr>
              <w:t>，项目所在地不属于韶关市一、二级水源保护区，符合水污染防治条例的有关要求。</w:t>
            </w:r>
          </w:p>
          <w:p w14:paraId="7DCE3E38">
            <w:pPr>
              <w:spacing w:line="360" w:lineRule="auto"/>
              <w:ind w:firstLine="480" w:firstLineChars="200"/>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rPr>
              <w:t>（2）根据《乐昌市人民政府办公室关于印发乐昌市生态环境保护“十四五”规划的通知》（乐府办〔2022〕16号）中《乐昌市“十四五”生态环境保护规划大气环境功能区划图》，项目所在区域为环境空气质量二类功能区，不属于环境空气质量一类功能区中的自然保护区风景名胜区和</w:t>
            </w:r>
            <w:r>
              <w:rPr>
                <w:rFonts w:hint="default" w:ascii="Times New Roman" w:hAnsi="Times New Roman" w:eastAsia="宋体" w:cs="Times New Roman"/>
                <w:b w:val="0"/>
                <w:bCs w:val="0"/>
                <w:color w:val="auto"/>
                <w:kern w:val="0"/>
                <w:sz w:val="24"/>
                <w:highlight w:val="none"/>
                <w:lang w:eastAsia="zh-CN"/>
              </w:rPr>
              <w:t>其他需要</w:t>
            </w:r>
            <w:r>
              <w:rPr>
                <w:rFonts w:hint="default" w:ascii="Times New Roman" w:hAnsi="Times New Roman" w:eastAsia="宋体" w:cs="Times New Roman"/>
                <w:b w:val="0"/>
                <w:bCs w:val="0"/>
                <w:color w:val="auto"/>
                <w:kern w:val="0"/>
                <w:sz w:val="24"/>
                <w:highlight w:val="none"/>
              </w:rPr>
              <w:t>特殊保护的区域。</w:t>
            </w:r>
          </w:p>
          <w:p w14:paraId="17423262">
            <w:pPr>
              <w:spacing w:line="360" w:lineRule="auto"/>
              <w:ind w:firstLine="480" w:firstLineChars="200"/>
              <w:rPr>
                <w:rFonts w:hint="default" w:ascii="Times New Roman" w:hAnsi="Times New Roman" w:eastAsia="宋体" w:cs="Times New Roman"/>
                <w:b w:val="0"/>
                <w:bCs w:val="0"/>
                <w:color w:val="auto"/>
                <w:kern w:val="0"/>
                <w:sz w:val="24"/>
                <w:highlight w:val="none"/>
              </w:rPr>
            </w:pPr>
            <w:r>
              <w:rPr>
                <w:rFonts w:hint="default" w:ascii="Times New Roman" w:hAnsi="Times New Roman" w:eastAsia="宋体" w:cs="Times New Roman"/>
                <w:b w:val="0"/>
                <w:bCs w:val="0"/>
                <w:color w:val="auto"/>
                <w:kern w:val="0"/>
                <w:sz w:val="24"/>
                <w:highlight w:val="none"/>
              </w:rPr>
              <w:t>（3）根据《乐昌产业转移工业园</w:t>
            </w:r>
            <w:r>
              <w:rPr>
                <w:rFonts w:hint="default" w:ascii="Times New Roman" w:hAnsi="Times New Roman" w:eastAsia="宋体" w:cs="Times New Roman"/>
                <w:b w:val="0"/>
                <w:bCs w:val="0"/>
                <w:color w:val="auto"/>
                <w:kern w:val="0"/>
                <w:sz w:val="24"/>
                <w:highlight w:val="none"/>
                <w:lang w:val="en-US" w:eastAsia="zh-CN"/>
              </w:rPr>
              <w:t>城东片区控制性详细规划修编</w:t>
            </w:r>
            <w:r>
              <w:rPr>
                <w:rFonts w:hint="default" w:ascii="Times New Roman" w:hAnsi="Times New Roman" w:eastAsia="宋体" w:cs="Times New Roman"/>
                <w:b w:val="0"/>
                <w:bCs w:val="0"/>
                <w:color w:val="auto"/>
                <w:kern w:val="0"/>
                <w:sz w:val="24"/>
                <w:highlight w:val="none"/>
              </w:rPr>
              <w:t>》及</w:t>
            </w:r>
            <w:r>
              <w:rPr>
                <w:rFonts w:hint="eastAsia" w:ascii="Times New Roman" w:hAnsi="Times New Roman" w:eastAsia="宋体" w:cs="Times New Roman"/>
                <w:b w:val="0"/>
                <w:bCs w:val="0"/>
                <w:color w:val="auto"/>
                <w:kern w:val="0"/>
                <w:sz w:val="24"/>
                <w:highlight w:val="none"/>
                <w:lang w:val="en-US" w:eastAsia="zh-CN"/>
              </w:rPr>
              <w:t>不动产权证</w:t>
            </w:r>
            <w:r>
              <w:rPr>
                <w:rFonts w:hint="default" w:ascii="Times New Roman" w:hAnsi="Times New Roman" w:eastAsia="宋体" w:cs="Times New Roman"/>
                <w:b w:val="0"/>
                <w:bCs w:val="0"/>
                <w:color w:val="auto"/>
                <w:kern w:val="0"/>
                <w:sz w:val="24"/>
                <w:highlight w:val="none"/>
              </w:rPr>
              <w:t>，项目所在地</w:t>
            </w:r>
            <w:r>
              <w:rPr>
                <w:rFonts w:hint="eastAsia" w:ascii="Times New Roman" w:hAnsi="Times New Roman" w:eastAsia="宋体" w:cs="Times New Roman"/>
                <w:b w:val="0"/>
                <w:bCs w:val="0"/>
                <w:color w:val="auto"/>
                <w:kern w:val="0"/>
                <w:sz w:val="24"/>
                <w:highlight w:val="none"/>
                <w:lang w:val="en-US" w:eastAsia="zh-CN"/>
              </w:rPr>
              <w:t>块</w:t>
            </w:r>
            <w:r>
              <w:rPr>
                <w:rFonts w:hint="default" w:ascii="Times New Roman" w:hAnsi="Times New Roman" w:eastAsia="宋体" w:cs="Times New Roman"/>
                <w:b w:val="0"/>
                <w:bCs w:val="0"/>
                <w:color w:val="auto"/>
                <w:kern w:val="0"/>
                <w:sz w:val="24"/>
                <w:highlight w:val="none"/>
              </w:rPr>
              <w:t>为工业用地，项目所在区域为声环境3类</w:t>
            </w:r>
            <w:r>
              <w:rPr>
                <w:rFonts w:hint="eastAsia" w:ascii="Times New Roman" w:hAnsi="Times New Roman" w:eastAsia="宋体" w:cs="Times New Roman"/>
                <w:b w:val="0"/>
                <w:bCs w:val="0"/>
                <w:color w:val="auto"/>
                <w:kern w:val="0"/>
                <w:sz w:val="24"/>
                <w:highlight w:val="none"/>
                <w:lang w:val="en-US" w:eastAsia="zh-CN"/>
              </w:rPr>
              <w:t>和4a类</w:t>
            </w:r>
            <w:r>
              <w:rPr>
                <w:rFonts w:hint="default" w:ascii="Times New Roman" w:hAnsi="Times New Roman" w:eastAsia="宋体" w:cs="Times New Roman"/>
                <w:b w:val="0"/>
                <w:bCs w:val="0"/>
                <w:color w:val="auto"/>
                <w:kern w:val="0"/>
                <w:sz w:val="24"/>
                <w:highlight w:val="none"/>
              </w:rPr>
              <w:t>区，不属于声环境1类区。</w:t>
            </w:r>
          </w:p>
          <w:p w14:paraId="2E30AF25">
            <w:pPr>
              <w:spacing w:line="360" w:lineRule="auto"/>
              <w:ind w:firstLine="482" w:firstLineChars="200"/>
              <w:rPr>
                <w:rFonts w:hint="default" w:ascii="Times New Roman" w:hAnsi="Times New Roman" w:eastAsia="宋体" w:cs="Times New Roman"/>
                <w:b/>
                <w:bCs/>
                <w:color w:val="auto"/>
                <w:kern w:val="0"/>
                <w:sz w:val="24"/>
                <w:highlight w:val="none"/>
              </w:rPr>
            </w:pPr>
            <w:r>
              <w:rPr>
                <w:rFonts w:hint="eastAsia" w:ascii="Times New Roman" w:hAnsi="Times New Roman" w:eastAsia="宋体" w:cs="Times New Roman"/>
                <w:b/>
                <w:bCs/>
                <w:color w:val="auto"/>
                <w:kern w:val="0"/>
                <w:sz w:val="24"/>
                <w:highlight w:val="none"/>
                <w:lang w:val="en-US" w:eastAsia="zh-CN"/>
              </w:rPr>
              <w:t>4、</w:t>
            </w:r>
            <w:r>
              <w:rPr>
                <w:rFonts w:hint="default" w:ascii="Times New Roman" w:hAnsi="Times New Roman" w:eastAsia="宋体" w:cs="Times New Roman"/>
                <w:b/>
                <w:bCs/>
                <w:color w:val="auto"/>
                <w:kern w:val="0"/>
                <w:sz w:val="24"/>
                <w:highlight w:val="none"/>
                <w:lang w:val="en-US" w:eastAsia="zh-CN"/>
              </w:rPr>
              <w:t>与</w:t>
            </w:r>
            <w:r>
              <w:rPr>
                <w:rFonts w:hint="eastAsia" w:ascii="Times New Roman" w:hAnsi="Times New Roman" w:eastAsia="宋体" w:cs="Times New Roman"/>
                <w:b/>
                <w:bCs/>
                <w:color w:val="auto"/>
                <w:kern w:val="0"/>
                <w:sz w:val="24"/>
                <w:highlight w:val="none"/>
                <w:lang w:val="en-US" w:eastAsia="zh-CN"/>
              </w:rPr>
              <w:t>国土空间规划、</w:t>
            </w:r>
            <w:r>
              <w:rPr>
                <w:rFonts w:hint="default" w:ascii="Times New Roman" w:hAnsi="Times New Roman" w:eastAsia="宋体" w:cs="Times New Roman"/>
                <w:b/>
                <w:bCs/>
                <w:color w:val="auto"/>
                <w:kern w:val="0"/>
                <w:sz w:val="24"/>
                <w:highlight w:val="none"/>
                <w:lang w:val="en-US" w:eastAsia="zh-CN"/>
              </w:rPr>
              <w:t>三区三线符合性分析</w:t>
            </w:r>
          </w:p>
          <w:p w14:paraId="70F1B978">
            <w:pPr>
              <w:spacing w:line="360" w:lineRule="auto"/>
              <w:ind w:firstLine="480" w:firstLineChars="200"/>
              <w:rPr>
                <w:rFonts w:hint="default" w:ascii="Times New Roman" w:hAnsi="Times New Roman" w:eastAsia="宋体" w:cs="Times New Roman"/>
                <w:b w:val="0"/>
                <w:bCs w:val="0"/>
                <w:color w:val="auto"/>
                <w:kern w:val="0"/>
                <w:sz w:val="24"/>
                <w:highlight w:val="none"/>
              </w:rPr>
            </w:pPr>
            <w:r>
              <w:rPr>
                <w:rFonts w:hint="eastAsia" w:ascii="Times New Roman" w:hAnsi="Times New Roman" w:eastAsia="宋体" w:cs="Times New Roman"/>
                <w:color w:val="auto"/>
                <w:sz w:val="24"/>
                <w:highlight w:val="none"/>
                <w:lang w:val="en-US" w:eastAsia="zh-CN"/>
              </w:rPr>
              <w:t>根据《乐昌市人民政府关于印发乐昌市国土空间总体规划（2021—2035年）的通知》（乐府〔2025〕5号）和广东省三区三线专题图叠图分析（见附图13）</w:t>
            </w:r>
            <w:r>
              <w:rPr>
                <w:rFonts w:hint="default" w:ascii="Times New Roman" w:hAnsi="Times New Roman" w:eastAsia="宋体" w:cs="Times New Roman"/>
                <w:color w:val="auto"/>
                <w:sz w:val="24"/>
                <w:highlight w:val="none"/>
                <w:lang w:val="en-US" w:eastAsia="zh-CN"/>
              </w:rPr>
              <w:t>，项目用地位于城镇开发边界范围内</w:t>
            </w:r>
            <w:r>
              <w:rPr>
                <w:rFonts w:hint="eastAsia" w:ascii="Times New Roman" w:hAnsi="Times New Roman" w:eastAsia="宋体" w:cs="Times New Roman"/>
                <w:color w:val="auto"/>
                <w:sz w:val="24"/>
                <w:highlight w:val="none"/>
                <w:lang w:val="en-US" w:eastAsia="zh-CN"/>
              </w:rPr>
              <w:t>，不在</w:t>
            </w:r>
            <w:r>
              <w:rPr>
                <w:rFonts w:hint="default" w:ascii="Times New Roman" w:hAnsi="Times New Roman" w:eastAsia="宋体" w:cs="Times New Roman"/>
                <w:color w:val="auto"/>
                <w:sz w:val="24"/>
                <w:highlight w:val="none"/>
                <w:lang w:val="en-US" w:eastAsia="zh-CN"/>
              </w:rPr>
              <w:t>基本农田保护红线</w:t>
            </w:r>
            <w:r>
              <w:rPr>
                <w:rFonts w:hint="eastAsia" w:ascii="Times New Roman" w:hAnsi="Times New Roman" w:eastAsia="宋体" w:cs="Times New Roman"/>
                <w:color w:val="auto"/>
                <w:sz w:val="24"/>
                <w:highlight w:val="none"/>
                <w:lang w:val="en-US" w:eastAsia="zh-CN"/>
              </w:rPr>
              <w:t>和</w:t>
            </w:r>
            <w:r>
              <w:rPr>
                <w:rFonts w:hint="default" w:ascii="Times New Roman" w:hAnsi="Times New Roman" w:eastAsia="宋体" w:cs="Times New Roman"/>
                <w:color w:val="auto"/>
                <w:sz w:val="24"/>
                <w:highlight w:val="none"/>
                <w:lang w:val="en-US" w:eastAsia="zh-CN"/>
              </w:rPr>
              <w:t>生态保护红线</w:t>
            </w:r>
            <w:r>
              <w:rPr>
                <w:rFonts w:hint="eastAsia" w:ascii="Times New Roman" w:hAnsi="Times New Roman" w:eastAsia="宋体" w:cs="Times New Roman"/>
                <w:color w:val="auto"/>
                <w:sz w:val="24"/>
                <w:highlight w:val="none"/>
                <w:lang w:val="en-US" w:eastAsia="zh-CN"/>
              </w:rPr>
              <w:t>范围内</w:t>
            </w:r>
            <w:r>
              <w:rPr>
                <w:rFonts w:hint="default" w:ascii="Times New Roman" w:hAnsi="Times New Roman" w:eastAsia="宋体" w:cs="Times New Roman"/>
                <w:color w:val="auto"/>
                <w:sz w:val="24"/>
                <w:highlight w:val="none"/>
                <w:lang w:val="en-US" w:eastAsia="zh-CN"/>
              </w:rPr>
              <w:t>。</w:t>
            </w:r>
          </w:p>
          <w:p w14:paraId="7F5CEA32">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综上所述，本评价认为项目选址合理。</w:t>
            </w:r>
          </w:p>
          <w:p w14:paraId="67169B12">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5、</w:t>
            </w:r>
            <w:r>
              <w:rPr>
                <w:rFonts w:hint="default" w:ascii="Times New Roman" w:hAnsi="Times New Roman" w:eastAsia="宋体" w:cs="Times New Roman"/>
                <w:b/>
                <w:bCs/>
                <w:color w:val="auto"/>
                <w:kern w:val="0"/>
                <w:sz w:val="24"/>
                <w:highlight w:val="none"/>
                <w:lang w:val="en-US" w:eastAsia="zh-CN"/>
              </w:rPr>
              <w:t>与《工业和信息化部发布〈限期淘汰产生严重污染环境的工业固体废物的落后生产工艺设备名录〉公告》（中华人民共和国工业和信息化部公告2021年第25号）相符性分析</w:t>
            </w:r>
          </w:p>
          <w:p w14:paraId="6F674DAA">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本项目所用生产工艺及设备不属于《限期淘汰产生严重污染环境的工业固体废物的落后生产工艺设备名录》中限期淘汰的落后生产工艺设备，故与《工业和信息化部发布〈限期淘汰产生严重污染环境的工业固体废物的落后生产工艺设备名录〉公告》（中华人民共和国工业和信息化部公告2021年第25号）相符。</w:t>
            </w:r>
          </w:p>
          <w:p w14:paraId="77A153F3">
            <w:pPr>
              <w:spacing w:line="360" w:lineRule="auto"/>
              <w:ind w:firstLine="482" w:firstLineChars="200"/>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6</w:t>
            </w:r>
            <w:r>
              <w:rPr>
                <w:rFonts w:hint="default" w:ascii="Times New Roman" w:hAnsi="Times New Roman" w:eastAsia="宋体" w:cs="Times New Roman"/>
                <w:b/>
                <w:bCs/>
                <w:color w:val="auto"/>
                <w:sz w:val="24"/>
                <w:highlight w:val="none"/>
                <w:lang w:val="en-US" w:eastAsia="zh-CN"/>
              </w:rPr>
              <w:t>、</w:t>
            </w:r>
            <w:r>
              <w:rPr>
                <w:rFonts w:hint="default" w:ascii="Times New Roman" w:hAnsi="Times New Roman" w:eastAsia="宋体" w:cs="Times New Roman"/>
                <w:b/>
                <w:bCs/>
                <w:color w:val="auto"/>
                <w:sz w:val="24"/>
                <w:highlight w:val="none"/>
              </w:rPr>
              <w:t>与《广东省“三线一单”生态环境分区管控方案》</w:t>
            </w:r>
            <w:r>
              <w:rPr>
                <w:rFonts w:hint="default" w:ascii="Times New Roman" w:hAnsi="Times New Roman" w:eastAsia="宋体" w:cs="Times New Roman"/>
                <w:b/>
                <w:bCs/>
                <w:color w:val="auto"/>
                <w:sz w:val="24"/>
                <w:highlight w:val="none"/>
                <w:lang w:eastAsia="zh-CN"/>
              </w:rPr>
              <w:t>《广东省2023年度生态环境分区管控动态更新成果公告》</w:t>
            </w:r>
            <w:r>
              <w:rPr>
                <w:rFonts w:hint="default" w:ascii="Times New Roman" w:hAnsi="Times New Roman" w:eastAsia="宋体" w:cs="Times New Roman"/>
                <w:b/>
                <w:bCs/>
                <w:color w:val="auto"/>
                <w:sz w:val="24"/>
                <w:highlight w:val="none"/>
              </w:rPr>
              <w:t>相符性分析</w:t>
            </w:r>
          </w:p>
          <w:p w14:paraId="1B4F9B2C">
            <w:pPr>
              <w:spacing w:line="360" w:lineRule="auto"/>
              <w:ind w:firstLine="482" w:firstLineChars="200"/>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①</w:t>
            </w:r>
            <w:r>
              <w:rPr>
                <w:rFonts w:hint="default" w:ascii="Times New Roman" w:hAnsi="Times New Roman" w:eastAsia="宋体" w:cs="Times New Roman"/>
                <w:b/>
                <w:bCs/>
                <w:color w:val="auto"/>
                <w:sz w:val="24"/>
                <w:highlight w:val="none"/>
              </w:rPr>
              <w:t>与《广东省“三线一单”生态环境分区管控方案》</w:t>
            </w:r>
            <w:r>
              <w:rPr>
                <w:rFonts w:hint="default" w:ascii="Times New Roman" w:hAnsi="Times New Roman" w:eastAsia="宋体" w:cs="Times New Roman"/>
                <w:b/>
                <w:bCs/>
                <w:color w:val="auto"/>
                <w:sz w:val="24"/>
                <w:highlight w:val="none"/>
                <w:lang w:eastAsia="zh-CN"/>
              </w:rPr>
              <w:t>《广东省2023年度生态环境分区管控动态更新成果公告》</w:t>
            </w:r>
            <w:r>
              <w:rPr>
                <w:rFonts w:hint="default" w:ascii="Times New Roman" w:hAnsi="Times New Roman" w:eastAsia="宋体" w:cs="Times New Roman"/>
                <w:b/>
                <w:bCs/>
                <w:color w:val="auto"/>
                <w:sz w:val="24"/>
                <w:highlight w:val="none"/>
              </w:rPr>
              <w:t>相符性分析</w:t>
            </w:r>
          </w:p>
          <w:p w14:paraId="62524CA9">
            <w:pPr>
              <w:pStyle w:val="15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textAlignment w:val="auto"/>
              <w:rPr>
                <w:rFonts w:hint="eastAsia"/>
                <w:color w:val="auto"/>
                <w:sz w:val="21"/>
                <w:szCs w:val="21"/>
                <w:highlight w:val="none"/>
              </w:rPr>
            </w:pPr>
            <w:r>
              <w:rPr>
                <w:rFonts w:hint="eastAsia"/>
                <w:color w:val="auto"/>
                <w:sz w:val="21"/>
                <w:szCs w:val="21"/>
                <w:highlight w:val="none"/>
                <w:lang w:val="en-US" w:eastAsia="zh-CN"/>
              </w:rPr>
              <w:t>与《广东省“三线一单”生态环境分区管控方案》《广东省</w:t>
            </w:r>
            <w:r>
              <w:rPr>
                <w:rFonts w:hint="eastAsia"/>
                <w:color w:val="auto"/>
                <w:sz w:val="21"/>
                <w:szCs w:val="21"/>
                <w:highlight w:val="none"/>
                <w:lang w:val="en-US" w:eastAsia="zh-CN"/>
              </w:rPr>
              <w:br w:type="textWrapping"/>
            </w:r>
            <w:r>
              <w:rPr>
                <w:rFonts w:hint="eastAsia"/>
                <w:color w:val="auto"/>
                <w:sz w:val="21"/>
                <w:szCs w:val="21"/>
                <w:highlight w:val="none"/>
                <w:lang w:val="en-US" w:eastAsia="zh-CN"/>
              </w:rPr>
              <w:t>2023年度生态环境分区管控动态更新成果公告》</w:t>
            </w:r>
            <w:r>
              <w:rPr>
                <w:rFonts w:hint="eastAsia"/>
                <w:color w:val="auto"/>
                <w:sz w:val="21"/>
                <w:szCs w:val="21"/>
                <w:highlight w:val="none"/>
              </w:rPr>
              <w:t>相符性分析一览表</w:t>
            </w:r>
          </w:p>
          <w:tbl>
            <w:tblPr>
              <w:tblStyle w:val="4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706"/>
              <w:gridCol w:w="2858"/>
              <w:gridCol w:w="2202"/>
              <w:gridCol w:w="468"/>
            </w:tblGrid>
            <w:tr w14:paraId="4567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74E3C6D0">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序号</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47390F80">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管控要求</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2B1E65E1">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具体内容</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00B7927D">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本项目情况</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2056B750">
                  <w:pPr>
                    <w:widowControl w:val="0"/>
                    <w:kinsoku/>
                    <w:autoSpaceDE/>
                    <w:autoSpaceDN/>
                    <w:adjustRightInd/>
                    <w:snapToGrid/>
                    <w:spacing w:line="240" w:lineRule="auto"/>
                    <w:jc w:val="center"/>
                    <w:textAlignment w:val="auto"/>
                    <w:rPr>
                      <w:rFonts w:hint="default" w:ascii="Times New Roman" w:hAnsi="Times New Roman" w:cs="Times New Roman"/>
                      <w:b/>
                      <w:bCs/>
                      <w:color w:val="auto"/>
                      <w:sz w:val="21"/>
                      <w:szCs w:val="21"/>
                      <w:highlight w:val="none"/>
                      <w:lang w:val="en-US"/>
                    </w:rPr>
                  </w:pPr>
                  <w:r>
                    <w:rPr>
                      <w:rFonts w:hint="default" w:ascii="Times New Roman" w:hAnsi="Times New Roman" w:cs="Times New Roman"/>
                      <w:b/>
                      <w:bCs/>
                      <w:color w:val="auto"/>
                      <w:sz w:val="21"/>
                      <w:szCs w:val="21"/>
                      <w:highlight w:val="none"/>
                      <w:lang w:val="en-US" w:eastAsia="zh-CN"/>
                    </w:rPr>
                    <w:t>符合性</w:t>
                  </w:r>
                </w:p>
              </w:tc>
            </w:tr>
            <w:tr w14:paraId="0BE1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4834B7AB">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1</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6CA529E6">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生态保护红线</w:t>
                  </w:r>
                  <w:r>
                    <w:rPr>
                      <w:rFonts w:hint="eastAsia" w:ascii="Times New Roman" w:hAnsi="Times New Roman" w:cs="Times New Roman"/>
                      <w:color w:val="auto"/>
                      <w:sz w:val="21"/>
                      <w:szCs w:val="21"/>
                      <w:highlight w:val="none"/>
                      <w:lang w:val="en-US" w:eastAsia="zh-CN"/>
                    </w:rPr>
                    <w:t>及一般生态空间</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7E255E2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动态更新后，全省陆域生态保护红线面积34202.57平方公里，占陆域国土面积19.03%；一般生态空间面积29200.30平方公里，占陆域国土面积16.25%。全省海洋生态保护红线面积1.66万平方公里，占全省管辖海域面积的25.66%。</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72DADB1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rPr>
                    <w:t>项目位于</w:t>
                  </w:r>
                  <w:r>
                    <w:rPr>
                      <w:rFonts w:hint="eastAsia" w:ascii="Times New Roman" w:hAnsi="Times New Roman" w:cs="Times New Roman"/>
                      <w:color w:val="auto"/>
                      <w:sz w:val="21"/>
                      <w:szCs w:val="21"/>
                      <w:highlight w:val="none"/>
                      <w:lang w:val="en-US" w:eastAsia="zh-CN"/>
                    </w:rPr>
                    <w:t>韶关市乐昌市</w:t>
                  </w:r>
                  <w:r>
                    <w:rPr>
                      <w:rFonts w:hint="eastAsia" w:cs="Times New Roman"/>
                      <w:color w:val="auto"/>
                      <w:sz w:val="21"/>
                      <w:szCs w:val="21"/>
                      <w:highlight w:val="none"/>
                      <w:lang w:val="en-US" w:eastAsia="zh-CN"/>
                    </w:rPr>
                    <w:t>乐昌产业转移工业园GL-02-02-01地块</w:t>
                  </w:r>
                  <w:r>
                    <w:rPr>
                      <w:rFonts w:hint="default" w:ascii="Times New Roman" w:hAnsi="Times New Roman" w:cs="Times New Roman"/>
                      <w:color w:val="auto"/>
                      <w:sz w:val="21"/>
                      <w:szCs w:val="21"/>
                      <w:highlight w:val="none"/>
                      <w:lang w:val="en-US"/>
                    </w:rPr>
                    <w:t>，根据广东省生态环境分区管控信息平台（见附图1</w:t>
                  </w:r>
                  <w:r>
                    <w:rPr>
                      <w:rFonts w:hint="eastAsia" w:ascii="Times New Roman" w:cs="Times New Roman"/>
                      <w:color w:val="auto"/>
                      <w:sz w:val="21"/>
                      <w:szCs w:val="21"/>
                      <w:highlight w:val="none"/>
                      <w:lang w:val="en-US" w:eastAsia="zh-CN"/>
                    </w:rPr>
                    <w:t>4-1</w:t>
                  </w:r>
                  <w:r>
                    <w:rPr>
                      <w:rFonts w:hint="default" w:ascii="Times New Roman" w:hAnsi="Times New Roman" w:cs="Times New Roman"/>
                      <w:color w:val="auto"/>
                      <w:sz w:val="21"/>
                      <w:szCs w:val="21"/>
                      <w:highlight w:val="none"/>
                      <w:lang w:val="en-US"/>
                    </w:rPr>
                    <w:t>），项目不在生态红线和一般生态空间范围内，符合生态红线及一般生态空间要求。</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050ECA1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3C49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6D3AD612">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2</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2201397C">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环境质量底线</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2CB8E8F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eastAsia="宋体" w:cs="Times New Roman"/>
                      <w:b w:val="0"/>
                      <w:bCs w:val="0"/>
                      <w:snapToGrid/>
                      <w:color w:val="auto"/>
                      <w:kern w:val="2"/>
                      <w:szCs w:val="21"/>
                      <w:highlight w:val="none"/>
                      <w:lang w:val="en-US" w:eastAsia="zh-CN"/>
                    </w:rPr>
                    <w:t>全省</w:t>
                  </w:r>
                  <w:r>
                    <w:rPr>
                      <w:rFonts w:hint="default" w:ascii="Times New Roman" w:hAnsi="Times New Roman" w:cs="Times New Roman"/>
                      <w:color w:val="auto"/>
                      <w:sz w:val="21"/>
                      <w:szCs w:val="21"/>
                      <w:highlight w:val="none"/>
                      <w:lang w:val="en-US" w:eastAsia="zh-CN"/>
                    </w:rPr>
                    <w:t>水环境质量持续改善，国考、省考断面优良水质比例稳步提升，全面消除劣Ⅳ类水体。大气环境质量继续领跑先行，PM</w:t>
                  </w:r>
                  <w:r>
                    <w:rPr>
                      <w:rFonts w:hint="default" w:ascii="Times New Roman" w:hAnsi="Times New Roman" w:cs="Times New Roman"/>
                      <w:color w:val="auto"/>
                      <w:sz w:val="21"/>
                      <w:szCs w:val="21"/>
                      <w:highlight w:val="none"/>
                      <w:vertAlign w:val="subscript"/>
                      <w:lang w:val="en-US" w:eastAsia="zh-CN"/>
                    </w:rPr>
                    <w:t>2.5</w:t>
                  </w:r>
                  <w:r>
                    <w:rPr>
                      <w:rFonts w:hint="default" w:ascii="Times New Roman" w:hAnsi="Times New Roman" w:cs="Times New Roman"/>
                      <w:color w:val="auto"/>
                      <w:sz w:val="21"/>
                      <w:szCs w:val="21"/>
                      <w:highlight w:val="none"/>
                      <w:lang w:val="en-US" w:eastAsia="zh-CN"/>
                    </w:rPr>
                    <w:t>年均浓度率先达到世界卫生组织过渡期二阶段目标值（25微克/立方米），臭氧污染得到有效遏制。土壤环境质量稳中向好，土壤环境风险得到管控。近岸海域水体质量稳步提升。</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4FA8C567">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rPr>
                    <w:t>根据《202</w:t>
                  </w:r>
                  <w:r>
                    <w:rPr>
                      <w:rFonts w:hint="eastAsia"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val="en-US"/>
                    </w:rPr>
                    <w:t>年韶关市生态环境状况公报》，可知项目所在地大气环境质量属于达标区，地表水环境质量现状良好。</w:t>
                  </w:r>
                  <w:r>
                    <w:rPr>
                      <w:rFonts w:hint="eastAsia" w:ascii="Times New Roman" w:cs="Times New Roman"/>
                      <w:color w:val="auto"/>
                      <w:sz w:val="21"/>
                      <w:szCs w:val="21"/>
                      <w:highlight w:val="none"/>
                      <w:lang w:val="en-US" w:eastAsia="zh-CN"/>
                    </w:rPr>
                    <w:t>项目</w:t>
                  </w:r>
                  <w:r>
                    <w:rPr>
                      <w:rFonts w:hint="default" w:ascii="Times New Roman" w:hAnsi="Times New Roman" w:cs="Times New Roman"/>
                      <w:color w:val="auto"/>
                      <w:sz w:val="21"/>
                      <w:szCs w:val="21"/>
                      <w:highlight w:val="none"/>
                      <w:lang w:val="en-US"/>
                    </w:rPr>
                    <w:t>生活污水、外排生产废水经预处理后引入园区污水处理厂处理，不直接排入水体</w:t>
                  </w:r>
                  <w:r>
                    <w:rPr>
                      <w:rFonts w:hint="eastAsia" w:ascii="Times New Roman" w:cs="Times New Roman"/>
                      <w:color w:val="auto"/>
                      <w:sz w:val="21"/>
                      <w:szCs w:val="21"/>
                      <w:highlight w:val="none"/>
                      <w:lang w:val="en-US" w:eastAsia="zh-CN"/>
                    </w:rPr>
                    <w:t>。项目废气经收集处理后均达标排放，排放量较小，</w:t>
                  </w:r>
                  <w:r>
                    <w:rPr>
                      <w:rFonts w:hint="default" w:ascii="Times New Roman" w:hAnsi="Times New Roman" w:cs="Times New Roman"/>
                      <w:color w:val="auto"/>
                      <w:sz w:val="21"/>
                      <w:szCs w:val="21"/>
                      <w:highlight w:val="none"/>
                      <w:lang w:val="en-US"/>
                    </w:rPr>
                    <w:t>不会突破当地环境质量底线，符合环境质量底线要求。</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73274F3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7740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5B8472DD">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3</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41ADB5C7">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资源利用上线</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3A88C7C8">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强化节约集约利用，持续提升资源能源利用效率</w:t>
                  </w:r>
                  <w:r>
                    <w:rPr>
                      <w:rFonts w:hint="eastAsia" w:asci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水资源、土地资源、岸线资源、能源消耗等达到或优于国家下达的总量和强度控制目标。</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66F874DD">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color w:val="auto"/>
                      <w:sz w:val="21"/>
                      <w:szCs w:val="21"/>
                      <w:highlight w:val="none"/>
                    </w:rPr>
                    <w:t>项目运营过程消耗</w:t>
                  </w:r>
                  <w:r>
                    <w:rPr>
                      <w:rFonts w:hint="eastAsia"/>
                      <w:color w:val="auto"/>
                      <w:sz w:val="21"/>
                      <w:szCs w:val="21"/>
                      <w:highlight w:val="none"/>
                      <w:lang w:val="en-US" w:eastAsia="zh-CN"/>
                    </w:rPr>
                    <w:t>一定</w:t>
                  </w:r>
                  <w:r>
                    <w:rPr>
                      <w:rFonts w:hint="default"/>
                      <w:color w:val="auto"/>
                      <w:sz w:val="21"/>
                      <w:szCs w:val="21"/>
                      <w:highlight w:val="none"/>
                    </w:rPr>
                    <w:t>的水、电资源</w:t>
                  </w:r>
                  <w:r>
                    <w:rPr>
                      <w:rFonts w:hint="eastAsia"/>
                      <w:color w:val="auto"/>
                      <w:sz w:val="21"/>
                      <w:szCs w:val="21"/>
                      <w:highlight w:val="none"/>
                      <w:lang w:eastAsia="zh-CN"/>
                    </w:rPr>
                    <w:t>，</w:t>
                  </w:r>
                  <w:r>
                    <w:rPr>
                      <w:rFonts w:hint="eastAsia"/>
                      <w:color w:val="auto"/>
                      <w:sz w:val="21"/>
                      <w:szCs w:val="21"/>
                      <w:highlight w:val="none"/>
                      <w:lang w:val="en-US" w:eastAsia="zh-CN"/>
                    </w:rPr>
                    <w:t>项目清洗采用多级溢流水洗，最大限度节约用水、用电</w:t>
                  </w:r>
                  <w:r>
                    <w:rPr>
                      <w:rFonts w:hint="eastAsia"/>
                      <w:color w:val="auto"/>
                      <w:sz w:val="21"/>
                      <w:szCs w:val="21"/>
                      <w:highlight w:val="none"/>
                      <w:lang w:eastAsia="zh-CN"/>
                    </w:rPr>
                    <w:t>，</w:t>
                  </w:r>
                  <w:r>
                    <w:rPr>
                      <w:rFonts w:hint="default"/>
                      <w:color w:val="auto"/>
                      <w:sz w:val="21"/>
                      <w:szCs w:val="21"/>
                      <w:highlight w:val="none"/>
                    </w:rPr>
                    <w:t>且所在区域水、电等资源充足</w:t>
                  </w:r>
                  <w:r>
                    <w:rPr>
                      <w:rFonts w:hint="eastAsia"/>
                      <w:color w:val="auto"/>
                      <w:sz w:val="21"/>
                      <w:szCs w:val="21"/>
                      <w:highlight w:val="none"/>
                      <w:lang w:eastAsia="zh-CN"/>
                    </w:rPr>
                    <w:t>，</w:t>
                  </w:r>
                  <w:r>
                    <w:rPr>
                      <w:rFonts w:hint="default"/>
                      <w:color w:val="auto"/>
                      <w:sz w:val="21"/>
                      <w:szCs w:val="21"/>
                      <w:highlight w:val="none"/>
                    </w:rPr>
                    <w:t>不会超出资源利用上线。</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7F85E0A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7EED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tcBorders>
                    <w:top w:val="single" w:color="auto" w:sz="4" w:space="0"/>
                    <w:left w:val="single" w:color="auto" w:sz="4" w:space="0"/>
                    <w:bottom w:val="single" w:color="auto" w:sz="4" w:space="0"/>
                    <w:right w:val="single" w:color="auto" w:sz="4" w:space="0"/>
                  </w:tcBorders>
                  <w:noWrap w:val="0"/>
                  <w:vAlign w:val="center"/>
                </w:tcPr>
                <w:p w14:paraId="0961322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4</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684AF81E">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生态环境准入清单</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56E11A36">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环境准入负面清单是基于生态保护红线、环境质量底线和资源利用上线</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以清单方式列出的禁止、限制等差别化环境准入条件和要求。</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6EDA53AE">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项目不属于《市场准入负面清单（202</w:t>
                  </w:r>
                  <w:r>
                    <w:rPr>
                      <w:rFonts w:hint="eastAsia"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lang w:val="en-US" w:eastAsia="zh-CN"/>
                    </w:rPr>
                    <w:t>年版）》（发改体改规</w:t>
                  </w:r>
                  <w:r>
                    <w:rPr>
                      <w:rFonts w:hint="eastAsia" w:ascii="Times New Roman" w:hAnsi="Times New Roman" w:cs="Times New Roman"/>
                      <w:color w:val="auto"/>
                      <w:sz w:val="21"/>
                      <w:szCs w:val="21"/>
                      <w:highlight w:val="none"/>
                      <w:lang w:val="en-US" w:eastAsia="zh-CN"/>
                    </w:rPr>
                    <w:t>〔2025〕466号</w:t>
                  </w:r>
                  <w:r>
                    <w:rPr>
                      <w:rFonts w:hint="default" w:ascii="Times New Roman" w:hAnsi="Times New Roman" w:cs="Times New Roman"/>
                      <w:color w:val="auto"/>
                      <w:sz w:val="21"/>
                      <w:szCs w:val="21"/>
                      <w:highlight w:val="none"/>
                      <w:lang w:val="en-US" w:eastAsia="zh-CN"/>
                    </w:rPr>
                    <w:t>）中的禁止准入事项</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符合准入清单的要求。</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7E9950F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符合</w:t>
                  </w:r>
                </w:p>
              </w:tc>
            </w:tr>
            <w:tr w14:paraId="62D12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restart"/>
                  <w:tcBorders>
                    <w:top w:val="single" w:color="auto" w:sz="4" w:space="0"/>
                    <w:left w:val="single" w:color="auto" w:sz="4" w:space="0"/>
                    <w:right w:val="single" w:color="auto" w:sz="4" w:space="0"/>
                  </w:tcBorders>
                  <w:noWrap w:val="0"/>
                  <w:vAlign w:val="center"/>
                </w:tcPr>
                <w:p w14:paraId="0D623DFA">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5</w:t>
                  </w:r>
                </w:p>
              </w:tc>
              <w:tc>
                <w:tcPr>
                  <w:tcW w:w="530" w:type="pct"/>
                  <w:vMerge w:val="restart"/>
                  <w:tcBorders>
                    <w:top w:val="single" w:color="auto" w:sz="4" w:space="0"/>
                    <w:left w:val="single" w:color="auto" w:sz="4" w:space="0"/>
                    <w:right w:val="single" w:color="auto" w:sz="4" w:space="0"/>
                  </w:tcBorders>
                  <w:noWrap w:val="0"/>
                  <w:vAlign w:val="center"/>
                </w:tcPr>
                <w:p w14:paraId="7FFDA7E0">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color w:val="auto"/>
                      <w:sz w:val="21"/>
                      <w:szCs w:val="21"/>
                      <w:highlight w:val="none"/>
                      <w:lang w:eastAsia="zh-CN"/>
                    </w:rPr>
                    <w:t>“</w:t>
                  </w:r>
                  <w:r>
                    <w:rPr>
                      <w:rFonts w:hint="default"/>
                      <w:color w:val="auto"/>
                      <w:sz w:val="21"/>
                      <w:szCs w:val="21"/>
                      <w:highlight w:val="none"/>
                    </w:rPr>
                    <w:t>一核一带一区</w:t>
                  </w:r>
                  <w:r>
                    <w:rPr>
                      <w:rFonts w:hint="eastAsia"/>
                      <w:color w:val="auto"/>
                      <w:sz w:val="21"/>
                      <w:szCs w:val="21"/>
                      <w:highlight w:val="none"/>
                      <w:lang w:eastAsia="zh-CN"/>
                    </w:rPr>
                    <w:t>”</w:t>
                  </w:r>
                  <w:r>
                    <w:rPr>
                      <w:rFonts w:hint="default"/>
                      <w:color w:val="auto"/>
                      <w:sz w:val="21"/>
                      <w:szCs w:val="21"/>
                      <w:highlight w:val="none"/>
                    </w:rPr>
                    <w:t>区域管控要求</w:t>
                  </w:r>
                </w:p>
              </w:tc>
              <w:tc>
                <w:tcPr>
                  <w:tcW w:w="2144" w:type="pct"/>
                  <w:tcBorders>
                    <w:top w:val="single" w:color="auto" w:sz="4" w:space="0"/>
                    <w:left w:val="single" w:color="auto" w:sz="4" w:space="0"/>
                    <w:bottom w:val="single" w:color="auto" w:sz="4" w:space="0"/>
                    <w:right w:val="single" w:color="auto" w:sz="4" w:space="0"/>
                  </w:tcBorders>
                  <w:noWrap w:val="0"/>
                  <w:vAlign w:val="center"/>
                </w:tcPr>
                <w:p w14:paraId="2A9E2A8B">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北部生态发展区</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区域布局管控要求。</w:t>
                  </w:r>
                  <w:r>
                    <w:rPr>
                      <w:rFonts w:hint="default" w:ascii="Times New Roman" w:hAnsi="Times New Roman" w:cs="Times New Roman"/>
                      <w:color w:val="auto"/>
                      <w:sz w:val="21"/>
                      <w:szCs w:val="21"/>
                      <w:highlight w:val="none"/>
                      <w:lang w:val="en-US" w:eastAsia="zh-CN"/>
                    </w:rPr>
                    <w:t>大力强化生态保护和建设，严格控制开发强度。重点加强南岭山地保护，推进广东南岭国家公园建设，保护生态系统完整性与生物多样性，构建和巩固北部生态屏障。引导工业项目科学布局，新建项目原则上入园管理，推动现有工业项目集中进园。推动绿色钢铁、有色金属、建筑材料等先进材料产业集群向规模化、绿色化、高端化转型发展，打造特色优势产业集群，积极推动中高时延大数据中心项目布局落地。科学布局现代农业产业平台，打造现代农业与食品产业集群。严格控制涉重金属及有毒有害污染物排放的项目建设，新建、改建、扩建涉重金属重点行业的项目应明确重金属污染物总量来源。逐步扩大高污染燃料禁燃区范围。</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4F1E725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项目</w:t>
                  </w:r>
                  <w:r>
                    <w:rPr>
                      <w:rFonts w:hint="eastAsia" w:ascii="Times New Roman" w:hAnsi="Times New Roman" w:cs="Times New Roman"/>
                      <w:color w:val="auto"/>
                      <w:sz w:val="21"/>
                      <w:szCs w:val="21"/>
                      <w:highlight w:val="none"/>
                      <w:lang w:val="en-US" w:eastAsia="zh-CN"/>
                    </w:rPr>
                    <w:t>主要加工生产</w:t>
                  </w:r>
                  <w:r>
                    <w:rPr>
                      <w:rFonts w:hint="eastAsia" w:ascii="Times New Roman" w:cs="Times New Roman"/>
                      <w:color w:val="auto"/>
                      <w:sz w:val="21"/>
                      <w:szCs w:val="21"/>
                      <w:highlight w:val="none"/>
                      <w:lang w:val="en-US" w:eastAsia="zh-CN"/>
                    </w:rPr>
                    <w:t>金属制品</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不设锅炉</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不属于水泥、平板玻璃、化学制浆、生皮制革以及国家规划外的钢铁、原油加工等项目</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项目不使用高VOCs</w:t>
                  </w:r>
                  <w:r>
                    <w:rPr>
                      <w:rFonts w:hint="eastAsia" w:cs="Times New Roman"/>
                      <w:color w:val="auto"/>
                      <w:sz w:val="21"/>
                      <w:szCs w:val="21"/>
                      <w:highlight w:val="none"/>
                      <w:lang w:val="en-US" w:eastAsia="zh-CN"/>
                    </w:rPr>
                    <w:t>含量</w:t>
                  </w:r>
                  <w:r>
                    <w:rPr>
                      <w:rFonts w:hint="default" w:ascii="Times New Roman" w:hAnsi="Times New Roman" w:cs="Times New Roman"/>
                      <w:color w:val="auto"/>
                      <w:sz w:val="21"/>
                      <w:szCs w:val="21"/>
                      <w:highlight w:val="none"/>
                      <w:lang w:val="en-US" w:eastAsia="zh-CN"/>
                    </w:rPr>
                    <w:t>原辅料</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与区域</w:t>
                  </w:r>
                  <w:r>
                    <w:rPr>
                      <w:rFonts w:hint="eastAsia" w:ascii="Times New Roman" w:cs="Times New Roman"/>
                      <w:color w:val="auto"/>
                      <w:sz w:val="21"/>
                      <w:szCs w:val="21"/>
                      <w:highlight w:val="none"/>
                      <w:lang w:val="en-US" w:eastAsia="zh-CN"/>
                    </w:rPr>
                    <w:t>布局</w:t>
                  </w:r>
                  <w:r>
                    <w:rPr>
                      <w:rFonts w:hint="default" w:ascii="Times New Roman" w:hAnsi="Times New Roman" w:cs="Times New Roman"/>
                      <w:color w:val="auto"/>
                      <w:sz w:val="21"/>
                      <w:szCs w:val="21"/>
                      <w:highlight w:val="none"/>
                      <w:lang w:val="en-US" w:eastAsia="zh-CN"/>
                    </w:rPr>
                    <w:t>管控要</w:t>
                  </w:r>
                  <w:r>
                    <w:rPr>
                      <w:rFonts w:hint="eastAsia" w:ascii="Times New Roman" w:hAnsi="Times New Roman" w:cs="Times New Roman"/>
                      <w:color w:val="auto"/>
                      <w:sz w:val="21"/>
                      <w:szCs w:val="21"/>
                      <w:highlight w:val="none"/>
                      <w:lang w:val="en-US" w:eastAsia="zh-CN"/>
                    </w:rPr>
                    <w:t>求</w:t>
                  </w:r>
                  <w:r>
                    <w:rPr>
                      <w:rFonts w:hint="default" w:ascii="Times New Roman" w:hAnsi="Times New Roman" w:cs="Times New Roman"/>
                      <w:color w:val="auto"/>
                      <w:sz w:val="21"/>
                      <w:szCs w:val="21"/>
                      <w:highlight w:val="none"/>
                      <w:lang w:val="en-US" w:eastAsia="zh-CN"/>
                    </w:rPr>
                    <w:t>相符。</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099F7C7D">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符合</w:t>
                  </w:r>
                </w:p>
              </w:tc>
            </w:tr>
            <w:tr w14:paraId="5F1A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noWrap w:val="0"/>
                  <w:vAlign w:val="center"/>
                </w:tcPr>
                <w:p w14:paraId="4FB66393">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tcBorders>
                    <w:left w:val="single" w:color="auto" w:sz="4" w:space="0"/>
                    <w:right w:val="single" w:color="auto" w:sz="4" w:space="0"/>
                  </w:tcBorders>
                  <w:noWrap w:val="0"/>
                  <w:vAlign w:val="center"/>
                </w:tcPr>
                <w:p w14:paraId="0FC171A6">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tcBorders>
                    <w:top w:val="single" w:color="auto" w:sz="4" w:space="0"/>
                    <w:left w:val="single" w:color="auto" w:sz="4" w:space="0"/>
                    <w:bottom w:val="single" w:color="auto" w:sz="4" w:space="0"/>
                    <w:right w:val="single" w:color="auto" w:sz="4" w:space="0"/>
                  </w:tcBorders>
                  <w:noWrap w:val="0"/>
                  <w:vAlign w:val="center"/>
                </w:tcPr>
                <w:p w14:paraId="2ECEBAB1">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能源资源利用要求。进一步优化调整能源结构，鼓励使用天然气及可再生能源。县级及以上城市建成区，禁止新建每小时 35 蒸吨以下燃煤锅炉。原则上不再新建小水电以及除国家和省规划外的风电项目，对不符合生态环境要求的小水电进行清理整改。严格落实东江、北江、韩江流域等重要控制断面生态流量保障目标。推动矿产资源开发合理布局和节约集约利用，提高矿产资源开发项目准入门槛，严格执行开采总量指标管控，加快淘汰落后采选工艺，提高资源产出率。</w:t>
                  </w:r>
                </w:p>
              </w:tc>
              <w:tc>
                <w:tcPr>
                  <w:tcW w:w="1652" w:type="pct"/>
                  <w:tcBorders>
                    <w:top w:val="single" w:color="auto" w:sz="4" w:space="0"/>
                    <w:left w:val="single" w:color="auto" w:sz="4" w:space="0"/>
                    <w:bottom w:val="single" w:color="auto" w:sz="4" w:space="0"/>
                    <w:right w:val="single" w:color="auto" w:sz="4" w:space="0"/>
                  </w:tcBorders>
                  <w:noWrap w:val="0"/>
                  <w:vAlign w:val="center"/>
                </w:tcPr>
                <w:p w14:paraId="2038CC43">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color w:val="auto"/>
                      <w:sz w:val="21"/>
                      <w:szCs w:val="21"/>
                      <w:highlight w:val="none"/>
                    </w:rPr>
                    <w:t>项目不属于高耗能、高耗水行业</w:t>
                  </w:r>
                  <w:r>
                    <w:rPr>
                      <w:rFonts w:hint="eastAsia"/>
                      <w:color w:val="auto"/>
                      <w:sz w:val="21"/>
                      <w:szCs w:val="21"/>
                      <w:highlight w:val="none"/>
                      <w:lang w:eastAsia="zh-CN"/>
                    </w:rPr>
                    <w:t>，</w:t>
                  </w:r>
                  <w:r>
                    <w:rPr>
                      <w:rFonts w:hint="default"/>
                      <w:color w:val="auto"/>
                      <w:sz w:val="21"/>
                      <w:szCs w:val="21"/>
                      <w:highlight w:val="none"/>
                    </w:rPr>
                    <w:t>与能源资源利用要求相符。</w:t>
                  </w:r>
                </w:p>
              </w:tc>
              <w:tc>
                <w:tcPr>
                  <w:tcW w:w="351" w:type="pct"/>
                  <w:tcBorders>
                    <w:top w:val="single" w:color="auto" w:sz="4" w:space="0"/>
                    <w:left w:val="single" w:color="auto" w:sz="4" w:space="0"/>
                    <w:bottom w:val="single" w:color="auto" w:sz="4" w:space="0"/>
                    <w:right w:val="single" w:color="auto" w:sz="4" w:space="0"/>
                  </w:tcBorders>
                  <w:noWrap w:val="0"/>
                  <w:vAlign w:val="center"/>
                </w:tcPr>
                <w:p w14:paraId="2E742695">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符合</w:t>
                  </w:r>
                </w:p>
              </w:tc>
            </w:tr>
            <w:tr w14:paraId="4F1E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noWrap w:val="0"/>
                  <w:vAlign w:val="center"/>
                </w:tcPr>
                <w:p w14:paraId="0EF37E57">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tcBorders>
                    <w:left w:val="single" w:color="auto" w:sz="4" w:space="0"/>
                    <w:right w:val="single" w:color="auto" w:sz="4" w:space="0"/>
                  </w:tcBorders>
                  <w:noWrap w:val="0"/>
                  <w:vAlign w:val="center"/>
                </w:tcPr>
                <w:p w14:paraId="3D3F1843">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noWrap w:val="0"/>
                  <w:vAlign w:val="center"/>
                </w:tcPr>
                <w:p w14:paraId="0157629A">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污染物排放管控要求。在可核查、可监管的基础上，新建项目原则上实施氮氧化物和挥发性有机物等量替代。北江流域严格实行重点重金属污染物减量替代。加快镇级生活污水处理设施及配套管网建设，因地制宜建设农村生活污水处理设施。加强养殖污染防治，推动养殖尾水达标排放或资源化利用。加快推进钢铁、陶瓷、水泥等重点行业提标改造（或 “煤改气” 改造）。加快矿山改造升级，逐步达到绿色矿山建设要求，凡口铅锌矿及其周边、大宝山矿及其周边等区域严格执行部分重金属水污染物特别排放限值的相关规定</w:t>
                  </w:r>
                </w:p>
              </w:tc>
              <w:tc>
                <w:tcPr>
                  <w:tcW w:w="1652" w:type="pct"/>
                  <w:noWrap w:val="0"/>
                  <w:vAlign w:val="center"/>
                </w:tcPr>
                <w:p w14:paraId="020E1F45">
                  <w:pPr>
                    <w:widowControl w:val="0"/>
                    <w:kinsoku/>
                    <w:autoSpaceDE/>
                    <w:autoSpaceDN/>
                    <w:adjustRightInd/>
                    <w:snapToGrid/>
                    <w:spacing w:line="240" w:lineRule="auto"/>
                    <w:jc w:val="center"/>
                    <w:textAlignment w:val="auto"/>
                    <w:rPr>
                      <w:rFonts w:hint="eastAsia"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项目产生的</w:t>
                  </w:r>
                  <w:r>
                    <w:rPr>
                      <w:rFonts w:hint="eastAsia" w:cs="Times New Roman"/>
                      <w:color w:val="auto"/>
                      <w:sz w:val="21"/>
                      <w:szCs w:val="21"/>
                      <w:lang w:val="en-US" w:eastAsia="zh-CN"/>
                    </w:rPr>
                    <w:t>VOCs、</w:t>
                  </w:r>
                  <w:r>
                    <w:rPr>
                      <w:rFonts w:hint="default" w:ascii="Times New Roman" w:hAnsi="Times New Roman" w:cs="Times New Roman"/>
                      <w:color w:val="auto"/>
                      <w:sz w:val="21"/>
                      <w:szCs w:val="21"/>
                      <w:highlight w:val="none"/>
                      <w:lang w:val="en-US" w:eastAsia="zh-CN"/>
                    </w:rPr>
                    <w:t>氮氧化物</w:t>
                  </w:r>
                  <w:r>
                    <w:rPr>
                      <w:rFonts w:hint="eastAsia" w:ascii="Times New Roman" w:cs="Times New Roman"/>
                      <w:color w:val="auto"/>
                      <w:sz w:val="21"/>
                      <w:szCs w:val="21"/>
                      <w:highlight w:val="none"/>
                      <w:lang w:val="en-US" w:eastAsia="zh-CN"/>
                    </w:rPr>
                    <w:t>实施</w:t>
                  </w:r>
                  <w:r>
                    <w:rPr>
                      <w:rFonts w:hint="default" w:ascii="Times New Roman" w:hAnsi="Times New Roman" w:cs="Times New Roman"/>
                      <w:color w:val="auto"/>
                      <w:sz w:val="21"/>
                      <w:szCs w:val="21"/>
                      <w:highlight w:val="none"/>
                      <w:lang w:val="en-US" w:eastAsia="zh-CN"/>
                    </w:rPr>
                    <w:t>等量替代</w:t>
                  </w:r>
                  <w:r>
                    <w:rPr>
                      <w:rFonts w:hint="eastAsia" w:ascii="Times New Roman" w:cs="Times New Roman"/>
                      <w:color w:val="auto"/>
                      <w:sz w:val="21"/>
                      <w:szCs w:val="21"/>
                      <w:highlight w:val="none"/>
                      <w:lang w:val="en-US" w:eastAsia="zh-CN"/>
                    </w:rPr>
                    <w:t>。</w:t>
                  </w:r>
                </w:p>
                <w:p w14:paraId="3F4C8B44">
                  <w:pPr>
                    <w:widowControl w:val="0"/>
                    <w:kinsoku/>
                    <w:autoSpaceDE/>
                    <w:autoSpaceDN/>
                    <w:adjustRightInd/>
                    <w:snapToGrid/>
                    <w:spacing w:line="240" w:lineRule="auto"/>
                    <w:jc w:val="center"/>
                    <w:textAlignment w:val="auto"/>
                    <w:rPr>
                      <w:rFonts w:hint="eastAsia" w:asci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项目不设锅炉，不设电镀工艺。</w:t>
                  </w:r>
                </w:p>
                <w:p w14:paraId="7B1242E5">
                  <w:pPr>
                    <w:widowControl w:val="0"/>
                    <w:kinsoku/>
                    <w:autoSpaceDE/>
                    <w:autoSpaceDN/>
                    <w:adjustRightInd/>
                    <w:snapToGrid/>
                    <w:spacing w:line="240" w:lineRule="auto"/>
                    <w:jc w:val="center"/>
                    <w:textAlignment w:val="auto"/>
                    <w:rPr>
                      <w:rFonts w:hint="default" w:ascii="Times New Roman" w:cs="Times New Roman"/>
                      <w:color w:val="auto"/>
                      <w:sz w:val="21"/>
                      <w:szCs w:val="21"/>
                      <w:highlight w:val="none"/>
                      <w:lang w:val="en-US" w:eastAsia="zh-CN"/>
                    </w:rPr>
                  </w:pPr>
                  <w:r>
                    <w:rPr>
                      <w:rFonts w:hint="eastAsia" w:ascii="Times New Roman" w:cs="Times New Roman"/>
                      <w:i w:val="0"/>
                      <w:iCs w:val="0"/>
                      <w:color w:val="auto"/>
                      <w:kern w:val="0"/>
                      <w:sz w:val="21"/>
                      <w:szCs w:val="21"/>
                      <w:highlight w:val="none"/>
                      <w:u w:val="none"/>
                      <w:lang w:val="en-US" w:eastAsia="zh-CN" w:bidi="ar"/>
                    </w:rPr>
                    <w:t>项目外排生产</w:t>
                  </w:r>
                  <w:r>
                    <w:rPr>
                      <w:rFonts w:hint="eastAsia" w:cs="Times New Roman"/>
                      <w:i w:val="0"/>
                      <w:iCs w:val="0"/>
                      <w:color w:val="auto"/>
                      <w:kern w:val="0"/>
                      <w:sz w:val="21"/>
                      <w:szCs w:val="21"/>
                      <w:highlight w:val="none"/>
                      <w:u w:val="none"/>
                      <w:lang w:val="en-US" w:eastAsia="zh-CN" w:bidi="ar"/>
                    </w:rPr>
                    <w:t>废水经自建</w:t>
                  </w:r>
                  <w:r>
                    <w:rPr>
                      <w:rFonts w:hint="default" w:ascii="Times New Roman" w:hAnsi="Times New Roman" w:eastAsia="宋体" w:cs="Times New Roman"/>
                      <w:i w:val="0"/>
                      <w:iCs w:val="0"/>
                      <w:color w:val="auto"/>
                      <w:kern w:val="0"/>
                      <w:sz w:val="21"/>
                      <w:szCs w:val="21"/>
                      <w:highlight w:val="none"/>
                      <w:u w:val="none"/>
                      <w:lang w:val="en-US" w:eastAsia="zh-CN" w:bidi="ar"/>
                    </w:rPr>
                    <w:t>污水处理站处理</w:t>
                  </w:r>
                  <w:r>
                    <w:rPr>
                      <w:rFonts w:hint="eastAsia" w:cs="Times New Roman"/>
                      <w:i w:val="0"/>
                      <w:iCs w:val="0"/>
                      <w:color w:val="auto"/>
                      <w:kern w:val="0"/>
                      <w:sz w:val="21"/>
                      <w:szCs w:val="21"/>
                      <w:highlight w:val="none"/>
                      <w:u w:val="none"/>
                      <w:lang w:val="en-US" w:eastAsia="zh-CN" w:bidi="ar"/>
                    </w:rPr>
                    <w:t>后，生活污水经</w:t>
                  </w:r>
                  <w:r>
                    <w:rPr>
                      <w:rFonts w:hint="default" w:ascii="Times New Roman" w:hAnsi="Times New Roman" w:eastAsia="宋体" w:cs="Times New Roman"/>
                      <w:i w:val="0"/>
                      <w:iCs w:val="0"/>
                      <w:color w:val="auto"/>
                      <w:kern w:val="0"/>
                      <w:sz w:val="21"/>
                      <w:szCs w:val="21"/>
                      <w:highlight w:val="none"/>
                      <w:u w:val="none"/>
                      <w:lang w:val="en-US" w:eastAsia="zh-CN" w:bidi="ar"/>
                    </w:rPr>
                    <w:t>“三级化粪池</w:t>
                  </w:r>
                  <w:r>
                    <w:rPr>
                      <w:rFonts w:hint="eastAsia" w:ascii="Times New Roman" w:hAnsi="Times New Roman" w:eastAsia="宋体" w:cs="Times New Roman"/>
                      <w:i w:val="0"/>
                      <w:iCs w:val="0"/>
                      <w:color w:val="auto"/>
                      <w:kern w:val="0"/>
                      <w:sz w:val="21"/>
                      <w:szCs w:val="21"/>
                      <w:highlight w:val="none"/>
                      <w:u w:val="none"/>
                      <w:lang w:val="en-US" w:eastAsia="zh-CN" w:bidi="ar"/>
                    </w:rPr>
                    <w:t>+隔油隔渣池</w:t>
                  </w:r>
                  <w:r>
                    <w:rPr>
                      <w:rFonts w:hint="default" w:ascii="Times New Roman" w:hAnsi="Times New Roman" w:eastAsia="宋体" w:cs="Times New Roman"/>
                      <w:i w:val="0"/>
                      <w:iCs w:val="0"/>
                      <w:color w:val="auto"/>
                      <w:kern w:val="0"/>
                      <w:sz w:val="21"/>
                      <w:szCs w:val="21"/>
                      <w:highlight w:val="none"/>
                      <w:u w:val="none"/>
                      <w:lang w:val="en-US" w:eastAsia="zh-CN" w:bidi="ar"/>
                    </w:rPr>
                    <w:t>”预处理后</w:t>
                  </w:r>
                  <w:r>
                    <w:rPr>
                      <w:rFonts w:hint="eastAsia" w:ascii="Times New Roman"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排入园区污水处理厂进一步处理，达标后</w:t>
                  </w:r>
                  <w:r>
                    <w:rPr>
                      <w:rFonts w:hint="eastAsia" w:cs="Times New Roman"/>
                      <w:i w:val="0"/>
                      <w:iCs w:val="0"/>
                      <w:color w:val="auto"/>
                      <w:kern w:val="0"/>
                      <w:sz w:val="21"/>
                      <w:szCs w:val="21"/>
                      <w:highlight w:val="none"/>
                      <w:u w:val="none"/>
                      <w:lang w:val="en-US" w:eastAsia="zh-CN" w:bidi="ar"/>
                    </w:rPr>
                    <w:t>尾水</w:t>
                  </w:r>
                  <w:r>
                    <w:rPr>
                      <w:rFonts w:hint="default" w:ascii="Times New Roman" w:hAnsi="Times New Roman" w:eastAsia="宋体" w:cs="Times New Roman"/>
                      <w:i w:val="0"/>
                      <w:iCs w:val="0"/>
                      <w:color w:val="auto"/>
                      <w:kern w:val="0"/>
                      <w:sz w:val="21"/>
                      <w:szCs w:val="21"/>
                      <w:highlight w:val="none"/>
                      <w:u w:val="none"/>
                      <w:lang w:val="en-US" w:eastAsia="zh-CN" w:bidi="ar"/>
                    </w:rPr>
                    <w:t>排放至武江</w:t>
                  </w:r>
                  <w:r>
                    <w:rPr>
                      <w:rFonts w:hint="eastAsia" w:ascii="Times New Roman" w:cs="Times New Roman"/>
                      <w:i w:val="0"/>
                      <w:iCs w:val="0"/>
                      <w:color w:val="auto"/>
                      <w:kern w:val="0"/>
                      <w:sz w:val="21"/>
                      <w:szCs w:val="21"/>
                      <w:highlight w:val="none"/>
                      <w:u w:val="none"/>
                      <w:lang w:val="en-US" w:eastAsia="zh-CN" w:bidi="ar"/>
                    </w:rPr>
                    <w:t>。</w:t>
                  </w:r>
                </w:p>
              </w:tc>
              <w:tc>
                <w:tcPr>
                  <w:tcW w:w="351" w:type="pct"/>
                  <w:noWrap w:val="0"/>
                  <w:vAlign w:val="center"/>
                </w:tcPr>
                <w:p w14:paraId="72E669C4">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3FB2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tcBorders>
                    <w:left w:val="single" w:color="auto" w:sz="4" w:space="0"/>
                    <w:right w:val="single" w:color="auto" w:sz="4" w:space="0"/>
                  </w:tcBorders>
                  <w:noWrap w:val="0"/>
                  <w:vAlign w:val="center"/>
                </w:tcPr>
                <w:p w14:paraId="2E1D7F49">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tcBorders>
                    <w:left w:val="single" w:color="auto" w:sz="4" w:space="0"/>
                    <w:right w:val="single" w:color="auto" w:sz="4" w:space="0"/>
                  </w:tcBorders>
                  <w:noWrap w:val="0"/>
                  <w:vAlign w:val="center"/>
                </w:tcPr>
                <w:p w14:paraId="24B76FE2">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noWrap w:val="0"/>
                  <w:vAlign w:val="center"/>
                </w:tcPr>
                <w:p w14:paraId="106B43D5">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环境风险防控要求。强化流域上游生态保护与水源涵养功能，建立完善突发环境事件应急管理体系，保障饮用水安全。加快落实受污染农用地的安全利用与严格管控措施，防范农产品重金属含量超标风险。加强尾矿库的环境风险排查与防范。加强金属矿采选、金属冶炼企业的重金属污染风险防控。强化选矿废水治理设施的升级改造，选矿废水原则上回用不外排。</w:t>
                  </w:r>
                </w:p>
              </w:tc>
              <w:tc>
                <w:tcPr>
                  <w:tcW w:w="1652" w:type="pct"/>
                  <w:noWrap w:val="0"/>
                  <w:vAlign w:val="center"/>
                </w:tcPr>
                <w:p w14:paraId="6C1D9C36">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本项目危险废物统一收集后交由有资质单位处理。</w:t>
                  </w:r>
                </w:p>
              </w:tc>
              <w:tc>
                <w:tcPr>
                  <w:tcW w:w="351" w:type="pct"/>
                  <w:noWrap w:val="0"/>
                  <w:vAlign w:val="center"/>
                </w:tcPr>
                <w:p w14:paraId="5230F208">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符合</w:t>
                  </w:r>
                </w:p>
              </w:tc>
            </w:tr>
            <w:tr w14:paraId="660B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restart"/>
                  <w:noWrap w:val="0"/>
                  <w:vAlign w:val="center"/>
                </w:tcPr>
                <w:p w14:paraId="5ECE83FB">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6</w:t>
                  </w:r>
                </w:p>
              </w:tc>
              <w:tc>
                <w:tcPr>
                  <w:tcW w:w="530" w:type="pct"/>
                  <w:vMerge w:val="restart"/>
                  <w:noWrap w:val="0"/>
                  <w:vAlign w:val="center"/>
                </w:tcPr>
                <w:p w14:paraId="4FFB7D48">
                  <w:pPr>
                    <w:widowControl w:val="0"/>
                    <w:kinsoku/>
                    <w:autoSpaceDE/>
                    <w:autoSpaceDN/>
                    <w:adjustRightInd/>
                    <w:snapToGrid/>
                    <w:spacing w:line="240" w:lineRule="auto"/>
                    <w:jc w:val="center"/>
                    <w:textAlignment w:val="auto"/>
                    <w:rPr>
                      <w:rFonts w:hint="default" w:ascii="Times New Roman" w:hAnsi="Times New Roman" w:cs="Times New Roman"/>
                      <w:color w:val="auto"/>
                      <w:sz w:val="21"/>
                      <w:szCs w:val="21"/>
                      <w:highlight w:val="none"/>
                      <w:lang w:val="en-US" w:eastAsia="zh-CN"/>
                    </w:rPr>
                  </w:pPr>
                  <w:r>
                    <w:rPr>
                      <w:rFonts w:hint="default"/>
                      <w:color w:val="auto"/>
                      <w:sz w:val="21"/>
                      <w:szCs w:val="21"/>
                      <w:highlight w:val="none"/>
                    </w:rPr>
                    <w:t>环境管控单元总体管控要求</w:t>
                  </w:r>
                </w:p>
              </w:tc>
              <w:tc>
                <w:tcPr>
                  <w:tcW w:w="2144" w:type="pct"/>
                  <w:noWrap w:val="0"/>
                  <w:vAlign w:val="center"/>
                </w:tcPr>
                <w:p w14:paraId="5BA3F86C">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省级以上工业园区重点管控单元。依法开展园区规划环评，严格落实规划环评管理要求，开展环境质量跟踪监测，发布环境管理状况公告，制定并实施园区突发环境事件应急预案，定期开展环境安全隐患排查，提升风险防控及应急处置能力。周边1公里范围内涉及生态保护红线、自然保护地、饮用水水源地等生态环境敏感区域的园区，应优化产业布局，控制开发强度，优先引进无污染或轻污染的产业和项目，防止侵占生态空间。纳污水体水质超标的园区，应实施污水深度处理，新建、改建、扩建项目应实行重点污染物排放等量或减量替代。造纸、电镀、印染、鞣革等专业园区或基地应不断提升工艺水平，提高水回用率，逐步削减污染物排放总量；石化园区加快绿色智能升级改造，强化环保投入和管理，构建高效、清洁、低碳、循环的绿色制造体系。</w:t>
                  </w:r>
                </w:p>
              </w:tc>
              <w:tc>
                <w:tcPr>
                  <w:tcW w:w="1652" w:type="pct"/>
                  <w:noWrap w:val="0"/>
                  <w:vAlign w:val="center"/>
                </w:tcPr>
                <w:p w14:paraId="6C694BFF">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根据</w:t>
                  </w:r>
                  <w:r>
                    <w:rPr>
                      <w:rFonts w:hint="eastAsia" w:ascii="Times New Roman" w:hAnsi="Times New Roman" w:eastAsia="宋体" w:cs="Times New Roman"/>
                      <w:b w:val="0"/>
                      <w:bCs w:val="0"/>
                      <w:snapToGrid/>
                      <w:color w:val="auto"/>
                      <w:kern w:val="2"/>
                      <w:szCs w:val="21"/>
                      <w:highlight w:val="none"/>
                      <w:lang w:val="en-US" w:eastAsia="zh-CN"/>
                    </w:rPr>
                    <w:t>附图</w:t>
                  </w:r>
                  <w:r>
                    <w:rPr>
                      <w:rFonts w:hint="eastAsia"/>
                      <w:color w:val="auto"/>
                      <w:sz w:val="21"/>
                      <w:szCs w:val="21"/>
                      <w:highlight w:val="none"/>
                    </w:rPr>
                    <w:t>1</w:t>
                  </w:r>
                  <w:r>
                    <w:rPr>
                      <w:rFonts w:hint="eastAsia"/>
                      <w:color w:val="auto"/>
                      <w:sz w:val="21"/>
                      <w:szCs w:val="21"/>
                      <w:highlight w:val="none"/>
                      <w:lang w:val="en-US" w:eastAsia="zh-CN"/>
                    </w:rPr>
                    <w:t>4-1</w:t>
                  </w:r>
                  <w:r>
                    <w:rPr>
                      <w:rFonts w:hint="eastAsia"/>
                      <w:color w:val="auto"/>
                      <w:sz w:val="21"/>
                      <w:szCs w:val="21"/>
                      <w:highlight w:val="none"/>
                    </w:rPr>
                    <w:t>，项目位于乐昌经济开发区重点管控单元（管控编码ZH44028120003），属于园区重点管控单元，项目主要从事金属表面处理及热处理加工，生产过程中产生氮氧化物</w:t>
                  </w:r>
                  <w:r>
                    <w:rPr>
                      <w:rFonts w:hint="eastAsia"/>
                      <w:color w:val="auto"/>
                      <w:sz w:val="21"/>
                      <w:szCs w:val="21"/>
                      <w:highlight w:val="none"/>
                      <w:lang w:eastAsia="zh-CN"/>
                    </w:rPr>
                    <w:t>、</w:t>
                  </w:r>
                  <w:r>
                    <w:rPr>
                      <w:rFonts w:hint="eastAsia"/>
                      <w:color w:val="auto"/>
                      <w:sz w:val="21"/>
                      <w:szCs w:val="21"/>
                      <w:highlight w:val="none"/>
                      <w:lang w:val="en-US" w:eastAsia="zh-CN"/>
                    </w:rPr>
                    <w:t>VOCs</w:t>
                  </w:r>
                  <w:r>
                    <w:rPr>
                      <w:rFonts w:hint="eastAsia"/>
                      <w:color w:val="auto"/>
                      <w:sz w:val="21"/>
                      <w:szCs w:val="21"/>
                      <w:highlight w:val="none"/>
                    </w:rPr>
                    <w:t>需分配大气污染物总量；</w:t>
                  </w:r>
                  <w:r>
                    <w:rPr>
                      <w:rFonts w:hint="eastAsia" w:ascii="Times New Roman" w:cs="Times New Roman"/>
                      <w:i w:val="0"/>
                      <w:iCs w:val="0"/>
                      <w:color w:val="auto"/>
                      <w:kern w:val="0"/>
                      <w:sz w:val="21"/>
                      <w:szCs w:val="21"/>
                      <w:highlight w:val="none"/>
                      <w:u w:val="none"/>
                      <w:lang w:val="en-US" w:eastAsia="zh-CN" w:bidi="ar"/>
                    </w:rPr>
                    <w:t>项目外排生产</w:t>
                  </w:r>
                  <w:r>
                    <w:rPr>
                      <w:rFonts w:hint="eastAsia" w:cs="Times New Roman"/>
                      <w:i w:val="0"/>
                      <w:iCs w:val="0"/>
                      <w:color w:val="auto"/>
                      <w:kern w:val="0"/>
                      <w:sz w:val="21"/>
                      <w:szCs w:val="21"/>
                      <w:highlight w:val="none"/>
                      <w:u w:val="none"/>
                      <w:lang w:val="en-US" w:eastAsia="zh-CN" w:bidi="ar"/>
                    </w:rPr>
                    <w:t>废水经自建</w:t>
                  </w:r>
                  <w:r>
                    <w:rPr>
                      <w:rFonts w:hint="default" w:ascii="Times New Roman" w:hAnsi="Times New Roman" w:eastAsia="宋体" w:cs="Times New Roman"/>
                      <w:i w:val="0"/>
                      <w:iCs w:val="0"/>
                      <w:color w:val="auto"/>
                      <w:kern w:val="0"/>
                      <w:sz w:val="21"/>
                      <w:szCs w:val="21"/>
                      <w:highlight w:val="none"/>
                      <w:u w:val="none"/>
                      <w:lang w:val="en-US" w:eastAsia="zh-CN" w:bidi="ar"/>
                    </w:rPr>
                    <w:t>污水处理站处理</w:t>
                  </w:r>
                  <w:r>
                    <w:rPr>
                      <w:rFonts w:hint="eastAsia" w:cs="Times New Roman"/>
                      <w:i w:val="0"/>
                      <w:iCs w:val="0"/>
                      <w:color w:val="auto"/>
                      <w:kern w:val="0"/>
                      <w:sz w:val="21"/>
                      <w:szCs w:val="21"/>
                      <w:highlight w:val="none"/>
                      <w:u w:val="none"/>
                      <w:lang w:val="en-US" w:eastAsia="zh-CN" w:bidi="ar"/>
                    </w:rPr>
                    <w:t>后、</w:t>
                  </w:r>
                  <w:r>
                    <w:rPr>
                      <w:rFonts w:hint="default" w:ascii="Times New Roman" w:hAnsi="Times New Roman" w:eastAsia="宋体" w:cs="Times New Roman"/>
                      <w:i w:val="0"/>
                      <w:iCs w:val="0"/>
                      <w:color w:val="auto"/>
                      <w:kern w:val="0"/>
                      <w:sz w:val="21"/>
                      <w:szCs w:val="21"/>
                      <w:highlight w:val="none"/>
                      <w:u w:val="none"/>
                      <w:lang w:val="en-US" w:eastAsia="zh-CN" w:bidi="ar"/>
                    </w:rPr>
                    <w:t>生活污水</w:t>
                  </w:r>
                  <w:r>
                    <w:rPr>
                      <w:rFonts w:hint="eastAsia" w:cs="Times New Roman"/>
                      <w:i w:val="0"/>
                      <w:iCs w:val="0"/>
                      <w:color w:val="auto"/>
                      <w:kern w:val="0"/>
                      <w:sz w:val="21"/>
                      <w:szCs w:val="21"/>
                      <w:highlight w:val="none"/>
                      <w:u w:val="none"/>
                      <w:lang w:val="en-US" w:eastAsia="zh-CN" w:bidi="ar"/>
                    </w:rPr>
                    <w:t>经</w:t>
                  </w:r>
                  <w:r>
                    <w:rPr>
                      <w:rFonts w:hint="default" w:ascii="Times New Roman" w:hAnsi="Times New Roman" w:eastAsia="宋体" w:cs="Times New Roman"/>
                      <w:i w:val="0"/>
                      <w:iCs w:val="0"/>
                      <w:color w:val="auto"/>
                      <w:kern w:val="0"/>
                      <w:sz w:val="21"/>
                      <w:szCs w:val="21"/>
                      <w:highlight w:val="none"/>
                      <w:u w:val="none"/>
                      <w:lang w:val="en-US" w:eastAsia="zh-CN" w:bidi="ar"/>
                    </w:rPr>
                    <w:t>“三级化粪池</w:t>
                  </w:r>
                  <w:r>
                    <w:rPr>
                      <w:rFonts w:hint="eastAsia" w:ascii="Times New Roman" w:hAnsi="Times New Roman" w:eastAsia="宋体" w:cs="Times New Roman"/>
                      <w:i w:val="0"/>
                      <w:iCs w:val="0"/>
                      <w:color w:val="auto"/>
                      <w:kern w:val="0"/>
                      <w:sz w:val="21"/>
                      <w:szCs w:val="21"/>
                      <w:highlight w:val="none"/>
                      <w:u w:val="none"/>
                      <w:lang w:val="en-US" w:eastAsia="zh-CN" w:bidi="ar"/>
                    </w:rPr>
                    <w:t>+隔油隔渣池</w:t>
                  </w:r>
                  <w:r>
                    <w:rPr>
                      <w:rFonts w:hint="default" w:ascii="Times New Roman" w:hAnsi="Times New Roman" w:eastAsia="宋体" w:cs="Times New Roman"/>
                      <w:i w:val="0"/>
                      <w:iCs w:val="0"/>
                      <w:color w:val="auto"/>
                      <w:kern w:val="0"/>
                      <w:sz w:val="21"/>
                      <w:szCs w:val="21"/>
                      <w:highlight w:val="none"/>
                      <w:u w:val="none"/>
                      <w:lang w:val="en-US" w:eastAsia="zh-CN" w:bidi="ar"/>
                    </w:rPr>
                    <w:t>”预处理后排入园区污水处理厂进一步处理达标后排放</w:t>
                  </w:r>
                  <w:r>
                    <w:rPr>
                      <w:rFonts w:hint="eastAsia"/>
                      <w:color w:val="auto"/>
                      <w:sz w:val="21"/>
                      <w:szCs w:val="21"/>
                      <w:highlight w:val="none"/>
                    </w:rPr>
                    <w:t>，无需分配水污染物总量。</w:t>
                  </w:r>
                </w:p>
              </w:tc>
              <w:tc>
                <w:tcPr>
                  <w:tcW w:w="351" w:type="pct"/>
                  <w:noWrap w:val="0"/>
                  <w:vAlign w:val="center"/>
                </w:tcPr>
                <w:p w14:paraId="35EEC8C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符合</w:t>
                  </w:r>
                </w:p>
              </w:tc>
            </w:tr>
            <w:tr w14:paraId="7973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noWrap w:val="0"/>
                  <w:vAlign w:val="center"/>
                </w:tcPr>
                <w:p w14:paraId="663B8093">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noWrap w:val="0"/>
                  <w:vAlign w:val="center"/>
                </w:tcPr>
                <w:p w14:paraId="77129F03">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noWrap w:val="0"/>
                  <w:vAlign w:val="center"/>
                </w:tcPr>
                <w:p w14:paraId="12B0246E">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水环境质量超标类重点管控单元。严格控制耗水量大、污染物排放强度高的行业发展，新建、改建、扩建项目实施重点水污染物减量替代。以城镇生活污染为主的单元，加快推进城镇生活污水有效收集处理，重点完善污水处理设施配套管网建设，加快实施雨污分流改造，推动提升污水处理设施进水水量和浓度，充分发挥污水处理设施治污效能。</w:t>
                  </w:r>
                </w:p>
              </w:tc>
              <w:tc>
                <w:tcPr>
                  <w:tcW w:w="1652" w:type="pct"/>
                  <w:noWrap w:val="0"/>
                  <w:vAlign w:val="center"/>
                </w:tcPr>
                <w:p w14:paraId="6F6D379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项目不属于耗水量大和污染物排放强度高的行业，生活污水经三级化粪池</w:t>
                  </w:r>
                  <w:r>
                    <w:rPr>
                      <w:rFonts w:hint="eastAsia" w:ascii="Times New Roman" w:hAnsi="Times New Roman" w:eastAsia="宋体" w:cs="Times New Roman"/>
                      <w:i w:val="0"/>
                      <w:iCs w:val="0"/>
                      <w:color w:val="auto"/>
                      <w:kern w:val="0"/>
                      <w:sz w:val="21"/>
                      <w:szCs w:val="21"/>
                      <w:highlight w:val="none"/>
                      <w:u w:val="none"/>
                      <w:lang w:val="en-US" w:eastAsia="zh-CN" w:bidi="ar"/>
                    </w:rPr>
                    <w:t>+隔油隔渣池</w:t>
                  </w:r>
                  <w:r>
                    <w:rPr>
                      <w:rFonts w:hint="eastAsia"/>
                      <w:color w:val="auto"/>
                      <w:kern w:val="2"/>
                      <w:sz w:val="21"/>
                      <w:szCs w:val="21"/>
                      <w:highlight w:val="none"/>
                    </w:rPr>
                    <w:t>预处理后排入园区污水处理</w:t>
                  </w:r>
                  <w:r>
                    <w:rPr>
                      <w:rFonts w:hint="eastAsia"/>
                      <w:color w:val="auto"/>
                      <w:kern w:val="2"/>
                      <w:sz w:val="21"/>
                      <w:szCs w:val="21"/>
                      <w:highlight w:val="none"/>
                      <w:lang w:eastAsia="zh-CN"/>
                    </w:rPr>
                    <w:t>厂</w:t>
                  </w:r>
                  <w:r>
                    <w:rPr>
                      <w:rFonts w:hint="eastAsia"/>
                      <w:color w:val="auto"/>
                      <w:kern w:val="2"/>
                      <w:sz w:val="21"/>
                      <w:szCs w:val="21"/>
                      <w:highlight w:val="none"/>
                    </w:rPr>
                    <w:t>；</w:t>
                  </w:r>
                  <w:r>
                    <w:rPr>
                      <w:rFonts w:hint="eastAsia" w:ascii="Times New Roman" w:cs="Times New Roman"/>
                      <w:i w:val="0"/>
                      <w:iCs w:val="0"/>
                      <w:color w:val="auto"/>
                      <w:kern w:val="0"/>
                      <w:sz w:val="21"/>
                      <w:szCs w:val="21"/>
                      <w:highlight w:val="none"/>
                      <w:u w:val="none"/>
                      <w:lang w:val="en-US" w:eastAsia="zh-CN" w:bidi="ar"/>
                    </w:rPr>
                    <w:t>项目外排生产</w:t>
                  </w:r>
                  <w:r>
                    <w:rPr>
                      <w:rFonts w:hint="eastAsia" w:ascii="Times New Roman" w:hAnsi="Times New Roman" w:cs="Times New Roman"/>
                      <w:i w:val="0"/>
                      <w:iCs w:val="0"/>
                      <w:color w:val="auto"/>
                      <w:kern w:val="0"/>
                      <w:sz w:val="21"/>
                      <w:szCs w:val="21"/>
                      <w:highlight w:val="none"/>
                      <w:u w:val="none"/>
                      <w:lang w:val="en-US" w:eastAsia="zh-CN" w:bidi="ar"/>
                    </w:rPr>
                    <w:t>废水经自建</w:t>
                  </w:r>
                  <w:r>
                    <w:rPr>
                      <w:rFonts w:hint="default" w:ascii="Times New Roman" w:hAnsi="Times New Roman" w:eastAsia="宋体" w:cs="Times New Roman"/>
                      <w:i w:val="0"/>
                      <w:iCs w:val="0"/>
                      <w:color w:val="auto"/>
                      <w:kern w:val="0"/>
                      <w:sz w:val="21"/>
                      <w:szCs w:val="21"/>
                      <w:highlight w:val="none"/>
                      <w:u w:val="none"/>
                      <w:lang w:val="en-US" w:eastAsia="zh-CN" w:bidi="ar"/>
                    </w:rPr>
                    <w:t>污水处理站处理</w:t>
                  </w:r>
                  <w:r>
                    <w:rPr>
                      <w:rFonts w:hint="eastAsia" w:cs="Times New Roman"/>
                      <w:i w:val="0"/>
                      <w:iCs w:val="0"/>
                      <w:color w:val="auto"/>
                      <w:kern w:val="0"/>
                      <w:sz w:val="21"/>
                      <w:szCs w:val="21"/>
                      <w:highlight w:val="none"/>
                      <w:u w:val="none"/>
                      <w:lang w:val="en-US" w:eastAsia="zh-CN" w:bidi="ar"/>
                    </w:rPr>
                    <w:t>后</w:t>
                  </w:r>
                  <w:r>
                    <w:rPr>
                      <w:rFonts w:hint="default" w:ascii="Times New Roman" w:hAnsi="Times New Roman" w:eastAsia="宋体" w:cs="Times New Roman"/>
                      <w:i w:val="0"/>
                      <w:iCs w:val="0"/>
                      <w:color w:val="auto"/>
                      <w:kern w:val="0"/>
                      <w:sz w:val="21"/>
                      <w:szCs w:val="21"/>
                      <w:highlight w:val="none"/>
                      <w:u w:val="none"/>
                      <w:lang w:val="en-US" w:eastAsia="zh-CN" w:bidi="ar"/>
                    </w:rPr>
                    <w:t>排入园区污水处理厂进一步处理达标后排放</w:t>
                  </w:r>
                  <w:r>
                    <w:rPr>
                      <w:rFonts w:hint="eastAsia"/>
                      <w:color w:val="auto"/>
                      <w:kern w:val="2"/>
                      <w:sz w:val="21"/>
                      <w:szCs w:val="21"/>
                      <w:highlight w:val="none"/>
                    </w:rPr>
                    <w:t>，对水环境影响不大。</w:t>
                  </w:r>
                </w:p>
              </w:tc>
              <w:tc>
                <w:tcPr>
                  <w:tcW w:w="351" w:type="pct"/>
                  <w:noWrap w:val="0"/>
                  <w:vAlign w:val="center"/>
                </w:tcPr>
                <w:p w14:paraId="5F3A3058">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符合</w:t>
                  </w:r>
                </w:p>
              </w:tc>
            </w:tr>
            <w:tr w14:paraId="07BA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20" w:type="pct"/>
                  <w:vMerge w:val="continue"/>
                  <w:noWrap w:val="0"/>
                  <w:vAlign w:val="center"/>
                </w:tcPr>
                <w:p w14:paraId="694DD551">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530" w:type="pct"/>
                  <w:vMerge w:val="continue"/>
                  <w:noWrap w:val="0"/>
                  <w:vAlign w:val="center"/>
                </w:tcPr>
                <w:p w14:paraId="717650E0">
                  <w:pPr>
                    <w:pStyle w:val="88"/>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240" w:lineRule="auto"/>
                    <w:ind w:left="0" w:right="0"/>
                    <w:jc w:val="center"/>
                    <w:textAlignment w:val="center"/>
                    <w:rPr>
                      <w:rFonts w:hint="default" w:ascii="Times New Roman" w:hAnsi="Times New Roman" w:cs="Times New Roman"/>
                      <w:color w:val="auto"/>
                      <w:sz w:val="21"/>
                      <w:szCs w:val="21"/>
                      <w:highlight w:val="none"/>
                      <w:lang w:val="en-US" w:eastAsia="zh-CN"/>
                    </w:rPr>
                  </w:pPr>
                </w:p>
              </w:tc>
              <w:tc>
                <w:tcPr>
                  <w:tcW w:w="2144" w:type="pct"/>
                  <w:noWrap w:val="0"/>
                  <w:vAlign w:val="center"/>
                </w:tcPr>
                <w:p w14:paraId="026A0B8D">
                  <w:pPr>
                    <w:widowControl w:val="0"/>
                    <w:kinsoku/>
                    <w:autoSpaceDE/>
                    <w:autoSpaceDN/>
                    <w:adjustRightInd/>
                    <w:snapToGrid/>
                    <w:spacing w:line="240" w:lineRule="auto"/>
                    <w:jc w:val="center"/>
                    <w:textAlignment w:val="auto"/>
                    <w:rPr>
                      <w:rFonts w:hint="default"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大气环境受体敏感类重点管控单元。严格限制新建</w:t>
                  </w:r>
                  <w:r>
                    <w:rPr>
                      <w:rFonts w:hint="eastAsia" w:ascii="Times New Roman" w:hAnsi="Times New Roman" w:eastAsia="宋体" w:cs="Times New Roman"/>
                      <w:b w:val="0"/>
                      <w:bCs w:val="0"/>
                      <w:snapToGrid/>
                      <w:color w:val="auto"/>
                      <w:kern w:val="2"/>
                      <w:szCs w:val="21"/>
                      <w:highlight w:val="none"/>
                      <w:lang w:val="en-US" w:eastAsia="zh-CN"/>
                    </w:rPr>
                    <w:t>钢铁</w:t>
                  </w:r>
                  <w:r>
                    <w:rPr>
                      <w:rFonts w:hint="eastAsia"/>
                      <w:color w:val="auto"/>
                      <w:kern w:val="2"/>
                      <w:sz w:val="21"/>
                      <w:szCs w:val="21"/>
                      <w:highlight w:val="none"/>
                    </w:rPr>
                    <w:t>、燃煤燃油火电、石化、储油库等项目，产生和排放有毒有害大气污染物项目，以及使用溶剂型油墨、涂料、清洗剂、胶黏剂等高挥发性有机物原辅材料的项目；鼓励现有该类项目逐步搬迁退出</w:t>
                  </w:r>
                </w:p>
              </w:tc>
              <w:tc>
                <w:tcPr>
                  <w:tcW w:w="1652" w:type="pct"/>
                  <w:noWrap w:val="0"/>
                  <w:vAlign w:val="center"/>
                </w:tcPr>
                <w:p w14:paraId="33C51DE8">
                  <w:pPr>
                    <w:widowControl w:val="0"/>
                    <w:kinsoku/>
                    <w:autoSpaceDE/>
                    <w:autoSpaceDN/>
                    <w:adjustRightInd/>
                    <w:snapToGrid/>
                    <w:spacing w:line="240" w:lineRule="auto"/>
                    <w:jc w:val="center"/>
                    <w:textAlignment w:val="auto"/>
                    <w:rPr>
                      <w:rFonts w:hint="eastAsia" w:ascii="Times New Roman" w:hAnsi="Times New Roman" w:eastAsia="宋体" w:cs="Times New Roman"/>
                      <w:color w:val="auto"/>
                      <w:kern w:val="2"/>
                      <w:position w:val="-10"/>
                      <w:sz w:val="21"/>
                      <w:szCs w:val="21"/>
                      <w:highlight w:val="none"/>
                      <w:lang w:val="en-US" w:eastAsia="zh-CN" w:bidi="ar-SA"/>
                    </w:rPr>
                  </w:pPr>
                  <w:r>
                    <w:rPr>
                      <w:rFonts w:hint="eastAsia"/>
                      <w:color w:val="auto"/>
                      <w:kern w:val="2"/>
                      <w:sz w:val="21"/>
                      <w:szCs w:val="21"/>
                      <w:highlight w:val="none"/>
                    </w:rPr>
                    <w:t>项目不属于钢铁、燃煤燃油火电、石化、储油库等项目</w:t>
                  </w:r>
                  <w:r>
                    <w:rPr>
                      <w:rFonts w:hint="eastAsia"/>
                      <w:color w:val="auto"/>
                      <w:kern w:val="2"/>
                      <w:sz w:val="21"/>
                      <w:szCs w:val="21"/>
                      <w:highlight w:val="none"/>
                      <w:lang w:eastAsia="zh-CN"/>
                    </w:rPr>
                    <w:t>，</w:t>
                  </w:r>
                  <w:r>
                    <w:rPr>
                      <w:rFonts w:hint="eastAsia"/>
                      <w:color w:val="auto"/>
                      <w:kern w:val="2"/>
                      <w:sz w:val="21"/>
                      <w:szCs w:val="21"/>
                      <w:highlight w:val="none"/>
                    </w:rPr>
                    <w:t>不属于</w:t>
                  </w:r>
                  <w:r>
                    <w:rPr>
                      <w:rFonts w:hint="eastAsia"/>
                      <w:color w:val="auto"/>
                      <w:kern w:val="2"/>
                      <w:sz w:val="21"/>
                      <w:szCs w:val="21"/>
                      <w:highlight w:val="none"/>
                      <w:lang w:val="en-US" w:eastAsia="zh-CN"/>
                    </w:rPr>
                    <w:t>产生和排放</w:t>
                  </w:r>
                  <w:r>
                    <w:rPr>
                      <w:rFonts w:hint="eastAsia"/>
                      <w:color w:val="auto"/>
                      <w:kern w:val="2"/>
                      <w:sz w:val="21"/>
                      <w:szCs w:val="21"/>
                      <w:highlight w:val="none"/>
                    </w:rPr>
                    <w:t>有毒有害大气污染物的项目</w:t>
                  </w:r>
                  <w:r>
                    <w:rPr>
                      <w:rFonts w:hint="eastAsia"/>
                      <w:color w:val="auto"/>
                      <w:kern w:val="2"/>
                      <w:sz w:val="21"/>
                      <w:szCs w:val="21"/>
                      <w:highlight w:val="none"/>
                      <w:lang w:eastAsia="zh-CN"/>
                    </w:rPr>
                    <w:t>。</w:t>
                  </w:r>
                </w:p>
              </w:tc>
              <w:tc>
                <w:tcPr>
                  <w:tcW w:w="351" w:type="pct"/>
                  <w:noWrap w:val="0"/>
                  <w:vAlign w:val="center"/>
                </w:tcPr>
                <w:p w14:paraId="5C2E557D">
                  <w:pPr>
                    <w:widowControl w:val="0"/>
                    <w:kinsoku/>
                    <w:autoSpaceDE/>
                    <w:autoSpaceDN/>
                    <w:adjustRightInd/>
                    <w:snapToGrid/>
                    <w:spacing w:line="240" w:lineRule="auto"/>
                    <w:jc w:val="center"/>
                    <w:textAlignment w:val="auto"/>
                    <w:rPr>
                      <w:rFonts w:hint="default" w:ascii="Times New Roman" w:hAnsi="Times New Roman" w:eastAsia="宋体" w:cs="Times New Roman"/>
                      <w:b w:val="0"/>
                      <w:bCs w:val="0"/>
                      <w:snapToGrid/>
                      <w:color w:val="auto"/>
                      <w:kern w:val="2"/>
                      <w:szCs w:val="21"/>
                      <w:highlight w:val="none"/>
                      <w:lang w:val="en-US" w:eastAsia="zh-CN"/>
                    </w:rPr>
                  </w:pPr>
                  <w:r>
                    <w:rPr>
                      <w:rFonts w:hint="eastAsia" w:ascii="Times New Roman" w:hAnsi="Times New Roman" w:eastAsia="宋体" w:cs="Times New Roman"/>
                      <w:b w:val="0"/>
                      <w:bCs w:val="0"/>
                      <w:snapToGrid/>
                      <w:color w:val="auto"/>
                      <w:kern w:val="2"/>
                      <w:szCs w:val="21"/>
                      <w:highlight w:val="none"/>
                      <w:lang w:val="en-US" w:eastAsia="zh-CN"/>
                    </w:rPr>
                    <w:t>符合</w:t>
                  </w:r>
                </w:p>
              </w:tc>
            </w:tr>
          </w:tbl>
          <w:p w14:paraId="48E0DD44">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auto"/>
                <w:highlight w:val="none"/>
              </w:rPr>
            </w:pPr>
          </w:p>
          <w:p w14:paraId="2A94CED8">
            <w:pPr>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r>
              <w:rPr>
                <w:rFonts w:hint="eastAsia" w:ascii="Times New Roman" w:hAnsi="Times New Roman" w:eastAsia="宋体" w:cs="Times New Roman"/>
                <w:b w:val="0"/>
                <w:bCs w:val="0"/>
                <w:color w:val="auto"/>
                <w:kern w:val="0"/>
                <w:sz w:val="24"/>
                <w:highlight w:val="none"/>
                <w:lang w:val="en-US" w:eastAsia="zh-CN"/>
              </w:rPr>
              <w:t>综上所述，项目符合《广东省人民政府关于印发广东省“三线一单”生态环境分区管控方案的通知（粤府〔2020〕71号）》《广东省2023年度生态环境分区管控动态更新成果公告》的相关要求。</w:t>
            </w:r>
          </w:p>
          <w:p w14:paraId="5112A000">
            <w:pPr>
              <w:spacing w:line="360" w:lineRule="auto"/>
              <w:ind w:firstLine="482" w:firstLineChars="200"/>
              <w:rPr>
                <w:rFonts w:hint="eastAsia" w:ascii="Times New Roman" w:hAnsi="Times New Roman" w:eastAsia="宋体" w:cs="Times New Roman"/>
                <w:b w:val="0"/>
                <w:bCs w:val="0"/>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②与《韶关市“三线一单”生态环境分区管控方案》（韶府〔2021〕10号）和《韶关市生态环境分区管控动态更新成果》的相符性分析</w:t>
            </w:r>
          </w:p>
          <w:p w14:paraId="37EF6427">
            <w:pPr>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r>
              <w:rPr>
                <w:rFonts w:hint="eastAsia" w:ascii="Times New Roman" w:hAnsi="Times New Roman" w:eastAsia="宋体" w:cs="Times New Roman"/>
                <w:b w:val="0"/>
                <w:bCs w:val="0"/>
                <w:color w:val="auto"/>
                <w:kern w:val="0"/>
                <w:sz w:val="24"/>
                <w:highlight w:val="none"/>
                <w:lang w:val="en-US" w:eastAsia="zh-CN"/>
              </w:rPr>
              <w:t>本项目所在环境管控单位为乐昌经济开发区重点管控单元（编号：ZH44028120003）</w:t>
            </w:r>
            <w:r>
              <w:rPr>
                <w:rFonts w:hint="default" w:ascii="Times New Roman" w:hAnsi="Times New Roman" w:eastAsia="宋体" w:cs="Times New Roman"/>
                <w:b w:val="0"/>
                <w:bCs w:val="0"/>
                <w:color w:val="auto"/>
                <w:kern w:val="0"/>
                <w:sz w:val="24"/>
                <w:highlight w:val="none"/>
                <w:lang w:val="en-US" w:eastAsia="zh-CN"/>
              </w:rPr>
              <w:t>，本项目与所在区域的生态保护红线、环境质量底线、资源利用上线</w:t>
            </w:r>
            <w:r>
              <w:rPr>
                <w:rFonts w:hint="eastAsia" w:ascii="Times New Roman" w:hAnsi="Times New Roman" w:eastAsia="宋体" w:cs="Times New Roman"/>
                <w:b w:val="0"/>
                <w:bCs w:val="0"/>
                <w:color w:val="auto"/>
                <w:kern w:val="0"/>
                <w:sz w:val="24"/>
                <w:highlight w:val="none"/>
                <w:lang w:val="en-US" w:eastAsia="zh-CN"/>
              </w:rPr>
              <w:t>如下表所示。</w:t>
            </w:r>
          </w:p>
          <w:p w14:paraId="71334135">
            <w:pPr>
              <w:pStyle w:val="155"/>
              <w:keepNext w:val="0"/>
              <w:keepLines w:val="0"/>
              <w:suppressLineNumbers w:val="0"/>
              <w:bidi w:val="0"/>
              <w:spacing w:before="0" w:beforeAutospacing="0" w:after="0" w:afterAutospacing="0" w:line="240" w:lineRule="auto"/>
              <w:ind w:left="0" w:leftChars="0" w:right="0" w:firstLine="0" w:firstLineChars="0"/>
              <w:rPr>
                <w:rFonts w:hint="eastAsia"/>
                <w:color w:val="auto"/>
                <w:sz w:val="21"/>
                <w:szCs w:val="21"/>
                <w:highlight w:val="none"/>
              </w:rPr>
            </w:pPr>
            <w:r>
              <w:rPr>
                <w:rFonts w:hint="eastAsia"/>
                <w:color w:val="auto"/>
                <w:sz w:val="21"/>
                <w:szCs w:val="21"/>
                <w:highlight w:val="none"/>
                <w:lang w:val="en-US" w:eastAsia="zh-CN"/>
              </w:rPr>
              <w:t>与《韶关市“三线一单”生态环境分区管控方案》（韶府</w:t>
            </w:r>
            <w:r>
              <w:rPr>
                <w:rFonts w:hint="eastAsia"/>
                <w:color w:val="auto"/>
                <w:sz w:val="21"/>
                <w:szCs w:val="21"/>
                <w:highlight w:val="none"/>
                <w:lang w:val="en-US" w:eastAsia="zh-CN"/>
              </w:rPr>
              <w:br w:type="textWrapping"/>
            </w:r>
            <w:r>
              <w:rPr>
                <w:rFonts w:hint="eastAsia"/>
                <w:color w:val="auto"/>
                <w:sz w:val="21"/>
                <w:szCs w:val="21"/>
                <w:highlight w:val="none"/>
                <w:lang w:val="en-US" w:eastAsia="zh-CN"/>
              </w:rPr>
              <w:t>〔2021〕10号）和《韶关市生态环境分区管控动态更新成果》</w:t>
            </w:r>
            <w:r>
              <w:rPr>
                <w:rFonts w:hint="eastAsia"/>
                <w:color w:val="auto"/>
                <w:sz w:val="21"/>
                <w:szCs w:val="21"/>
                <w:highlight w:val="none"/>
              </w:rPr>
              <w:t>相符性分析一览表</w:t>
            </w:r>
          </w:p>
          <w:tbl>
            <w:tblPr>
              <w:tblStyle w:val="4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9"/>
              <w:gridCol w:w="3565"/>
              <w:gridCol w:w="2148"/>
              <w:gridCol w:w="503"/>
            </w:tblGrid>
            <w:tr w14:paraId="5C7B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7" w:type="pct"/>
                  <w:noWrap w:val="0"/>
                  <w:vAlign w:val="center"/>
                </w:tcPr>
                <w:p w14:paraId="17701220">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类别</w:t>
                  </w:r>
                </w:p>
              </w:tc>
              <w:tc>
                <w:tcPr>
                  <w:tcW w:w="2673" w:type="pct"/>
                  <w:noWrap w:val="0"/>
                  <w:vAlign w:val="center"/>
                </w:tcPr>
                <w:p w14:paraId="25BBF3FB">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文件要求</w:t>
                  </w:r>
                </w:p>
              </w:tc>
              <w:tc>
                <w:tcPr>
                  <w:tcW w:w="1611" w:type="pct"/>
                  <w:noWrap w:val="0"/>
                  <w:vAlign w:val="center"/>
                </w:tcPr>
                <w:p w14:paraId="4FAE7A86">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本项目情况</w:t>
                  </w:r>
                </w:p>
              </w:tc>
              <w:tc>
                <w:tcPr>
                  <w:tcW w:w="377" w:type="pct"/>
                  <w:noWrap w:val="0"/>
                  <w:vAlign w:val="center"/>
                </w:tcPr>
                <w:p w14:paraId="1E1430C4">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符合性</w:t>
                  </w:r>
                </w:p>
              </w:tc>
            </w:tr>
            <w:tr w14:paraId="7C00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7" w:type="pct"/>
                  <w:noWrap w:val="0"/>
                  <w:vAlign w:val="center"/>
                </w:tcPr>
                <w:p w14:paraId="2164DEEA">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生态保护红线</w:t>
                  </w:r>
                </w:p>
              </w:tc>
              <w:tc>
                <w:tcPr>
                  <w:tcW w:w="2673" w:type="pct"/>
                  <w:noWrap w:val="0"/>
                  <w:vAlign w:val="center"/>
                </w:tcPr>
                <w:p w14:paraId="1D8D77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生态保护红线及一般生态空间。全市陆域生态保护红线面积5827.58平方千米，占全市陆域国土面积的31.65%；一般生态空间面积4951.43平方千米。</w:t>
                  </w:r>
                </w:p>
                <w:p w14:paraId="38B064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bidi="ar"/>
                    </w:rPr>
                    <w:t>生态保护红线内自然保护地核心保护区外，禁止开发性、生产性建设活动，在符合法律法规的前提下，仅允许对生态功能不造成破坏的有限人为活动；生态保护红线内自然保护区、风景名胜区、饮用水水源保护区等区域，依照法律法规执行。上述允许的有限人为活动之外，确需占用生态保护红线的国家重大项目，按照有关规定办理用地审批。</w:t>
                  </w:r>
                </w:p>
              </w:tc>
              <w:tc>
                <w:tcPr>
                  <w:tcW w:w="1611" w:type="pct"/>
                  <w:noWrap w:val="0"/>
                  <w:vAlign w:val="center"/>
                </w:tcPr>
                <w:p w14:paraId="22F4B905">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本项目选址不涉及自然保护区、风景名胜区、饮用水源保护区、基本农田保护区</w:t>
                  </w:r>
                  <w:r>
                    <w:rPr>
                      <w:rFonts w:hint="eastAsia" w:ascii="Times New Roman" w:hAnsi="Times New Roman" w:cs="Times New Roman"/>
                      <w:color w:val="auto"/>
                      <w:kern w:val="0"/>
                      <w:sz w:val="21"/>
                      <w:szCs w:val="21"/>
                      <w:highlight w:val="none"/>
                      <w:lang w:eastAsia="zh-CN"/>
                    </w:rPr>
                    <w:t>及其他</w:t>
                  </w:r>
                  <w:r>
                    <w:rPr>
                      <w:rFonts w:hint="default" w:ascii="Times New Roman" w:hAnsi="Times New Roman" w:cs="Times New Roman"/>
                      <w:color w:val="auto"/>
                      <w:kern w:val="0"/>
                      <w:sz w:val="21"/>
                      <w:szCs w:val="21"/>
                      <w:highlight w:val="none"/>
                    </w:rPr>
                    <w:t>需要特殊保护的敏感区域，项目位于</w:t>
                  </w:r>
                  <w:r>
                    <w:rPr>
                      <w:rFonts w:hint="eastAsia" w:ascii="Times New Roman" w:hAnsi="Times New Roman" w:cs="Times New Roman"/>
                      <w:color w:val="auto"/>
                      <w:kern w:val="0"/>
                      <w:sz w:val="21"/>
                      <w:szCs w:val="21"/>
                      <w:highlight w:val="none"/>
                      <w:lang w:eastAsia="zh-CN"/>
                    </w:rPr>
                    <w:t>韶关市乐昌市</w:t>
                  </w:r>
                  <w:r>
                    <w:rPr>
                      <w:rFonts w:hint="eastAsia" w:cs="Times New Roman"/>
                      <w:color w:val="auto"/>
                      <w:kern w:val="0"/>
                      <w:sz w:val="21"/>
                      <w:szCs w:val="21"/>
                      <w:highlight w:val="none"/>
                      <w:lang w:eastAsia="zh-CN"/>
                    </w:rPr>
                    <w:t>乐昌产业转移工业园GL-02-02-01地块</w:t>
                  </w:r>
                  <w:r>
                    <w:rPr>
                      <w:rFonts w:hint="default" w:ascii="Times New Roman" w:hAnsi="Times New Roman" w:cs="Times New Roman"/>
                      <w:color w:val="auto"/>
                      <w:sz w:val="21"/>
                      <w:szCs w:val="21"/>
                      <w:highlight w:val="none"/>
                    </w:rPr>
                    <w:t>，不在生态红线内。</w:t>
                  </w:r>
                </w:p>
              </w:tc>
              <w:tc>
                <w:tcPr>
                  <w:tcW w:w="377" w:type="pct"/>
                  <w:noWrap w:val="0"/>
                  <w:vAlign w:val="center"/>
                </w:tcPr>
                <w:p w14:paraId="0A08045E">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6DB5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7" w:type="pct"/>
                  <w:noWrap w:val="0"/>
                  <w:vAlign w:val="center"/>
                </w:tcPr>
                <w:p w14:paraId="2B66361F">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环境质量底线</w:t>
                  </w:r>
                </w:p>
              </w:tc>
              <w:tc>
                <w:tcPr>
                  <w:tcW w:w="2673" w:type="pct"/>
                  <w:noWrap w:val="0"/>
                  <w:vAlign w:val="center"/>
                </w:tcPr>
                <w:p w14:paraId="5CB2FB3B">
                  <w:pPr>
                    <w:keepNext w:val="0"/>
                    <w:keepLines w:val="0"/>
                    <w:pageBreakBefore w:val="0"/>
                    <w:widowControl/>
                    <w:suppressLineNumbers w:val="0"/>
                    <w:kinsoku/>
                    <w:wordWrap/>
                    <w:overflowPunct/>
                    <w:topLinePunct w:val="0"/>
                    <w:bidi w:val="0"/>
                    <w:snapToGrid/>
                    <w:spacing w:before="0" w:beforeAutospacing="0" w:after="0" w:afterAutospacing="0" w:line="240" w:lineRule="auto"/>
                    <w:ind w:left="0" w:right="0"/>
                    <w:jc w:val="both"/>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全市水环境质量保持优良，县级以上集中式饮用水水源水质全面稳定达到或优于Ⅲ类，考核断面优良水质比例达100%。大气环境质量持续改善，AQI和PM</w:t>
                  </w:r>
                  <w:r>
                    <w:rPr>
                      <w:rFonts w:hint="default" w:ascii="Times New Roman" w:hAnsi="Times New Roman" w:cs="Times New Roman"/>
                      <w:color w:val="auto"/>
                      <w:kern w:val="0"/>
                      <w:sz w:val="21"/>
                      <w:szCs w:val="21"/>
                      <w:highlight w:val="none"/>
                      <w:vertAlign w:val="subscript"/>
                    </w:rPr>
                    <w:t>2.5</w:t>
                  </w:r>
                  <w:r>
                    <w:rPr>
                      <w:rFonts w:hint="default" w:ascii="Times New Roman" w:hAnsi="Times New Roman" w:cs="Times New Roman"/>
                      <w:color w:val="auto"/>
                      <w:kern w:val="0"/>
                      <w:sz w:val="21"/>
                      <w:szCs w:val="21"/>
                      <w:highlight w:val="none"/>
                    </w:rPr>
                    <w:t>等主要指标达到省下达的任务要求，臭氧污染得到有效遏制。土壤环境质量稳中向好，土壤环境风险得到管控。</w:t>
                  </w:r>
                </w:p>
              </w:tc>
              <w:tc>
                <w:tcPr>
                  <w:tcW w:w="1611" w:type="pct"/>
                  <w:noWrap w:val="0"/>
                  <w:vAlign w:val="center"/>
                </w:tcPr>
                <w:p w14:paraId="4610A2BD">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项目所在区域的声环境质量能够符合相应的标准要求；地表水质量达标；根据《</w:t>
                  </w:r>
                  <w:r>
                    <w:rPr>
                      <w:rFonts w:hint="eastAsia" w:ascii="Times New Roman" w:hAnsi="Times New Roman" w:cs="Times New Roman"/>
                      <w:color w:val="auto"/>
                      <w:kern w:val="0"/>
                      <w:sz w:val="21"/>
                      <w:szCs w:val="21"/>
                      <w:highlight w:val="none"/>
                      <w:lang w:val="en-US" w:eastAsia="zh-CN"/>
                    </w:rPr>
                    <w:t>2024</w:t>
                  </w:r>
                  <w:r>
                    <w:rPr>
                      <w:rFonts w:hint="default" w:ascii="Times New Roman" w:hAnsi="Times New Roman" w:cs="Times New Roman"/>
                      <w:color w:val="auto"/>
                      <w:kern w:val="0"/>
                      <w:sz w:val="21"/>
                      <w:szCs w:val="21"/>
                      <w:highlight w:val="none"/>
                    </w:rPr>
                    <w:t>年韶关市生态环境状况公报》</w:t>
                  </w:r>
                  <w:r>
                    <w:rPr>
                      <w:rFonts w:hint="default" w:ascii="Times New Roman" w:hAnsi="Times New Roman" w:cs="Times New Roman"/>
                      <w:bCs/>
                      <w:color w:val="auto"/>
                      <w:sz w:val="21"/>
                      <w:szCs w:val="21"/>
                      <w:highlight w:val="none"/>
                    </w:rPr>
                    <w:t>，乐昌市</w:t>
                  </w:r>
                  <w:r>
                    <w:rPr>
                      <w:rFonts w:hint="default" w:ascii="Times New Roman" w:hAnsi="Times New Roman" w:cs="Times New Roman"/>
                      <w:bCs/>
                      <w:color w:val="auto"/>
                      <w:sz w:val="21"/>
                      <w:szCs w:val="21"/>
                      <w:highlight w:val="none"/>
                      <w:lang w:val="en-US" w:eastAsia="zh-CN"/>
                    </w:rPr>
                    <w:t>各项基本污染物</w:t>
                  </w:r>
                  <w:r>
                    <w:rPr>
                      <w:rFonts w:hint="default" w:ascii="Times New Roman" w:hAnsi="Times New Roman" w:cs="Times New Roman"/>
                      <w:bCs/>
                      <w:color w:val="auto"/>
                      <w:sz w:val="21"/>
                      <w:szCs w:val="21"/>
                      <w:highlight w:val="none"/>
                    </w:rPr>
                    <w:t>均满足《环境空气质量标准》（GB3095-2026）过渡阶段浓度限值二级标准，由此说明</w:t>
                  </w:r>
                  <w:r>
                    <w:rPr>
                      <w:rFonts w:hint="default" w:ascii="Times New Roman" w:hAnsi="Times New Roman" w:cs="Times New Roman"/>
                      <w:bCs/>
                      <w:color w:val="auto"/>
                      <w:sz w:val="21"/>
                      <w:szCs w:val="21"/>
                      <w:highlight w:val="none"/>
                      <w:lang w:val="en-US" w:eastAsia="zh-CN"/>
                    </w:rPr>
                    <w:t>韶关市</w:t>
                  </w:r>
                  <w:r>
                    <w:rPr>
                      <w:rFonts w:hint="default" w:ascii="Times New Roman" w:hAnsi="Times New Roman" w:cs="Times New Roman"/>
                      <w:bCs/>
                      <w:color w:val="auto"/>
                      <w:sz w:val="21"/>
                      <w:szCs w:val="21"/>
                      <w:highlight w:val="none"/>
                    </w:rPr>
                    <w:t>乐昌市属于环境空气质量达标区</w:t>
                  </w:r>
                  <w:r>
                    <w:rPr>
                      <w:rFonts w:hint="default" w:ascii="Times New Roman" w:hAnsi="Times New Roman" w:cs="Times New Roman"/>
                      <w:color w:val="auto"/>
                      <w:kern w:val="0"/>
                      <w:sz w:val="21"/>
                      <w:szCs w:val="21"/>
                      <w:highlight w:val="none"/>
                    </w:rPr>
                    <w:t>。本项目排放的大气污染物</w:t>
                  </w:r>
                  <w:r>
                    <w:rPr>
                      <w:rFonts w:hint="default" w:ascii="Times New Roman" w:hAnsi="Times New Roman" w:cs="Times New Roman"/>
                      <w:color w:val="auto"/>
                      <w:kern w:val="0"/>
                      <w:sz w:val="21"/>
                      <w:szCs w:val="21"/>
                      <w:highlight w:val="none"/>
                      <w:lang w:val="en-US" w:eastAsia="zh-CN"/>
                    </w:rPr>
                    <w:t>为颗粒物、二氧化硫、氮氧化物</w:t>
                  </w:r>
                  <w:r>
                    <w:rPr>
                      <w:rFonts w:hint="eastAsia" w:cs="Times New Roman"/>
                      <w:color w:val="auto"/>
                      <w:kern w:val="0"/>
                      <w:sz w:val="21"/>
                      <w:szCs w:val="21"/>
                      <w:highlight w:val="none"/>
                      <w:lang w:val="en-US" w:eastAsia="zh-CN"/>
                    </w:rPr>
                    <w:t>、非甲烷总烃、苯系物、油烟、臭气浓度等</w:t>
                  </w:r>
                  <w:r>
                    <w:rPr>
                      <w:rFonts w:hint="default" w:ascii="Times New Roman" w:hAnsi="Times New Roman" w:cs="Times New Roman"/>
                      <w:color w:val="auto"/>
                      <w:kern w:val="0"/>
                      <w:sz w:val="21"/>
                      <w:szCs w:val="21"/>
                      <w:highlight w:val="none"/>
                    </w:rPr>
                    <w:t>，</w:t>
                  </w:r>
                  <w:r>
                    <w:rPr>
                      <w:rFonts w:hint="default" w:ascii="Times New Roman" w:hAnsi="Times New Roman" w:cs="Times New Roman"/>
                      <w:color w:val="auto"/>
                      <w:kern w:val="0"/>
                      <w:sz w:val="21"/>
                      <w:szCs w:val="21"/>
                      <w:highlight w:val="none"/>
                      <w:lang w:val="en-US" w:eastAsia="zh-CN"/>
                    </w:rPr>
                    <w:t>项目废气排放量较少</w:t>
                  </w:r>
                  <w:r>
                    <w:rPr>
                      <w:rFonts w:hint="default" w:ascii="Times New Roman" w:hAnsi="Times New Roman" w:cs="Times New Roman"/>
                      <w:color w:val="auto"/>
                      <w:kern w:val="0"/>
                      <w:sz w:val="21"/>
                      <w:szCs w:val="21"/>
                      <w:highlight w:val="none"/>
                    </w:rPr>
                    <w:t>，对周围大气环境影响不大。项目外排生产</w:t>
                  </w:r>
                  <w:r>
                    <w:rPr>
                      <w:rFonts w:hint="default" w:ascii="Times New Roman" w:hAnsi="Times New Roman" w:cs="Times New Roman"/>
                      <w:color w:val="auto"/>
                      <w:sz w:val="21"/>
                      <w:szCs w:val="21"/>
                      <w:highlight w:val="none"/>
                      <w:lang w:val="en-US" w:eastAsia="zh-CN"/>
                    </w:rPr>
                    <w:t>废水、</w:t>
                  </w:r>
                  <w:r>
                    <w:rPr>
                      <w:rFonts w:hint="default" w:ascii="Times New Roman" w:hAnsi="Times New Roman" w:cs="Times New Roman"/>
                      <w:color w:val="auto"/>
                      <w:sz w:val="21"/>
                      <w:szCs w:val="21"/>
                      <w:highlight w:val="none"/>
                    </w:rPr>
                    <w:t>生活污水</w:t>
                  </w:r>
                  <w:r>
                    <w:rPr>
                      <w:rFonts w:hint="default" w:ascii="Times New Roman" w:hAnsi="Times New Roman" w:cs="Times New Roman"/>
                      <w:color w:val="auto"/>
                      <w:sz w:val="21"/>
                      <w:szCs w:val="21"/>
                      <w:highlight w:val="none"/>
                      <w:lang w:val="en-US" w:eastAsia="zh-CN"/>
                    </w:rPr>
                    <w:t>经处理达标后排入园区污水处理厂处理</w:t>
                  </w:r>
                  <w:r>
                    <w:rPr>
                      <w:rFonts w:hint="default" w:ascii="Times New Roman" w:hAnsi="Times New Roman" w:cs="Times New Roman"/>
                      <w:color w:val="auto"/>
                      <w:sz w:val="21"/>
                      <w:szCs w:val="21"/>
                      <w:highlight w:val="none"/>
                    </w:rPr>
                    <w:t>。</w:t>
                  </w:r>
                </w:p>
              </w:tc>
              <w:tc>
                <w:tcPr>
                  <w:tcW w:w="377" w:type="pct"/>
                  <w:noWrap w:val="0"/>
                  <w:vAlign w:val="center"/>
                </w:tcPr>
                <w:p w14:paraId="22408099">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4B7B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37" w:type="pct"/>
                  <w:noWrap w:val="0"/>
                  <w:vAlign w:val="center"/>
                </w:tcPr>
                <w:p w14:paraId="6C39F21B">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资源利用上线</w:t>
                  </w:r>
                </w:p>
              </w:tc>
              <w:tc>
                <w:tcPr>
                  <w:tcW w:w="2673" w:type="pct"/>
                  <w:noWrap w:val="0"/>
                  <w:vAlign w:val="center"/>
                </w:tcPr>
                <w:p w14:paraId="732A8A76">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强化节约集约利用，持续提升资源能源利用效率，水资源、土地资源、岸线资源、能源消耗等达到或优于国家、省下达的总量和强度控制目标。水资源利用效率持续提高。到2025年，全市用水总量控制在19.71亿立方米以内，万元地区生产总值用水量较2020年降幅不低于24%，万元工业增加值用水量较2020年降幅不低于20%。</w:t>
                  </w:r>
                </w:p>
                <w:p w14:paraId="250C1748">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土地资源集约化利用水平不断提升。耕地保有量、永久基本农田保护面积、建设用地总规模、城乡建设用地规模等严格落实国家和省下达的总量和强度控制指标。</w:t>
                  </w:r>
                </w:p>
                <w:p w14:paraId="044D4580">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岸线资源得到有效保护。自然岸线保有率达到省级考核要求。</w:t>
                  </w:r>
                </w:p>
                <w:p w14:paraId="1F46E6E2">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val="en-US" w:eastAsia="zh-CN"/>
                    </w:rPr>
                    <w:t>能源利用效率持续提升，能源结构不断优化。到2025年，全市单位地区生产总值能源消耗比2020年下降15.5%。碳排放控制步伐加快推进，与全省同步达峰。</w:t>
                  </w:r>
                </w:p>
              </w:tc>
              <w:tc>
                <w:tcPr>
                  <w:tcW w:w="1611" w:type="pct"/>
                  <w:noWrap w:val="0"/>
                  <w:vAlign w:val="center"/>
                </w:tcPr>
                <w:p w14:paraId="36FC6EB6">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both"/>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本项目营运过程中消耗一定量的电能</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天然气</w:t>
                  </w:r>
                  <w:r>
                    <w:rPr>
                      <w:rFonts w:hint="default" w:ascii="Times New Roman" w:hAnsi="Times New Roman" w:cs="Times New Roman"/>
                      <w:color w:val="auto"/>
                      <w:kern w:val="0"/>
                      <w:sz w:val="21"/>
                      <w:szCs w:val="21"/>
                      <w:highlight w:val="none"/>
                    </w:rPr>
                    <w:t>、水资源，项目资源消耗量相对区域</w:t>
                  </w:r>
                  <w:r>
                    <w:rPr>
                      <w:rFonts w:hint="eastAsia" w:ascii="Times New Roman" w:hAnsi="Times New Roman" w:cs="Times New Roman"/>
                      <w:color w:val="auto"/>
                      <w:kern w:val="0"/>
                      <w:sz w:val="21"/>
                      <w:szCs w:val="21"/>
                      <w:highlight w:val="none"/>
                      <w:lang w:eastAsia="zh-CN"/>
                    </w:rPr>
                    <w:t>资源</w:t>
                  </w:r>
                  <w:r>
                    <w:rPr>
                      <w:rFonts w:hint="default" w:ascii="Times New Roman" w:hAnsi="Times New Roman" w:cs="Times New Roman"/>
                      <w:color w:val="auto"/>
                      <w:kern w:val="0"/>
                      <w:sz w:val="21"/>
                      <w:szCs w:val="21"/>
                      <w:highlight w:val="none"/>
                    </w:rPr>
                    <w:t>利用总量较少，符合资源利用上限的要求。</w:t>
                  </w:r>
                </w:p>
              </w:tc>
              <w:tc>
                <w:tcPr>
                  <w:tcW w:w="377" w:type="pct"/>
                  <w:noWrap w:val="0"/>
                  <w:vAlign w:val="center"/>
                </w:tcPr>
                <w:p w14:paraId="4305ED57">
                  <w:pPr>
                    <w:keepNext w:val="0"/>
                    <w:keepLines w:val="0"/>
                    <w:pageBreakBefore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bl>
          <w:p w14:paraId="146722E7">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auto"/>
                <w:highlight w:val="none"/>
              </w:rPr>
            </w:pPr>
          </w:p>
          <w:p w14:paraId="196B03A1">
            <w:pPr>
              <w:spacing w:line="360" w:lineRule="auto"/>
              <w:ind w:firstLine="480" w:firstLineChars="200"/>
              <w:rPr>
                <w:rFonts w:hint="default" w:eastAsia="宋体"/>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rPr>
              <w:t>本项目与</w:t>
            </w:r>
            <w:r>
              <w:rPr>
                <w:rFonts w:hint="eastAsia" w:ascii="Times New Roman" w:hAnsi="Times New Roman" w:cs="Times New Roman"/>
                <w:b w:val="0"/>
                <w:bCs w:val="0"/>
                <w:color w:val="auto"/>
                <w:sz w:val="24"/>
                <w:szCs w:val="24"/>
                <w:highlight w:val="none"/>
                <w:lang w:val="en-US" w:eastAsia="zh-CN"/>
              </w:rPr>
              <w:t>韶关市</w:t>
            </w:r>
            <w:r>
              <w:rPr>
                <w:rFonts w:hint="eastAsia" w:cs="Times New Roman"/>
                <w:b w:val="0"/>
                <w:bCs w:val="0"/>
                <w:color w:val="auto"/>
                <w:sz w:val="24"/>
                <w:szCs w:val="24"/>
                <w:highlight w:val="none"/>
                <w:lang w:val="en-US" w:eastAsia="zh-CN"/>
              </w:rPr>
              <w:t>生态环境分区管控方案</w:t>
            </w:r>
            <w:r>
              <w:rPr>
                <w:rFonts w:hint="eastAsia" w:ascii="Times New Roman" w:hAnsi="Times New Roman" w:cs="Times New Roman"/>
                <w:b w:val="0"/>
                <w:bCs w:val="0"/>
                <w:color w:val="auto"/>
                <w:sz w:val="24"/>
                <w:szCs w:val="24"/>
                <w:highlight w:val="none"/>
                <w:lang w:val="en-US" w:eastAsia="zh-CN"/>
              </w:rPr>
              <w:t>全市管控要求如下表所示：</w:t>
            </w:r>
          </w:p>
          <w:p w14:paraId="61FEE978">
            <w:pPr>
              <w:pStyle w:val="155"/>
              <w:keepNext w:val="0"/>
              <w:keepLines w:val="0"/>
              <w:suppressLineNumbers w:val="0"/>
              <w:bidi w:val="0"/>
              <w:spacing w:before="0" w:beforeAutospacing="0" w:after="0" w:afterAutospacing="0" w:line="240" w:lineRule="auto"/>
              <w:ind w:left="0" w:leftChars="0" w:right="0" w:firstLine="0" w:firstLineChars="0"/>
              <w:rPr>
                <w:rFonts w:hint="eastAsia"/>
                <w:color w:val="auto"/>
                <w:sz w:val="21"/>
                <w:szCs w:val="21"/>
                <w:highlight w:val="none"/>
              </w:rPr>
            </w:pPr>
            <w:r>
              <w:rPr>
                <w:rFonts w:hint="eastAsia"/>
                <w:color w:val="auto"/>
                <w:sz w:val="21"/>
                <w:szCs w:val="21"/>
                <w:highlight w:val="none"/>
                <w:lang w:val="en-US" w:eastAsia="zh-CN"/>
              </w:rPr>
              <w:t>与韶关市生态环境分区管控方案相符性分析</w:t>
            </w:r>
          </w:p>
          <w:tbl>
            <w:tblPr>
              <w:tblStyle w:val="4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427"/>
              <w:gridCol w:w="3439"/>
              <w:gridCol w:w="1944"/>
              <w:gridCol w:w="428"/>
            </w:tblGrid>
            <w:tr w14:paraId="425A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639" w:type="pct"/>
                  <w:gridSpan w:val="2"/>
                  <w:tcBorders>
                    <w:tl2br w:val="nil"/>
                    <w:tr2bl w:val="nil"/>
                  </w:tcBorders>
                  <w:noWrap w:val="0"/>
                  <w:vAlign w:val="center"/>
                </w:tcPr>
                <w:p w14:paraId="588019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内容</w:t>
                  </w:r>
                </w:p>
              </w:tc>
              <w:tc>
                <w:tcPr>
                  <w:tcW w:w="2978" w:type="pct"/>
                  <w:tcBorders>
                    <w:tl2br w:val="nil"/>
                    <w:tr2bl w:val="nil"/>
                  </w:tcBorders>
                  <w:noWrap w:val="0"/>
                  <w:vAlign w:val="center"/>
                </w:tcPr>
                <w:p w14:paraId="03C30D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要求</w:t>
                  </w:r>
                </w:p>
              </w:tc>
              <w:tc>
                <w:tcPr>
                  <w:tcW w:w="999" w:type="pct"/>
                  <w:tcBorders>
                    <w:tl2br w:val="nil"/>
                    <w:tr2bl w:val="nil"/>
                  </w:tcBorders>
                  <w:noWrap w:val="0"/>
                  <w:vAlign w:val="center"/>
                </w:tcPr>
                <w:p w14:paraId="024A59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相符性分析</w:t>
                  </w:r>
                </w:p>
              </w:tc>
              <w:tc>
                <w:tcPr>
                  <w:tcW w:w="382" w:type="pct"/>
                  <w:tcBorders>
                    <w:tl2br w:val="nil"/>
                    <w:tr2bl w:val="nil"/>
                  </w:tcBorders>
                  <w:noWrap w:val="0"/>
                  <w:vAlign w:val="center"/>
                </w:tcPr>
                <w:p w14:paraId="798B1A6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结论</w:t>
                  </w:r>
                </w:p>
              </w:tc>
            </w:tr>
            <w:tr w14:paraId="6642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9" w:type="pct"/>
                  <w:vMerge w:val="restart"/>
                  <w:tcBorders>
                    <w:tl2br w:val="nil"/>
                    <w:tr2bl w:val="nil"/>
                  </w:tcBorders>
                  <w:noWrap w:val="0"/>
                  <w:vAlign w:val="center"/>
                </w:tcPr>
                <w:p w14:paraId="4A4801F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全市总体管控</w:t>
                  </w:r>
                </w:p>
              </w:tc>
              <w:tc>
                <w:tcPr>
                  <w:tcW w:w="320" w:type="pct"/>
                  <w:tcBorders>
                    <w:tl2br w:val="nil"/>
                    <w:tr2bl w:val="nil"/>
                  </w:tcBorders>
                  <w:noWrap w:val="0"/>
                  <w:vAlign w:val="center"/>
                </w:tcPr>
                <w:p w14:paraId="50BE07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kern w:val="0"/>
                      <w:sz w:val="21"/>
                      <w:szCs w:val="21"/>
                      <w:highlight w:val="none"/>
                      <w:lang w:bidi="ar"/>
                    </w:rPr>
                    <w:t>区域布局管控</w:t>
                  </w:r>
                </w:p>
              </w:tc>
              <w:tc>
                <w:tcPr>
                  <w:tcW w:w="2978" w:type="pct"/>
                  <w:tcBorders>
                    <w:tl2br w:val="nil"/>
                    <w:tr2bl w:val="nil"/>
                  </w:tcBorders>
                  <w:noWrap w:val="0"/>
                  <w:vAlign w:val="center"/>
                </w:tcPr>
                <w:p w14:paraId="301344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严格控制涉重金属和高污染高能耗项目建设。新建、扩建石化、化工、焦化、有色金属冶炼、平板玻璃项目应布设在依法合规设立并经规划环评的产业园区。严格控制水污染严重地区和水源保护敏感区域高耗水、高污染行业发展。新丰县东南部（丰城街道、梅坑镇、黄礤镇、马头镇）严控水污染项目建设，新建、改建、扩建涉水建设项目实行主要污染物和特征污染物排放减量替代。环境空气质量一类功能区实施严格保护，禁止新建、扩建排放大气污染物的工业项目（国家和省规定不纳入环评管理的项目除外）。逐步扩大高污染燃料禁燃区范围。</w:t>
                  </w:r>
                </w:p>
              </w:tc>
              <w:tc>
                <w:tcPr>
                  <w:tcW w:w="999" w:type="pct"/>
                  <w:tcBorders>
                    <w:tl2br w:val="nil"/>
                    <w:tr2bl w:val="nil"/>
                  </w:tcBorders>
                  <w:noWrap w:val="0"/>
                  <w:vAlign w:val="center"/>
                </w:tcPr>
                <w:p w14:paraId="3CC97F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主要从事金属表面处理及热处理加工行业，不涉重金属，不属于高污染高耗能行业，项目位于乐昌产业转移工业园，园区已开展规划环境评价，项目符合园区准入条件。项目所在地属于环境功能二类区、水环境质量达标区。</w:t>
                  </w:r>
                </w:p>
              </w:tc>
              <w:tc>
                <w:tcPr>
                  <w:tcW w:w="382" w:type="pct"/>
                  <w:tcBorders>
                    <w:tl2br w:val="nil"/>
                    <w:tr2bl w:val="nil"/>
                  </w:tcBorders>
                  <w:noWrap w:val="0"/>
                  <w:vAlign w:val="center"/>
                </w:tcPr>
                <w:p w14:paraId="02F0AA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7778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9" w:type="pct"/>
                  <w:vMerge w:val="continue"/>
                  <w:tcBorders>
                    <w:tl2br w:val="nil"/>
                    <w:tr2bl w:val="nil"/>
                  </w:tcBorders>
                  <w:noWrap w:val="0"/>
                  <w:vAlign w:val="center"/>
                </w:tcPr>
                <w:p w14:paraId="4B27B6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p>
              </w:tc>
              <w:tc>
                <w:tcPr>
                  <w:tcW w:w="320" w:type="pct"/>
                  <w:tcBorders>
                    <w:tl2br w:val="nil"/>
                    <w:tr2bl w:val="nil"/>
                  </w:tcBorders>
                  <w:noWrap w:val="0"/>
                  <w:vAlign w:val="center"/>
                </w:tcPr>
                <w:p w14:paraId="180505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能源资源利用</w:t>
                  </w:r>
                </w:p>
              </w:tc>
              <w:tc>
                <w:tcPr>
                  <w:tcW w:w="2978" w:type="pct"/>
                  <w:tcBorders>
                    <w:tl2br w:val="nil"/>
                    <w:tr2bl w:val="nil"/>
                  </w:tcBorders>
                  <w:noWrap w:val="0"/>
                  <w:vAlign w:val="center"/>
                </w:tcPr>
                <w:p w14:paraId="1EC3EC8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积极落实国家、省制定的碳达峰碳中和目标任务，制定并落实碳达峰与碳减排工作计划、行动方案，综合运用相关政策工具和手段措施，持续推动实施。进一步优化调整能源结构，发展以光伏全产业链为龙头的风光氢等多元化可再生清洁能源产业，提高可再生能源发电装机占比，推动电力源网荷储一体化和多能互补。实行能源消费强度与消费总量“双控”制度。抓好电力、建材、冶炼等重点耗能行业的节能降耗工作，推动单位GDP能源消耗、单位GDP二氧化碳排放持续下降。鼓励使用天然气及可再生能源，县级及以上城市建成区，禁止新建每小时35蒸吨以下燃煤锅炉。原则上不再新建小水电以及除国家和省规划外的风电项目，对不符合生态环境要求的小水电进行清理整改。严格落实东江、北江流域等重要控制断面生态流量保障目标。加强城市节水，提高水资源的利用效率和效益。严格矿产资源开发准入管理，从严控制矿产资源开发总量和综合利用标准。加强矿产资源规划管理，提高矿产资源开发利用效率，推动矿产资源开发合理布局和节约集约利用。推进大宝山、凡口矿等矿山企业转型升级，打造国家级绿色矿山。全市矿山企业在2025年前全部达到绿色矿山标准。</w:t>
                  </w:r>
                </w:p>
              </w:tc>
              <w:tc>
                <w:tcPr>
                  <w:tcW w:w="999" w:type="pct"/>
                  <w:tcBorders>
                    <w:tl2br w:val="nil"/>
                    <w:tr2bl w:val="nil"/>
                  </w:tcBorders>
                  <w:noWrap w:val="0"/>
                  <w:vAlign w:val="center"/>
                </w:tcPr>
                <w:p w14:paraId="210D8F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w:t>
                  </w:r>
                  <w:r>
                    <w:rPr>
                      <w:rFonts w:hint="default" w:ascii="Times New Roman" w:hAnsi="Times New Roman" w:cs="Times New Roman"/>
                      <w:color w:val="auto"/>
                      <w:sz w:val="21"/>
                      <w:szCs w:val="21"/>
                      <w:highlight w:val="none"/>
                      <w:lang w:eastAsia="zh-CN"/>
                    </w:rPr>
                    <w:t>属于</w:t>
                  </w:r>
                  <w:r>
                    <w:rPr>
                      <w:rFonts w:hint="default" w:ascii="Times New Roman" w:hAnsi="Times New Roman" w:cs="Times New Roman"/>
                      <w:color w:val="auto"/>
                      <w:sz w:val="21"/>
                      <w:szCs w:val="21"/>
                      <w:highlight w:val="none"/>
                    </w:rPr>
                    <w:t>金属表面处理及热处理加工行业，不属于电力、建材、冶炼等重点耗能行业，不涉及水电、风电、矿产资源开发。项目</w:t>
                  </w:r>
                  <w:r>
                    <w:rPr>
                      <w:rFonts w:hint="eastAsia" w:cs="Times New Roman"/>
                      <w:color w:val="auto"/>
                      <w:sz w:val="21"/>
                      <w:szCs w:val="21"/>
                      <w:highlight w:val="none"/>
                      <w:lang w:val="en-US" w:eastAsia="zh-CN"/>
                    </w:rPr>
                    <w:t>烘干炉、固化炉</w:t>
                  </w:r>
                  <w:r>
                    <w:rPr>
                      <w:rFonts w:hint="default" w:ascii="Times New Roman" w:hAnsi="Times New Roman" w:cs="Times New Roman"/>
                      <w:color w:val="auto"/>
                      <w:sz w:val="21"/>
                      <w:szCs w:val="21"/>
                      <w:highlight w:val="none"/>
                    </w:rPr>
                    <w:t>能源使用天然气，天然气属于清洁能源。</w:t>
                  </w:r>
                </w:p>
              </w:tc>
              <w:tc>
                <w:tcPr>
                  <w:tcW w:w="382" w:type="pct"/>
                  <w:tcBorders>
                    <w:tl2br w:val="nil"/>
                    <w:tr2bl w:val="nil"/>
                  </w:tcBorders>
                  <w:noWrap w:val="0"/>
                  <w:vAlign w:val="center"/>
                </w:tcPr>
                <w:p w14:paraId="12AA96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79D5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9" w:type="pct"/>
                  <w:vMerge w:val="continue"/>
                  <w:tcBorders>
                    <w:tl2br w:val="nil"/>
                    <w:tr2bl w:val="nil"/>
                  </w:tcBorders>
                  <w:noWrap w:val="0"/>
                  <w:vAlign w:val="center"/>
                </w:tcPr>
                <w:p w14:paraId="7C7C9C6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p>
              </w:tc>
              <w:tc>
                <w:tcPr>
                  <w:tcW w:w="320" w:type="pct"/>
                  <w:tcBorders>
                    <w:tl2br w:val="nil"/>
                    <w:tr2bl w:val="nil"/>
                  </w:tcBorders>
                  <w:noWrap w:val="0"/>
                  <w:vAlign w:val="center"/>
                </w:tcPr>
                <w:p w14:paraId="61B351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污染物排放管控</w:t>
                  </w:r>
                </w:p>
              </w:tc>
              <w:tc>
                <w:tcPr>
                  <w:tcW w:w="2978" w:type="pct"/>
                  <w:tcBorders>
                    <w:tl2br w:val="nil"/>
                    <w:tr2bl w:val="nil"/>
                  </w:tcBorders>
                  <w:noWrap w:val="0"/>
                  <w:vAlign w:val="center"/>
                </w:tcPr>
                <w:p w14:paraId="26A390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深入实施重点污染物总量控制。“十四五”期间重点污染物排放总量在现有基础上持续减少。优化总量分配和调控机制，重点污染物排放总量指标优先向重点建设项目、重点工业园区、战略性产业集群倾斜。新建“两高”项目应配套区域主要污染物削减方案，采取有效的主要污染物区域削减措施，腾出足够的环境容量。新建项目原则上实施氮氧化物（NOx）和挥发性有机物（VOCs）等量替代，推动钢铁行业执行大气污染物超低排放标准。新建、改建、扩建造纸、焦化、有色金属、印染、农副食品加工、原料药制造、制革、农药、电镀等行业建设项目实行主要水体污染物排放等量替代。实施低挥发性有机物（VOCs）含量产品源头替代工程。全面加强无组织排放控制，深入实施精细化治理。推进溶剂使用及挥发性有机液体储运销环节的减排，全过程实施反应活性物质、有毒有害物质、恶臭物质的协同控制。对VOCs重点企业实施分级和清单化管控，将全面使用低VOCs含量原辅材料的企业纳入正面清单和政府绿色采购清单。</w:t>
                  </w:r>
                </w:p>
                <w:p w14:paraId="14825C2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北江流域实行重金属污染物排放总量控制。新建、改建、扩建的项目严格实行重金属等特征污染物排放减量替代。加强“三矿两厂”等日常监督，在重点防控区域内新建、改建、扩建增加重金属污染物排放总量的建设项目应通过实施区域削减，实现增产减污。凡口铅锌矿及其周边区域（仁化县董塘镇）、大宝山矿及其周边区域（曲江区沙溪镇、翁源县铁龙镇）严格执行部分重金属水污染物特别排放限值的相关规定。</w:t>
                  </w:r>
                </w:p>
                <w:p w14:paraId="5F716E9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饮用水水源保护区全面加强水源涵养，强化源头控制，禁止新建排污口，严格防范水源污染风险，切实保障饮用水安全，一级保护区内禁止新建、改建、扩建与供水设施和保护水源无关的建设项目：二级保护区内禁止新建、改建、扩建排放污染物的建设项目。饮用水水源准保护区内禁止新建、扩建对水体污染严重的建设项目。</w:t>
                  </w:r>
                </w:p>
                <w:p w14:paraId="46749E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完善污水处理厂配套管网建设，切实提高运行负荷。强化城中村、老旧城区和城乡结合部污水截流、收集。现有合流制排水系统应加快实施雨污分流改造，加快镇级生活污水处理设施及配套管网建设，因地制宜建设农村生活污水处理设施。加强农业面源污染治理，实施种植业“肥药双控”；严格禁养区管理，加强养殖污染防治，加强畜禽养殖废弃物资源化利用。</w:t>
                  </w:r>
                </w:p>
              </w:tc>
              <w:tc>
                <w:tcPr>
                  <w:tcW w:w="999" w:type="pct"/>
                  <w:tcBorders>
                    <w:tl2br w:val="nil"/>
                    <w:tr2bl w:val="nil"/>
                  </w:tcBorders>
                  <w:noWrap w:val="0"/>
                  <w:vAlign w:val="center"/>
                </w:tcPr>
                <w:p w14:paraId="1678F2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本项目为金属表面处理及热处理加工行业，不属于造纸、焦化、有色金属、印染、农副食品加工、原料药制造、制革、农药、电镀等行业，不属于“两高”项目。氮氧化物</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VOCs实行总量控制。项目所在地不涉及饮用水水源保护区，外排生产</w:t>
                  </w:r>
                  <w:r>
                    <w:rPr>
                      <w:rFonts w:hint="eastAsia" w:cs="Times New Roman"/>
                      <w:color w:val="auto"/>
                      <w:sz w:val="21"/>
                      <w:szCs w:val="21"/>
                      <w:highlight w:val="none"/>
                      <w:lang w:eastAsia="zh-CN"/>
                    </w:rPr>
                    <w:t>废水经自建</w:t>
                  </w:r>
                  <w:r>
                    <w:rPr>
                      <w:rFonts w:hint="default" w:ascii="Times New Roman" w:hAnsi="Times New Roman" w:cs="Times New Roman"/>
                      <w:color w:val="auto"/>
                      <w:sz w:val="21"/>
                      <w:szCs w:val="21"/>
                      <w:highlight w:val="none"/>
                    </w:rPr>
                    <w:t>污水处理站处理后排入园区污水处理厂</w:t>
                  </w:r>
                  <w:r>
                    <w:rPr>
                      <w:rFonts w:hint="eastAsia"/>
                      <w:color w:val="auto"/>
                      <w:sz w:val="21"/>
                      <w:szCs w:val="21"/>
                      <w:highlight w:val="none"/>
                      <w:lang w:val="en-US" w:eastAsia="zh-CN"/>
                    </w:rPr>
                    <w:t>深度处理</w:t>
                  </w:r>
                  <w:r>
                    <w:rPr>
                      <w:rFonts w:hint="default" w:ascii="Times New Roman" w:hAnsi="Times New Roman" w:cs="Times New Roman"/>
                      <w:color w:val="auto"/>
                      <w:sz w:val="21"/>
                      <w:szCs w:val="21"/>
                      <w:highlight w:val="none"/>
                    </w:rPr>
                    <w:t>；生活污水经三级化粪池</w:t>
                  </w:r>
                  <w:r>
                    <w:rPr>
                      <w:rFonts w:hint="default" w:ascii="Times New Roman" w:hAnsi="Times New Roman" w:cs="Times New Roman"/>
                      <w:color w:val="auto"/>
                      <w:sz w:val="21"/>
                      <w:szCs w:val="21"/>
                      <w:highlight w:val="none"/>
                      <w:lang w:val="en-US" w:eastAsia="zh-CN"/>
                    </w:rPr>
                    <w:t>+隔油隔渣池</w:t>
                  </w:r>
                  <w:r>
                    <w:rPr>
                      <w:rFonts w:hint="default" w:ascii="Times New Roman" w:hAnsi="Times New Roman" w:cs="Times New Roman"/>
                      <w:color w:val="auto"/>
                      <w:sz w:val="21"/>
                      <w:szCs w:val="21"/>
                      <w:highlight w:val="none"/>
                    </w:rPr>
                    <w:t>处理后排入园区污水处理厂</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污水处理厂废水</w:t>
                  </w:r>
                  <w:r>
                    <w:rPr>
                      <w:rFonts w:hint="eastAsia"/>
                      <w:color w:val="auto"/>
                      <w:sz w:val="21"/>
                      <w:szCs w:val="21"/>
                      <w:highlight w:val="none"/>
                      <w:lang w:val="en-US" w:eastAsia="zh-CN"/>
                    </w:rPr>
                    <w:t>处理</w:t>
                  </w:r>
                  <w:r>
                    <w:rPr>
                      <w:rFonts w:hint="eastAsia"/>
                      <w:color w:val="auto"/>
                      <w:sz w:val="21"/>
                      <w:szCs w:val="21"/>
                      <w:highlight w:val="none"/>
                    </w:rPr>
                    <w:t>达标后通过出水管道输送</w:t>
                  </w:r>
                  <w:r>
                    <w:rPr>
                      <w:rFonts w:hint="eastAsia"/>
                      <w:color w:val="auto"/>
                      <w:sz w:val="21"/>
                      <w:szCs w:val="21"/>
                      <w:highlight w:val="none"/>
                      <w:lang w:val="en-US" w:eastAsia="zh-CN"/>
                    </w:rPr>
                    <w:t>尾水</w:t>
                  </w:r>
                  <w:r>
                    <w:rPr>
                      <w:rFonts w:hint="eastAsia"/>
                      <w:color w:val="auto"/>
                      <w:sz w:val="21"/>
                      <w:szCs w:val="21"/>
                      <w:highlight w:val="none"/>
                      <w:lang w:eastAsia="zh-CN"/>
                    </w:rPr>
                    <w:t>，</w:t>
                  </w:r>
                  <w:r>
                    <w:rPr>
                      <w:rFonts w:hint="eastAsia"/>
                      <w:color w:val="auto"/>
                      <w:sz w:val="21"/>
                      <w:szCs w:val="21"/>
                      <w:highlight w:val="none"/>
                      <w:lang w:val="en-US" w:eastAsia="zh-CN"/>
                    </w:rPr>
                    <w:t>经</w:t>
                  </w:r>
                  <w:r>
                    <w:rPr>
                      <w:rFonts w:hint="eastAsia"/>
                      <w:color w:val="auto"/>
                      <w:sz w:val="21"/>
                      <w:szCs w:val="21"/>
                      <w:highlight w:val="none"/>
                    </w:rPr>
                    <w:t>废水排放口</w:t>
                  </w:r>
                  <w:r>
                    <w:rPr>
                      <w:rFonts w:hint="eastAsia"/>
                      <w:color w:val="auto"/>
                      <w:sz w:val="21"/>
                      <w:szCs w:val="21"/>
                      <w:highlight w:val="none"/>
                      <w:lang w:eastAsia="zh-CN"/>
                    </w:rPr>
                    <w:t>（</w:t>
                  </w:r>
                  <w:r>
                    <w:rPr>
                      <w:rFonts w:hint="eastAsia"/>
                      <w:color w:val="auto"/>
                      <w:sz w:val="21"/>
                      <w:szCs w:val="21"/>
                      <w:highlight w:val="none"/>
                    </w:rPr>
                    <w:t>WS-LC005001</w:t>
                  </w:r>
                  <w:r>
                    <w:rPr>
                      <w:rFonts w:hint="eastAsia"/>
                      <w:color w:val="auto"/>
                      <w:sz w:val="21"/>
                      <w:szCs w:val="21"/>
                      <w:highlight w:val="none"/>
                      <w:lang w:eastAsia="zh-CN"/>
                    </w:rPr>
                    <w:t>）</w:t>
                  </w:r>
                  <w:r>
                    <w:rPr>
                      <w:rFonts w:hint="eastAsia"/>
                      <w:color w:val="auto"/>
                      <w:sz w:val="21"/>
                      <w:szCs w:val="21"/>
                      <w:highlight w:val="none"/>
                      <w:lang w:val="en-US" w:eastAsia="zh-CN"/>
                    </w:rPr>
                    <w:t>排放至</w:t>
                  </w:r>
                  <w:r>
                    <w:rPr>
                      <w:rFonts w:hint="eastAsia"/>
                      <w:color w:val="auto"/>
                      <w:sz w:val="21"/>
                      <w:szCs w:val="21"/>
                      <w:highlight w:val="none"/>
                    </w:rPr>
                    <w:t>榴村霜降坑河</w:t>
                  </w:r>
                  <w:r>
                    <w:rPr>
                      <w:rFonts w:hint="eastAsia"/>
                      <w:color w:val="auto"/>
                      <w:sz w:val="21"/>
                      <w:szCs w:val="21"/>
                      <w:highlight w:val="none"/>
                      <w:lang w:eastAsia="zh-CN"/>
                    </w:rPr>
                    <w:t>，</w:t>
                  </w:r>
                  <w:r>
                    <w:rPr>
                      <w:rFonts w:hint="eastAsia"/>
                      <w:color w:val="auto"/>
                      <w:sz w:val="21"/>
                      <w:szCs w:val="21"/>
                      <w:highlight w:val="none"/>
                      <w:lang w:val="en-US" w:eastAsia="zh-CN"/>
                    </w:rPr>
                    <w:t>最终</w:t>
                  </w:r>
                  <w:r>
                    <w:rPr>
                      <w:rFonts w:hint="eastAsia"/>
                      <w:color w:val="auto"/>
                      <w:sz w:val="21"/>
                      <w:szCs w:val="21"/>
                      <w:highlight w:val="none"/>
                    </w:rPr>
                    <w:t>流入武江</w:t>
                  </w:r>
                  <w:r>
                    <w:rPr>
                      <w:rFonts w:hint="eastAsia"/>
                      <w:color w:val="auto"/>
                      <w:sz w:val="21"/>
                      <w:szCs w:val="21"/>
                      <w:highlight w:val="none"/>
                      <w:lang w:eastAsia="zh-CN"/>
                    </w:rPr>
                    <w:t>，</w:t>
                  </w:r>
                  <w:r>
                    <w:rPr>
                      <w:rFonts w:hint="default" w:ascii="Times New Roman" w:hAnsi="Times New Roman" w:cs="Times New Roman"/>
                      <w:color w:val="auto"/>
                      <w:sz w:val="21"/>
                      <w:szCs w:val="21"/>
                      <w:highlight w:val="none"/>
                    </w:rPr>
                    <w:t>园区污水处理厂执行《城镇污水处理厂污染物排放标准》</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GB18918-2002</w:t>
                  </w: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中</w:t>
                  </w:r>
                  <w:r>
                    <w:rPr>
                      <w:rFonts w:hint="eastAsia" w:cs="Times New Roman"/>
                      <w:color w:val="auto"/>
                      <w:sz w:val="21"/>
                      <w:szCs w:val="21"/>
                      <w:highlight w:val="none"/>
                      <w:lang w:eastAsia="zh-CN"/>
                    </w:rPr>
                    <w:t>及其修改单一级 A 标准</w:t>
                  </w:r>
                  <w:r>
                    <w:rPr>
                      <w:rFonts w:hint="default" w:ascii="Times New Roman" w:hAnsi="Times New Roman" w:cs="Times New Roman"/>
                      <w:color w:val="auto"/>
                      <w:sz w:val="21"/>
                      <w:szCs w:val="21"/>
                      <w:highlight w:val="none"/>
                    </w:rPr>
                    <w:t>和广东省《水污染物排放限值</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（DB44/26-2001）中的第二时段一级排放标准中严者。</w:t>
                  </w:r>
                </w:p>
              </w:tc>
              <w:tc>
                <w:tcPr>
                  <w:tcW w:w="382" w:type="pct"/>
                  <w:tcBorders>
                    <w:tl2br w:val="nil"/>
                    <w:tr2bl w:val="nil"/>
                  </w:tcBorders>
                  <w:noWrap w:val="0"/>
                  <w:vAlign w:val="center"/>
                </w:tcPr>
                <w:p w14:paraId="767952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0875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19" w:type="pct"/>
                  <w:vMerge w:val="continue"/>
                  <w:tcBorders>
                    <w:tl2br w:val="nil"/>
                    <w:tr2bl w:val="nil"/>
                  </w:tcBorders>
                  <w:noWrap w:val="0"/>
                  <w:vAlign w:val="center"/>
                </w:tcPr>
                <w:p w14:paraId="569C32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p>
              </w:tc>
              <w:tc>
                <w:tcPr>
                  <w:tcW w:w="320" w:type="pct"/>
                  <w:tcBorders>
                    <w:tl2br w:val="nil"/>
                    <w:tr2bl w:val="nil"/>
                  </w:tcBorders>
                  <w:noWrap w:val="0"/>
                  <w:vAlign w:val="center"/>
                </w:tcPr>
                <w:p w14:paraId="7BBDD93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环境风险管控</w:t>
                  </w:r>
                </w:p>
              </w:tc>
              <w:tc>
                <w:tcPr>
                  <w:tcW w:w="2978" w:type="pct"/>
                  <w:tcBorders>
                    <w:tl2br w:val="nil"/>
                    <w:tr2bl w:val="nil"/>
                  </w:tcBorders>
                  <w:noWrap w:val="0"/>
                  <w:vAlign w:val="center"/>
                </w:tcPr>
                <w:p w14:paraId="2E9496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加强北江、东江干流沿岸以及饮用水水源地环境风险防控。严格控制沿岸石油加工、化学原料和化学制品制造、有色金属冶炼、纺织印染等项目环境风险。强化地表水、地下水和土壤污染风险协同防控，建立完善突发环境事件应急管理体系，全面排查“千吨万人”饮用水水源地周边环境问题并及时开展专项整治，保障饮用水水源地安全。重点加强环境风险分级分类管控，建立全市环境风险源在线监控预警系统，强化化工企业、涉重金属行业、工业园区和尾矿库等重点环境风险源的环境风险防控。构建企业、园区和区域三级环境风险防控联动体系，增强园区风险防控能力。园区管理机构应定期开展环境风险评估，编制完善综合环境应急预案并备案，整合应急资源，储备环境应急物资及装备，定期组织开展应急演练，全面提升园区突发环境事件应急处理能力。持续推进土壤环境风险管控工作。实行农用地分类分级安全利用，有效提升农用地土地资源开发利用率，依法划定特定农作物禁止种植区域，严格按照耕地土壤环境质量类别划分成果对耕地实施安全利用，防范农产品重金属含量超标风险。加强建设用地准入管理，规范受污染建设用地地块再开发。加强尾矿库的环境风险排查与防范。加强金属矿采选、金属冶炼企业的重金属污染风险防控。强化选矿废水治理设施的升级改造，选矿废水原则上回用不外排。全力避免因各类安全事故（事件）引发的次生环境风险事故（事件）。</w:t>
                  </w:r>
                </w:p>
              </w:tc>
              <w:tc>
                <w:tcPr>
                  <w:tcW w:w="999" w:type="pct"/>
                  <w:tcBorders>
                    <w:tl2br w:val="nil"/>
                    <w:tr2bl w:val="nil"/>
                  </w:tcBorders>
                  <w:noWrap w:val="0"/>
                  <w:vAlign w:val="center"/>
                </w:tcPr>
                <w:p w14:paraId="06509B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涉及石油加工、化学原料和化学制品制造、有色金属冶炼、纺织印染行业，不涉及饮用水水源地，本项目制定有效的事故风险防范和应急措施，为防范污染事故发生，并避免发生事故对周围环境造成污染，确保环境安全。项目符合环境风险防控要求。</w:t>
                  </w:r>
                </w:p>
              </w:tc>
              <w:tc>
                <w:tcPr>
                  <w:tcW w:w="382" w:type="pct"/>
                  <w:tcBorders>
                    <w:tl2br w:val="nil"/>
                    <w:tr2bl w:val="nil"/>
                  </w:tcBorders>
                  <w:noWrap w:val="0"/>
                  <w:vAlign w:val="center"/>
                </w:tcPr>
                <w:p w14:paraId="739830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269E8D61">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auto"/>
                <w:highlight w:val="none"/>
              </w:rPr>
            </w:pPr>
          </w:p>
          <w:p w14:paraId="3079D600">
            <w:pPr>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r>
              <w:rPr>
                <w:rFonts w:hint="eastAsia" w:ascii="Times New Roman" w:hAnsi="Times New Roman" w:eastAsia="宋体" w:cs="Times New Roman"/>
                <w:b w:val="0"/>
                <w:bCs w:val="0"/>
                <w:color w:val="auto"/>
                <w:kern w:val="0"/>
                <w:sz w:val="24"/>
                <w:highlight w:val="none"/>
                <w:lang w:val="en-US" w:eastAsia="zh-CN"/>
              </w:rPr>
              <w:t>本项目位于韶关市乐昌市</w:t>
            </w:r>
            <w:r>
              <w:rPr>
                <w:rFonts w:hint="eastAsia" w:cs="Times New Roman"/>
                <w:b w:val="0"/>
                <w:bCs w:val="0"/>
                <w:color w:val="auto"/>
                <w:kern w:val="0"/>
                <w:sz w:val="24"/>
                <w:highlight w:val="none"/>
                <w:lang w:val="en-US" w:eastAsia="zh-CN"/>
              </w:rPr>
              <w:t>乐昌产业转移工业园GL-02-02-01地块</w:t>
            </w:r>
            <w:r>
              <w:rPr>
                <w:rFonts w:hint="eastAsia" w:ascii="Times New Roman" w:hAnsi="Times New Roman" w:eastAsia="宋体" w:cs="Times New Roman"/>
                <w:b w:val="0"/>
                <w:bCs w:val="0"/>
                <w:color w:val="auto"/>
                <w:kern w:val="0"/>
                <w:sz w:val="24"/>
                <w:highlight w:val="none"/>
                <w:lang w:val="en-US" w:eastAsia="zh-CN"/>
              </w:rPr>
              <w:t>，根据广东省</w:t>
            </w:r>
            <w:r>
              <w:rPr>
                <w:rFonts w:hint="default" w:ascii="Times New Roman" w:hAnsi="Times New Roman" w:eastAsia="宋体" w:cs="Times New Roman"/>
                <w:b w:val="0"/>
                <w:bCs w:val="0"/>
                <w:color w:val="auto"/>
                <w:kern w:val="0"/>
                <w:sz w:val="24"/>
                <w:highlight w:val="none"/>
                <w:lang w:val="en-US" w:eastAsia="zh-CN"/>
              </w:rPr>
              <w:t>“</w:t>
            </w:r>
            <w:r>
              <w:rPr>
                <w:rFonts w:hint="eastAsia" w:ascii="Times New Roman" w:hAnsi="Times New Roman" w:eastAsia="宋体" w:cs="Times New Roman"/>
                <w:b w:val="0"/>
                <w:bCs w:val="0"/>
                <w:color w:val="auto"/>
                <w:kern w:val="0"/>
                <w:sz w:val="24"/>
                <w:highlight w:val="none"/>
                <w:lang w:val="en-US" w:eastAsia="zh-CN"/>
              </w:rPr>
              <w:t>三线一单</w:t>
            </w:r>
            <w:r>
              <w:rPr>
                <w:rFonts w:hint="default" w:ascii="Times New Roman" w:hAnsi="Times New Roman" w:eastAsia="宋体" w:cs="Times New Roman"/>
                <w:b w:val="0"/>
                <w:bCs w:val="0"/>
                <w:color w:val="auto"/>
                <w:kern w:val="0"/>
                <w:sz w:val="24"/>
                <w:highlight w:val="none"/>
                <w:lang w:val="en-US" w:eastAsia="zh-CN"/>
              </w:rPr>
              <w:t>”</w:t>
            </w:r>
            <w:r>
              <w:rPr>
                <w:rFonts w:hint="eastAsia" w:ascii="Times New Roman" w:hAnsi="Times New Roman" w:eastAsia="宋体" w:cs="Times New Roman"/>
                <w:b w:val="0"/>
                <w:bCs w:val="0"/>
                <w:color w:val="auto"/>
                <w:kern w:val="0"/>
                <w:sz w:val="24"/>
                <w:highlight w:val="none"/>
                <w:lang w:val="en-US" w:eastAsia="zh-CN"/>
              </w:rPr>
              <w:t>应用平台的查询结果，涉及5个单元，根据单元准入要求分析，总计发现需关注的准入要求16条，其他准入要求22条。其中：</w:t>
            </w:r>
          </w:p>
          <w:p w14:paraId="45D5B892">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（1）本项目</w:t>
            </w:r>
            <w:r>
              <w:rPr>
                <w:rFonts w:hint="eastAsia" w:ascii="Times New Roman" w:hAnsi="Times New Roman" w:eastAsia="宋体" w:cs="Times New Roman"/>
                <w:b w:val="0"/>
                <w:bCs w:val="0"/>
                <w:color w:val="auto"/>
                <w:kern w:val="0"/>
                <w:sz w:val="24"/>
                <w:highlight w:val="none"/>
                <w:lang w:val="en-US" w:eastAsia="zh-CN"/>
              </w:rPr>
              <w:t>陆域环境管控单元为</w:t>
            </w:r>
            <w:r>
              <w:rPr>
                <w:rFonts w:hint="default" w:ascii="Times New Roman" w:hAnsi="Times New Roman" w:eastAsia="宋体" w:cs="Times New Roman"/>
                <w:b w:val="0"/>
                <w:bCs w:val="0"/>
                <w:color w:val="auto"/>
                <w:kern w:val="0"/>
                <w:sz w:val="24"/>
                <w:highlight w:val="none"/>
                <w:lang w:val="en-US" w:eastAsia="zh-CN"/>
              </w:rPr>
              <w:t>ZH44028120003乐昌经济开发区重点管控单元</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见附图</w:t>
            </w:r>
            <w:r>
              <w:rPr>
                <w:rFonts w:hint="eastAsia" w:ascii="Times New Roman" w:hAnsi="Times New Roman" w:eastAsia="宋体" w:cs="Times New Roman"/>
                <w:b w:val="0"/>
                <w:bCs w:val="0"/>
                <w:color w:val="auto"/>
                <w:kern w:val="0"/>
                <w:sz w:val="24"/>
                <w:highlight w:val="none"/>
                <w:lang w:val="en-US" w:eastAsia="zh-CN"/>
              </w:rPr>
              <w:t>14-1</w:t>
            </w:r>
            <w:r>
              <w:rPr>
                <w:rFonts w:hint="default" w:ascii="Times New Roman" w:hAnsi="Times New Roman" w:eastAsia="宋体" w:cs="Times New Roman"/>
                <w:b w:val="0"/>
                <w:bCs w:val="0"/>
                <w:color w:val="auto"/>
                <w:kern w:val="0"/>
                <w:sz w:val="24"/>
                <w:highlight w:val="none"/>
                <w:lang w:val="en-US" w:eastAsia="zh-CN"/>
              </w:rPr>
              <w:t>。</w:t>
            </w:r>
          </w:p>
          <w:p w14:paraId="35AFE4C9">
            <w:pPr>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w:t>
            </w:r>
            <w:r>
              <w:rPr>
                <w:rFonts w:hint="eastAsia" w:ascii="Times New Roman" w:hAnsi="Times New Roman" w:eastAsia="宋体" w:cs="Times New Roman"/>
                <w:b w:val="0"/>
                <w:bCs w:val="0"/>
                <w:color w:val="auto"/>
                <w:kern w:val="0"/>
                <w:sz w:val="24"/>
                <w:highlight w:val="none"/>
                <w:lang w:val="en-US" w:eastAsia="zh-CN"/>
              </w:rPr>
              <w:t>2</w:t>
            </w:r>
            <w:r>
              <w:rPr>
                <w:rFonts w:hint="default" w:ascii="Times New Roman" w:hAnsi="Times New Roman" w:eastAsia="宋体" w:cs="Times New Roman"/>
                <w:b w:val="0"/>
                <w:bCs w:val="0"/>
                <w:color w:val="auto"/>
                <w:kern w:val="0"/>
                <w:sz w:val="24"/>
                <w:highlight w:val="none"/>
                <w:lang w:val="en-US" w:eastAsia="zh-CN"/>
              </w:rPr>
              <w:t>）本项目</w:t>
            </w:r>
            <w:r>
              <w:rPr>
                <w:rFonts w:hint="eastAsia" w:ascii="Times New Roman" w:hAnsi="Times New Roman" w:eastAsia="宋体" w:cs="Times New Roman"/>
                <w:b w:val="0"/>
                <w:bCs w:val="0"/>
                <w:color w:val="auto"/>
                <w:kern w:val="0"/>
                <w:sz w:val="24"/>
                <w:highlight w:val="none"/>
                <w:lang w:val="en-US" w:eastAsia="zh-CN"/>
              </w:rPr>
              <w:t>生态空间分区为YS4402813110001乐昌市生态空间一般管控区，</w:t>
            </w:r>
            <w:r>
              <w:rPr>
                <w:rFonts w:hint="default" w:ascii="Times New Roman" w:hAnsi="Times New Roman" w:eastAsia="宋体" w:cs="Times New Roman"/>
                <w:b w:val="0"/>
                <w:bCs w:val="0"/>
                <w:color w:val="auto"/>
                <w:kern w:val="0"/>
                <w:sz w:val="24"/>
                <w:highlight w:val="none"/>
                <w:lang w:val="en-US" w:eastAsia="zh-CN"/>
              </w:rPr>
              <w:t>见附图</w:t>
            </w:r>
            <w:r>
              <w:rPr>
                <w:rFonts w:hint="eastAsia" w:ascii="Times New Roman" w:hAnsi="Times New Roman" w:eastAsia="宋体" w:cs="Times New Roman"/>
                <w:b w:val="0"/>
                <w:bCs w:val="0"/>
                <w:color w:val="auto"/>
                <w:kern w:val="0"/>
                <w:sz w:val="24"/>
                <w:highlight w:val="none"/>
                <w:lang w:val="en-US" w:eastAsia="zh-CN"/>
              </w:rPr>
              <w:t>14-2。</w:t>
            </w:r>
          </w:p>
          <w:p w14:paraId="302E22D0">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w:t>
            </w:r>
            <w:r>
              <w:rPr>
                <w:rFonts w:hint="eastAsia" w:ascii="Times New Roman" w:hAnsi="Times New Roman" w:eastAsia="宋体" w:cs="Times New Roman"/>
                <w:b w:val="0"/>
                <w:bCs w:val="0"/>
                <w:color w:val="auto"/>
                <w:kern w:val="0"/>
                <w:sz w:val="24"/>
                <w:highlight w:val="none"/>
                <w:lang w:val="en-US" w:eastAsia="zh-CN"/>
              </w:rPr>
              <w:t>3</w:t>
            </w:r>
            <w:r>
              <w:rPr>
                <w:rFonts w:hint="default" w:ascii="Times New Roman" w:hAnsi="Times New Roman" w:eastAsia="宋体" w:cs="Times New Roman"/>
                <w:b w:val="0"/>
                <w:bCs w:val="0"/>
                <w:color w:val="auto"/>
                <w:kern w:val="0"/>
                <w:sz w:val="24"/>
                <w:highlight w:val="none"/>
                <w:lang w:val="en-US" w:eastAsia="zh-CN"/>
              </w:rPr>
              <w:t>）本项目</w:t>
            </w:r>
            <w:r>
              <w:rPr>
                <w:rFonts w:hint="eastAsia" w:ascii="Times New Roman" w:hAnsi="Times New Roman" w:eastAsia="宋体" w:cs="Times New Roman"/>
                <w:b w:val="0"/>
                <w:bCs w:val="0"/>
                <w:color w:val="auto"/>
                <w:kern w:val="0"/>
                <w:sz w:val="24"/>
                <w:highlight w:val="none"/>
                <w:lang w:val="en-US" w:eastAsia="zh-CN"/>
              </w:rPr>
              <w:t>水环境管控分区为YS4402813210013廊田水韶关市长来-廊田-五山镇控制单元，</w:t>
            </w:r>
            <w:r>
              <w:rPr>
                <w:rFonts w:hint="default" w:ascii="Times New Roman" w:hAnsi="Times New Roman" w:eastAsia="宋体" w:cs="Times New Roman"/>
                <w:b w:val="0"/>
                <w:bCs w:val="0"/>
                <w:color w:val="auto"/>
                <w:kern w:val="0"/>
                <w:sz w:val="24"/>
                <w:highlight w:val="none"/>
                <w:lang w:val="en-US" w:eastAsia="zh-CN"/>
              </w:rPr>
              <w:t>见附图</w:t>
            </w:r>
            <w:r>
              <w:rPr>
                <w:rFonts w:hint="eastAsia" w:ascii="Times New Roman" w:hAnsi="Times New Roman" w:eastAsia="宋体" w:cs="Times New Roman"/>
                <w:b w:val="0"/>
                <w:bCs w:val="0"/>
                <w:color w:val="auto"/>
                <w:kern w:val="0"/>
                <w:sz w:val="24"/>
                <w:highlight w:val="none"/>
                <w:lang w:val="en-US" w:eastAsia="zh-CN"/>
              </w:rPr>
              <w:t>14-3</w:t>
            </w:r>
            <w:r>
              <w:rPr>
                <w:rFonts w:hint="default" w:ascii="Times New Roman" w:hAnsi="Times New Roman" w:eastAsia="宋体" w:cs="Times New Roman"/>
                <w:b w:val="0"/>
                <w:bCs w:val="0"/>
                <w:color w:val="auto"/>
                <w:kern w:val="0"/>
                <w:sz w:val="24"/>
                <w:highlight w:val="none"/>
                <w:lang w:val="en-US" w:eastAsia="zh-CN"/>
              </w:rPr>
              <w:t>。</w:t>
            </w:r>
          </w:p>
          <w:p w14:paraId="75268DCC">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w:t>
            </w:r>
            <w:r>
              <w:rPr>
                <w:rFonts w:hint="eastAsia" w:ascii="Times New Roman" w:hAnsi="Times New Roman" w:eastAsia="宋体" w:cs="Times New Roman"/>
                <w:b w:val="0"/>
                <w:bCs w:val="0"/>
                <w:color w:val="auto"/>
                <w:kern w:val="0"/>
                <w:sz w:val="24"/>
                <w:highlight w:val="none"/>
                <w:lang w:val="en-US" w:eastAsia="zh-CN"/>
              </w:rPr>
              <w:t>4</w:t>
            </w:r>
            <w:r>
              <w:rPr>
                <w:rFonts w:hint="default" w:ascii="Times New Roman" w:hAnsi="Times New Roman" w:eastAsia="宋体" w:cs="Times New Roman"/>
                <w:b w:val="0"/>
                <w:bCs w:val="0"/>
                <w:color w:val="auto"/>
                <w:kern w:val="0"/>
                <w:sz w:val="24"/>
                <w:highlight w:val="none"/>
                <w:lang w:val="en-US" w:eastAsia="zh-CN"/>
              </w:rPr>
              <w:t>）本项目</w:t>
            </w:r>
            <w:r>
              <w:rPr>
                <w:rFonts w:hint="eastAsia" w:ascii="Times New Roman" w:hAnsi="Times New Roman" w:eastAsia="宋体" w:cs="Times New Roman"/>
                <w:b w:val="0"/>
                <w:bCs w:val="0"/>
                <w:color w:val="auto"/>
                <w:kern w:val="0"/>
                <w:sz w:val="24"/>
                <w:highlight w:val="none"/>
                <w:lang w:val="en-US" w:eastAsia="zh-CN"/>
              </w:rPr>
              <w:t>大气环境管控分区为YS4402812310002大气环境高排放重点管控区，</w:t>
            </w:r>
            <w:r>
              <w:rPr>
                <w:rFonts w:hint="default" w:ascii="Times New Roman" w:hAnsi="Times New Roman" w:eastAsia="宋体" w:cs="Times New Roman"/>
                <w:b w:val="0"/>
                <w:bCs w:val="0"/>
                <w:color w:val="auto"/>
                <w:kern w:val="0"/>
                <w:sz w:val="24"/>
                <w:highlight w:val="none"/>
                <w:lang w:val="en-US" w:eastAsia="zh-CN"/>
              </w:rPr>
              <w:t>见附图</w:t>
            </w:r>
            <w:r>
              <w:rPr>
                <w:rFonts w:hint="eastAsia" w:ascii="Times New Roman" w:hAnsi="Times New Roman" w:eastAsia="宋体" w:cs="Times New Roman"/>
                <w:b w:val="0"/>
                <w:bCs w:val="0"/>
                <w:color w:val="auto"/>
                <w:kern w:val="0"/>
                <w:sz w:val="24"/>
                <w:highlight w:val="none"/>
                <w:lang w:val="en-US" w:eastAsia="zh-CN"/>
              </w:rPr>
              <w:t>14-4</w:t>
            </w:r>
            <w:r>
              <w:rPr>
                <w:rFonts w:hint="default" w:ascii="Times New Roman" w:hAnsi="Times New Roman" w:eastAsia="宋体" w:cs="Times New Roman"/>
                <w:b w:val="0"/>
                <w:bCs w:val="0"/>
                <w:color w:val="auto"/>
                <w:kern w:val="0"/>
                <w:sz w:val="24"/>
                <w:highlight w:val="none"/>
                <w:lang w:val="en-US" w:eastAsia="zh-CN"/>
              </w:rPr>
              <w:t>。</w:t>
            </w:r>
          </w:p>
          <w:p w14:paraId="3A8D73ED">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w:t>
            </w:r>
            <w:r>
              <w:rPr>
                <w:rFonts w:hint="eastAsia" w:ascii="Times New Roman" w:hAnsi="Times New Roman" w:eastAsia="宋体" w:cs="Times New Roman"/>
                <w:b w:val="0"/>
                <w:bCs w:val="0"/>
                <w:color w:val="auto"/>
                <w:kern w:val="0"/>
                <w:sz w:val="24"/>
                <w:highlight w:val="none"/>
                <w:lang w:val="en-US" w:eastAsia="zh-CN"/>
              </w:rPr>
              <w:t>5</w:t>
            </w:r>
            <w:r>
              <w:rPr>
                <w:rFonts w:hint="default" w:ascii="Times New Roman" w:hAnsi="Times New Roman" w:eastAsia="宋体" w:cs="Times New Roman"/>
                <w:b w:val="0"/>
                <w:bCs w:val="0"/>
                <w:color w:val="auto"/>
                <w:kern w:val="0"/>
                <w:sz w:val="24"/>
                <w:highlight w:val="none"/>
                <w:lang w:val="en-US" w:eastAsia="zh-CN"/>
              </w:rPr>
              <w:t>）本项目</w:t>
            </w:r>
            <w:r>
              <w:rPr>
                <w:rFonts w:hint="eastAsia" w:cs="Times New Roman"/>
                <w:b w:val="0"/>
                <w:bCs w:val="0"/>
                <w:color w:val="auto"/>
                <w:kern w:val="0"/>
                <w:sz w:val="24"/>
                <w:highlight w:val="none"/>
                <w:lang w:val="en-US" w:eastAsia="zh-CN"/>
              </w:rPr>
              <w:t>所在区域</w:t>
            </w:r>
            <w:r>
              <w:rPr>
                <w:rFonts w:hint="eastAsia" w:ascii="Times New Roman" w:hAnsi="Times New Roman" w:eastAsia="宋体" w:cs="Times New Roman"/>
                <w:b w:val="0"/>
                <w:bCs w:val="0"/>
                <w:color w:val="auto"/>
                <w:kern w:val="0"/>
                <w:sz w:val="24"/>
                <w:highlight w:val="none"/>
                <w:lang w:val="en-US" w:eastAsia="zh-CN"/>
              </w:rPr>
              <w:t>为YS4402812540001乐昌市高污染燃料禁燃区，</w:t>
            </w:r>
            <w:r>
              <w:rPr>
                <w:rFonts w:hint="default" w:ascii="Times New Roman" w:hAnsi="Times New Roman" w:eastAsia="宋体" w:cs="Times New Roman"/>
                <w:b w:val="0"/>
                <w:bCs w:val="0"/>
                <w:color w:val="auto"/>
                <w:kern w:val="0"/>
                <w:sz w:val="24"/>
                <w:highlight w:val="none"/>
                <w:lang w:val="en-US" w:eastAsia="zh-CN"/>
              </w:rPr>
              <w:t>见附图</w:t>
            </w:r>
            <w:r>
              <w:rPr>
                <w:rFonts w:hint="eastAsia" w:ascii="Times New Roman" w:hAnsi="Times New Roman" w:eastAsia="宋体" w:cs="Times New Roman"/>
                <w:b w:val="0"/>
                <w:bCs w:val="0"/>
                <w:color w:val="auto"/>
                <w:kern w:val="0"/>
                <w:sz w:val="24"/>
                <w:highlight w:val="none"/>
                <w:lang w:val="en-US" w:eastAsia="zh-CN"/>
              </w:rPr>
              <w:t>14-5</w:t>
            </w:r>
            <w:r>
              <w:rPr>
                <w:rFonts w:hint="default" w:ascii="Times New Roman" w:hAnsi="Times New Roman" w:eastAsia="宋体" w:cs="Times New Roman"/>
                <w:b w:val="0"/>
                <w:bCs w:val="0"/>
                <w:color w:val="auto"/>
                <w:kern w:val="0"/>
                <w:sz w:val="24"/>
                <w:highlight w:val="none"/>
                <w:lang w:val="en-US" w:eastAsia="zh-CN"/>
              </w:rPr>
              <w:t>。</w:t>
            </w:r>
          </w:p>
          <w:p w14:paraId="653B1AEA">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其具体管控要求相符性分析详见下表。</w:t>
            </w:r>
          </w:p>
          <w:p w14:paraId="14550C00">
            <w:pPr>
              <w:pStyle w:val="155"/>
              <w:keepNext w:val="0"/>
              <w:keepLines w:val="0"/>
              <w:suppressLineNumbers w:val="0"/>
              <w:bidi w:val="0"/>
              <w:spacing w:before="0" w:beforeAutospacing="0" w:after="0" w:afterAutospacing="0" w:line="240" w:lineRule="auto"/>
              <w:ind w:left="0" w:leftChars="0" w:right="0" w:firstLine="0" w:firstLineChars="0"/>
              <w:rPr>
                <w:rFonts w:hint="eastAsia"/>
                <w:color w:val="auto"/>
                <w:sz w:val="21"/>
                <w:szCs w:val="21"/>
                <w:highlight w:val="none"/>
              </w:rPr>
            </w:pPr>
            <w:r>
              <w:rPr>
                <w:rFonts w:hint="eastAsia"/>
                <w:color w:val="auto"/>
                <w:sz w:val="21"/>
                <w:szCs w:val="21"/>
                <w:highlight w:val="none"/>
                <w:lang w:val="en-US" w:eastAsia="zh-CN"/>
              </w:rPr>
              <w:t>与</w:t>
            </w:r>
            <w:r>
              <w:rPr>
                <w:rFonts w:hint="eastAsia"/>
                <w:b/>
                <w:bCs/>
                <w:color w:val="auto"/>
                <w:sz w:val="21"/>
                <w:szCs w:val="21"/>
                <w:highlight w:val="none"/>
              </w:rPr>
              <w:t>生态环境准入清单</w:t>
            </w:r>
            <w:r>
              <w:rPr>
                <w:rFonts w:hint="eastAsia"/>
                <w:color w:val="auto"/>
                <w:sz w:val="21"/>
                <w:szCs w:val="21"/>
                <w:highlight w:val="none"/>
                <w:lang w:val="en-US" w:eastAsia="zh-CN"/>
              </w:rPr>
              <w:t>相符性分析</w:t>
            </w:r>
          </w:p>
          <w:tbl>
            <w:tblPr>
              <w:tblStyle w:val="4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708"/>
              <w:gridCol w:w="554"/>
              <w:gridCol w:w="2605"/>
              <w:gridCol w:w="1519"/>
              <w:gridCol w:w="91"/>
              <w:gridCol w:w="24"/>
              <w:gridCol w:w="20"/>
              <w:gridCol w:w="482"/>
            </w:tblGrid>
            <w:tr w14:paraId="3551A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000" w:type="pct"/>
                  <w:gridSpan w:val="9"/>
                  <w:tcBorders>
                    <w:tl2br w:val="nil"/>
                    <w:tr2bl w:val="nil"/>
                  </w:tcBorders>
                  <w:noWrap w:val="0"/>
                  <w:vAlign w:val="center"/>
                </w:tcPr>
                <w:p w14:paraId="60E8D2F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与</w:t>
                  </w:r>
                  <w:r>
                    <w:rPr>
                      <w:rFonts w:hint="default" w:ascii="Times New Roman" w:hAnsi="Times New Roman" w:cs="Times New Roman"/>
                      <w:b/>
                      <w:bCs/>
                      <w:color w:val="auto"/>
                      <w:kern w:val="0"/>
                      <w:sz w:val="21"/>
                      <w:szCs w:val="21"/>
                      <w:highlight w:val="none"/>
                      <w:lang w:val="en-US" w:eastAsia="zh-CN"/>
                    </w:rPr>
                    <w:t>乐昌经济开发区重点管控单元（ZH44028120003）要求相符性分析</w:t>
                  </w:r>
                </w:p>
              </w:tc>
            </w:tr>
            <w:tr w14:paraId="1FFF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87" w:type="pct"/>
                  <w:vMerge w:val="restart"/>
                  <w:tcBorders>
                    <w:tl2br w:val="nil"/>
                    <w:tr2bl w:val="nil"/>
                  </w:tcBorders>
                  <w:noWrap w:val="0"/>
                  <w:vAlign w:val="center"/>
                </w:tcPr>
                <w:p w14:paraId="400A0F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rPr>
                    <w:t>生态环境准入清单</w:t>
                  </w:r>
                </w:p>
              </w:tc>
              <w:tc>
                <w:tcPr>
                  <w:tcW w:w="306" w:type="pct"/>
                  <w:tcBorders>
                    <w:tl2br w:val="nil"/>
                    <w:tr2bl w:val="nil"/>
                  </w:tcBorders>
                  <w:noWrap w:val="0"/>
                  <w:vAlign w:val="center"/>
                </w:tcPr>
                <w:p w14:paraId="075BF1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区域布局管控</w:t>
                  </w:r>
                </w:p>
              </w:tc>
              <w:tc>
                <w:tcPr>
                  <w:tcW w:w="2714" w:type="pct"/>
                  <w:gridSpan w:val="2"/>
                  <w:tcBorders>
                    <w:tl2br w:val="nil"/>
                    <w:tr2bl w:val="nil"/>
                  </w:tcBorders>
                  <w:noWrap w:val="0"/>
                  <w:vAlign w:val="center"/>
                </w:tcPr>
                <w:p w14:paraId="46D9B2A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1-1.【产业/鼓励引导类】重点发展现代轻工产业（消费电子等）、先进装备制造业等产业，优先引进无污染物或轻污染项目。</w:t>
                  </w:r>
                </w:p>
                <w:p w14:paraId="137999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1-2.【产业/禁止类】园区禁止引入专业电镀、化学制浆、鞣革等水污染物排放量大或排放一类污染物、持久性有机污染物的项目。</w:t>
                  </w:r>
                </w:p>
                <w:p w14:paraId="3282AA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1-3.【产业/限制类】严格限制不符合园区发展定位的项目入驻。</w:t>
                  </w:r>
                </w:p>
                <w:p w14:paraId="303A75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1-4.【产业/综合类】居民区、学校等环境敏感点邻近地块优先布局废气排放量小、工业噪声影响小的产业。</w:t>
                  </w:r>
                </w:p>
              </w:tc>
              <w:tc>
                <w:tcPr>
                  <w:tcW w:w="1317" w:type="pct"/>
                  <w:gridSpan w:val="3"/>
                  <w:tcBorders>
                    <w:tl2br w:val="nil"/>
                    <w:tr2bl w:val="nil"/>
                  </w:tcBorders>
                  <w:noWrap w:val="0"/>
                  <w:vAlign w:val="center"/>
                </w:tcPr>
                <w:p w14:paraId="18102F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本项目为金属表面处理及热处理加工行业，不属于专业电镀、化学制浆、鞣革等水污染物排放量大或排放一类污染物、持久性有机污染物的项目；项目符合园区发展定位；</w:t>
                  </w:r>
                  <w:r>
                    <w:rPr>
                      <w:rFonts w:hint="default" w:ascii="Times New Roman" w:hAnsi="Times New Roman" w:cs="Times New Roman"/>
                      <w:color w:val="auto"/>
                      <w:sz w:val="21"/>
                      <w:szCs w:val="21"/>
                      <w:highlight w:val="none"/>
                      <w:lang w:val="en-US" w:eastAsia="zh-CN"/>
                    </w:rPr>
                    <w:t>本项目废气排放量较小，涉及环境敏感点为居民区，符合布局要求</w:t>
                  </w:r>
                  <w:r>
                    <w:rPr>
                      <w:rFonts w:hint="default" w:ascii="Times New Roman" w:hAnsi="Times New Roman" w:cs="Times New Roman"/>
                      <w:color w:val="auto"/>
                      <w:sz w:val="21"/>
                      <w:szCs w:val="21"/>
                      <w:highlight w:val="none"/>
                    </w:rPr>
                    <w:t>。</w:t>
                  </w:r>
                </w:p>
              </w:tc>
              <w:tc>
                <w:tcPr>
                  <w:tcW w:w="374" w:type="pct"/>
                  <w:gridSpan w:val="2"/>
                  <w:tcBorders>
                    <w:tl2br w:val="nil"/>
                    <w:tr2bl w:val="nil"/>
                  </w:tcBorders>
                  <w:noWrap w:val="0"/>
                  <w:vAlign w:val="center"/>
                </w:tcPr>
                <w:p w14:paraId="373289F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0C7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87" w:type="pct"/>
                  <w:vMerge w:val="continue"/>
                  <w:tcBorders>
                    <w:tl2br w:val="nil"/>
                    <w:tr2bl w:val="nil"/>
                  </w:tcBorders>
                  <w:noWrap w:val="0"/>
                  <w:vAlign w:val="center"/>
                </w:tcPr>
                <w:p w14:paraId="7DF952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p>
              </w:tc>
              <w:tc>
                <w:tcPr>
                  <w:tcW w:w="306" w:type="pct"/>
                  <w:tcBorders>
                    <w:tl2br w:val="nil"/>
                    <w:tr2bl w:val="nil"/>
                  </w:tcBorders>
                  <w:noWrap w:val="0"/>
                  <w:vAlign w:val="center"/>
                </w:tcPr>
                <w:p w14:paraId="794F00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能源资源利用</w:t>
                  </w:r>
                </w:p>
              </w:tc>
              <w:tc>
                <w:tcPr>
                  <w:tcW w:w="2714" w:type="pct"/>
                  <w:gridSpan w:val="2"/>
                  <w:tcBorders>
                    <w:tl2br w:val="nil"/>
                    <w:tr2bl w:val="nil"/>
                  </w:tcBorders>
                  <w:noWrap w:val="0"/>
                  <w:vAlign w:val="center"/>
                </w:tcPr>
                <w:p w14:paraId="4EC6C69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2-1.【能源/鼓励引导类】园区内能源结构应以电能、燃气等清洁能源为主。</w:t>
                  </w:r>
                </w:p>
                <w:p w14:paraId="2D95B62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2-2.【水资源/综合类】提高园区水资源利用效率，加快中水回用系统建设。</w:t>
                  </w:r>
                </w:p>
                <w:p w14:paraId="41F37F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2-3.【其他/综合类】有行业清洁生产标准的新引进项目清洁生产水平须达到本行业国内先进水平。</w:t>
                  </w:r>
                </w:p>
              </w:tc>
              <w:tc>
                <w:tcPr>
                  <w:tcW w:w="1317" w:type="pct"/>
                  <w:gridSpan w:val="3"/>
                  <w:tcBorders>
                    <w:tl2br w:val="nil"/>
                    <w:tr2bl w:val="nil"/>
                  </w:tcBorders>
                  <w:noWrap w:val="0"/>
                  <w:vAlign w:val="center"/>
                </w:tcPr>
                <w:p w14:paraId="589FA2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项目主要以电能、天然气作为生产能源，属于清洁能源；项目外排生产</w:t>
                  </w:r>
                  <w:r>
                    <w:rPr>
                      <w:rFonts w:hint="eastAsia" w:cs="Times New Roman"/>
                      <w:color w:val="auto"/>
                      <w:sz w:val="21"/>
                      <w:szCs w:val="21"/>
                      <w:highlight w:val="none"/>
                      <w:lang w:eastAsia="zh-CN"/>
                    </w:rPr>
                    <w:t>废水经自建</w:t>
                  </w:r>
                  <w:r>
                    <w:rPr>
                      <w:rFonts w:hint="default" w:ascii="Times New Roman" w:hAnsi="Times New Roman" w:cs="Times New Roman"/>
                      <w:color w:val="auto"/>
                      <w:sz w:val="21"/>
                      <w:szCs w:val="21"/>
                      <w:highlight w:val="none"/>
                    </w:rPr>
                    <w:t>污水处理站处理后排入园区污水处理厂。</w:t>
                  </w:r>
                </w:p>
              </w:tc>
              <w:tc>
                <w:tcPr>
                  <w:tcW w:w="374" w:type="pct"/>
                  <w:gridSpan w:val="2"/>
                  <w:tcBorders>
                    <w:tl2br w:val="nil"/>
                    <w:tr2bl w:val="nil"/>
                  </w:tcBorders>
                  <w:noWrap w:val="0"/>
                  <w:vAlign w:val="center"/>
                </w:tcPr>
                <w:p w14:paraId="6143D6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16F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87" w:type="pct"/>
                  <w:vMerge w:val="continue"/>
                  <w:tcBorders>
                    <w:tl2br w:val="nil"/>
                    <w:tr2bl w:val="nil"/>
                  </w:tcBorders>
                  <w:noWrap w:val="0"/>
                  <w:vAlign w:val="center"/>
                </w:tcPr>
                <w:p w14:paraId="6AC29E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p>
              </w:tc>
              <w:tc>
                <w:tcPr>
                  <w:tcW w:w="306" w:type="pct"/>
                  <w:tcBorders>
                    <w:tl2br w:val="nil"/>
                    <w:tr2bl w:val="nil"/>
                  </w:tcBorders>
                  <w:noWrap w:val="0"/>
                  <w:vAlign w:val="center"/>
                </w:tcPr>
                <w:p w14:paraId="2A069CF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污染物排放管控</w:t>
                  </w:r>
                </w:p>
              </w:tc>
              <w:tc>
                <w:tcPr>
                  <w:tcW w:w="2714" w:type="pct"/>
                  <w:gridSpan w:val="2"/>
                  <w:tcBorders>
                    <w:tl2br w:val="nil"/>
                    <w:tr2bl w:val="nil"/>
                  </w:tcBorders>
                  <w:noWrap w:val="0"/>
                  <w:vAlign w:val="center"/>
                </w:tcPr>
                <w:p w14:paraId="056600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3-1.【水、大气/限制类】园区各项污染物排放总量不得突破园区规划环评核定的污染物排放总量管控要求。</w:t>
                  </w:r>
                </w:p>
                <w:p w14:paraId="20E7E3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-2.【水/限制类】实行重点重金属污染物（铅、砷、汞、镉、铬）等量替代。严格控制涉重金属及有毒有害污染物排放的项目建设，新建、改建、扩建涉重金属重点行业的项目应明确重金属污染物总量来源。3-3.【大气/限制类】新建项目原则上实施氮氧化物、挥发性有机物排放量等量替代。</w:t>
                  </w:r>
                </w:p>
                <w:p w14:paraId="7BAF4A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3-4.【其它/鼓励引导类】支持危险废物专业收集转运和利用处置单位建设区域性收集网点和贮存设施。</w:t>
                  </w:r>
                </w:p>
              </w:tc>
              <w:tc>
                <w:tcPr>
                  <w:tcW w:w="1317" w:type="pct"/>
                  <w:gridSpan w:val="3"/>
                  <w:tcBorders>
                    <w:tl2br w:val="nil"/>
                    <w:tr2bl w:val="nil"/>
                  </w:tcBorders>
                  <w:noWrap w:val="0"/>
                  <w:vAlign w:val="center"/>
                </w:tcPr>
                <w:p w14:paraId="6DF3EC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本项目实施后园区的总量指标依然没有超规划环评的总量指标</w:t>
                  </w:r>
                  <w:r>
                    <w:rPr>
                      <w:rFonts w:hint="default" w:ascii="Times New Roman" w:hAnsi="Times New Roman" w:cs="Times New Roman"/>
                      <w:color w:val="auto"/>
                      <w:sz w:val="21"/>
                      <w:szCs w:val="21"/>
                      <w:highlight w:val="none"/>
                    </w:rPr>
                    <w:t>，需向韶关市生态环境局乐昌分局申请分配实行等量代替，</w:t>
                  </w:r>
                  <w:r>
                    <w:rPr>
                      <w:rFonts w:hint="eastAsia" w:cs="Times New Roman"/>
                      <w:color w:val="auto"/>
                      <w:sz w:val="21"/>
                      <w:szCs w:val="21"/>
                      <w:highlight w:val="none"/>
                      <w:lang w:val="en-US" w:eastAsia="zh-CN"/>
                    </w:rPr>
                    <w:t>申请总量为VOCs1.022t/a、氮氧化物0.341t/a（详见附件9）。</w:t>
                  </w:r>
                  <w:r>
                    <w:rPr>
                      <w:rFonts w:hint="default" w:ascii="Times New Roman" w:hAnsi="Times New Roman" w:cs="Times New Roman"/>
                      <w:color w:val="auto"/>
                      <w:sz w:val="21"/>
                      <w:szCs w:val="21"/>
                      <w:highlight w:val="none"/>
                    </w:rPr>
                    <w:t>项目不涉及重金属污染物，危险废物贮存在厂区</w:t>
                  </w:r>
                  <w:r>
                    <w:rPr>
                      <w:rFonts w:hint="eastAsia" w:cs="Times New Roman"/>
                      <w:color w:val="auto"/>
                      <w:sz w:val="21"/>
                      <w:szCs w:val="21"/>
                      <w:highlight w:val="none"/>
                      <w:lang w:eastAsia="zh-CN"/>
                    </w:rPr>
                    <w:t>危险废物贮存间</w:t>
                  </w:r>
                  <w:r>
                    <w:rPr>
                      <w:rFonts w:hint="default" w:ascii="Times New Roman" w:hAnsi="Times New Roman" w:cs="Times New Roman"/>
                      <w:color w:val="auto"/>
                      <w:sz w:val="21"/>
                      <w:szCs w:val="21"/>
                      <w:highlight w:val="none"/>
                    </w:rPr>
                    <w:t>，统一收集后交有资质的单位处理。</w:t>
                  </w:r>
                </w:p>
              </w:tc>
              <w:tc>
                <w:tcPr>
                  <w:tcW w:w="374" w:type="pct"/>
                  <w:gridSpan w:val="2"/>
                  <w:tcBorders>
                    <w:tl2br w:val="nil"/>
                    <w:tr2bl w:val="nil"/>
                  </w:tcBorders>
                  <w:noWrap w:val="0"/>
                  <w:vAlign w:val="center"/>
                </w:tcPr>
                <w:p w14:paraId="0D0D6C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4786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87" w:type="pct"/>
                  <w:vMerge w:val="continue"/>
                  <w:tcBorders>
                    <w:tl2br w:val="nil"/>
                    <w:tr2bl w:val="nil"/>
                  </w:tcBorders>
                  <w:noWrap w:val="0"/>
                  <w:vAlign w:val="center"/>
                </w:tcPr>
                <w:p w14:paraId="0F8D0C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color w:val="auto"/>
                      <w:sz w:val="21"/>
                      <w:szCs w:val="21"/>
                      <w:highlight w:val="none"/>
                    </w:rPr>
                  </w:pPr>
                </w:p>
              </w:tc>
              <w:tc>
                <w:tcPr>
                  <w:tcW w:w="306" w:type="pct"/>
                  <w:tcBorders>
                    <w:tl2br w:val="nil"/>
                    <w:tr2bl w:val="nil"/>
                  </w:tcBorders>
                  <w:noWrap w:val="0"/>
                  <w:vAlign w:val="center"/>
                </w:tcPr>
                <w:p w14:paraId="4F391C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环境风险防控</w:t>
                  </w:r>
                </w:p>
              </w:tc>
              <w:tc>
                <w:tcPr>
                  <w:tcW w:w="2714" w:type="pct"/>
                  <w:gridSpan w:val="2"/>
                  <w:tcBorders>
                    <w:tl2br w:val="nil"/>
                    <w:tr2bl w:val="nil"/>
                  </w:tcBorders>
                  <w:noWrap w:val="0"/>
                  <w:vAlign w:val="center"/>
                </w:tcPr>
                <w:p w14:paraId="55A4FC8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-1.【风险/综合类】园区内生产、使用、储存危险化学品的项目应设置足够容积的事故应急池，园区应制定环境风险事故防范和应急预案，建立健全企业、园区和市政三级事故应急体系，落实有效的事故风险防范和应急措施，有效防范污染事故发生，并避免发生事故对周围环境造成污染，确保环境安全。园区污</w:t>
                  </w:r>
                  <w:r>
                    <w:rPr>
                      <w:rFonts w:hint="default" w:ascii="Times New Roman" w:hAnsi="Times New Roman" w:cs="Times New Roman"/>
                      <w:color w:val="auto"/>
                      <w:sz w:val="21"/>
                      <w:szCs w:val="21"/>
                      <w:highlight w:val="none"/>
                      <w:lang w:eastAsia="zh-CN"/>
                    </w:rPr>
                    <w:t>水</w:t>
                  </w:r>
                  <w:r>
                    <w:rPr>
                      <w:rFonts w:hint="default" w:ascii="Times New Roman" w:hAnsi="Times New Roman" w:cs="Times New Roman"/>
                      <w:color w:val="auto"/>
                      <w:sz w:val="21"/>
                      <w:szCs w:val="21"/>
                      <w:highlight w:val="none"/>
                    </w:rPr>
                    <w:t>处理厂设置足够容积的事故应急池，纳污水体设置水质监控断面，发现问题，及时采取限制废水排放等措施。</w:t>
                  </w:r>
                </w:p>
              </w:tc>
              <w:tc>
                <w:tcPr>
                  <w:tcW w:w="1317" w:type="pct"/>
                  <w:gridSpan w:val="3"/>
                  <w:tcBorders>
                    <w:tl2br w:val="nil"/>
                    <w:tr2bl w:val="nil"/>
                  </w:tcBorders>
                  <w:noWrap w:val="0"/>
                  <w:vAlign w:val="center"/>
                </w:tcPr>
                <w:p w14:paraId="47C0A7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项目位于</w:t>
                  </w:r>
                  <w:r>
                    <w:rPr>
                      <w:rFonts w:hint="default" w:ascii="Times New Roman" w:hAnsi="Times New Roman" w:cs="Times New Roman"/>
                      <w:color w:val="auto"/>
                      <w:sz w:val="21"/>
                      <w:szCs w:val="21"/>
                      <w:highlight w:val="none"/>
                      <w:lang w:eastAsia="zh-CN"/>
                    </w:rPr>
                    <w:t>乐昌产业转移工业园</w:t>
                  </w:r>
                  <w:r>
                    <w:rPr>
                      <w:rFonts w:hint="default" w:ascii="Times New Roman" w:hAnsi="Times New Roman" w:cs="Times New Roman"/>
                      <w:color w:val="auto"/>
                      <w:sz w:val="21"/>
                      <w:szCs w:val="21"/>
                      <w:highlight w:val="none"/>
                    </w:rPr>
                    <w:t>内，</w:t>
                  </w:r>
                  <w:r>
                    <w:rPr>
                      <w:rFonts w:hint="default" w:ascii="Times New Roman" w:hAnsi="Times New Roman" w:cs="Times New Roman"/>
                      <w:color w:val="auto"/>
                      <w:sz w:val="21"/>
                      <w:szCs w:val="21"/>
                      <w:highlight w:val="none"/>
                      <w:lang w:eastAsia="zh-CN"/>
                    </w:rPr>
                    <w:t>乐昌产业转移工业园</w:t>
                  </w:r>
                  <w:r>
                    <w:rPr>
                      <w:rFonts w:hint="default" w:ascii="Times New Roman" w:hAnsi="Times New Roman" w:cs="Times New Roman"/>
                      <w:color w:val="auto"/>
                      <w:sz w:val="21"/>
                      <w:szCs w:val="21"/>
                      <w:highlight w:val="none"/>
                    </w:rPr>
                    <w:t>已完善相关环保手续，并制定了事故风险防范和应急措施，能够满足项目环境风险防控的要求。</w:t>
                  </w:r>
                </w:p>
              </w:tc>
              <w:tc>
                <w:tcPr>
                  <w:tcW w:w="374" w:type="pct"/>
                  <w:gridSpan w:val="2"/>
                  <w:tcBorders>
                    <w:tl2br w:val="nil"/>
                    <w:tr2bl w:val="nil"/>
                  </w:tcBorders>
                  <w:noWrap w:val="0"/>
                  <w:vAlign w:val="center"/>
                </w:tcPr>
                <w:p w14:paraId="54B6BA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3EA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D9BEE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环境管控单元编码</w:t>
                  </w:r>
                </w:p>
              </w:tc>
              <w:tc>
                <w:tcPr>
                  <w:tcW w:w="2475" w:type="pct"/>
                  <w:tcBorders>
                    <w:tl2br w:val="nil"/>
                    <w:tr2bl w:val="nil"/>
                  </w:tcBorders>
                  <w:noWrap w:val="0"/>
                  <w:vAlign w:val="center"/>
                </w:tcPr>
                <w:p w14:paraId="6BFFF4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环境管控单元名称</w:t>
                  </w:r>
                </w:p>
              </w:tc>
              <w:tc>
                <w:tcPr>
                  <w:tcW w:w="1692" w:type="pct"/>
                  <w:gridSpan w:val="5"/>
                  <w:tcBorders>
                    <w:tl2br w:val="nil"/>
                    <w:tr2bl w:val="nil"/>
                  </w:tcBorders>
                  <w:noWrap w:val="0"/>
                  <w:vAlign w:val="center"/>
                </w:tcPr>
                <w:p w14:paraId="3EC5DB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管控单元分类</w:t>
                  </w:r>
                </w:p>
              </w:tc>
            </w:tr>
            <w:tr w14:paraId="316A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22EB03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YS4402813110001</w:t>
                  </w:r>
                </w:p>
              </w:tc>
              <w:tc>
                <w:tcPr>
                  <w:tcW w:w="2475" w:type="pct"/>
                  <w:tcBorders>
                    <w:tl2br w:val="nil"/>
                    <w:tr2bl w:val="nil"/>
                  </w:tcBorders>
                  <w:noWrap w:val="0"/>
                  <w:vAlign w:val="center"/>
                </w:tcPr>
                <w:p w14:paraId="30E857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b w:val="0"/>
                      <w:bCs w:val="0"/>
                      <w:color w:val="auto"/>
                      <w:kern w:val="0"/>
                      <w:sz w:val="21"/>
                      <w:szCs w:val="21"/>
                      <w:highlight w:val="none"/>
                      <w:lang w:val="en-US" w:eastAsia="zh-CN" w:bidi="ar"/>
                    </w:rPr>
                    <w:t>乐昌市生态空间一般管控区</w:t>
                  </w:r>
                </w:p>
              </w:tc>
              <w:tc>
                <w:tcPr>
                  <w:tcW w:w="1692" w:type="pct"/>
                  <w:gridSpan w:val="5"/>
                  <w:tcBorders>
                    <w:tl2br w:val="nil"/>
                    <w:tr2bl w:val="nil"/>
                  </w:tcBorders>
                  <w:noWrap w:val="0"/>
                  <w:vAlign w:val="center"/>
                </w:tcPr>
                <w:p w14:paraId="452760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生态空间一般管控区</w:t>
                  </w:r>
                </w:p>
              </w:tc>
            </w:tr>
            <w:tr w14:paraId="65E45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1F9216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管控维度</w:t>
                  </w:r>
                </w:p>
              </w:tc>
              <w:tc>
                <w:tcPr>
                  <w:tcW w:w="2475" w:type="pct"/>
                  <w:tcBorders>
                    <w:tl2br w:val="nil"/>
                    <w:tr2bl w:val="nil"/>
                  </w:tcBorders>
                  <w:noWrap w:val="0"/>
                  <w:vAlign w:val="center"/>
                </w:tcPr>
                <w:p w14:paraId="0AAF77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管控要求</w:t>
                  </w:r>
                </w:p>
              </w:tc>
              <w:tc>
                <w:tcPr>
                  <w:tcW w:w="1224" w:type="pct"/>
                  <w:tcBorders>
                    <w:tl2br w:val="nil"/>
                    <w:tr2bl w:val="nil"/>
                  </w:tcBorders>
                  <w:noWrap w:val="0"/>
                  <w:vAlign w:val="center"/>
                </w:tcPr>
                <w:p w14:paraId="3469C1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项目情况</w:t>
                  </w:r>
                </w:p>
              </w:tc>
              <w:tc>
                <w:tcPr>
                  <w:tcW w:w="468" w:type="pct"/>
                  <w:gridSpan w:val="4"/>
                  <w:tcBorders>
                    <w:tl2br w:val="nil"/>
                    <w:tr2bl w:val="nil"/>
                  </w:tcBorders>
                  <w:noWrap w:val="0"/>
                  <w:vAlign w:val="center"/>
                </w:tcPr>
                <w:p w14:paraId="26BB18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相符性</w:t>
                  </w:r>
                </w:p>
              </w:tc>
            </w:tr>
            <w:tr w14:paraId="3A9A3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2940DF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区域布局管控</w:t>
                  </w:r>
                </w:p>
              </w:tc>
              <w:tc>
                <w:tcPr>
                  <w:tcW w:w="2475" w:type="pct"/>
                  <w:tcBorders>
                    <w:tl2br w:val="nil"/>
                    <w:tr2bl w:val="nil"/>
                  </w:tcBorders>
                  <w:noWrap w:val="0"/>
                  <w:vAlign w:val="center"/>
                </w:tcPr>
                <w:p w14:paraId="093B61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按国家和省统一要求管理。</w:t>
                  </w:r>
                </w:p>
              </w:tc>
              <w:tc>
                <w:tcPr>
                  <w:tcW w:w="1224" w:type="pct"/>
                  <w:tcBorders>
                    <w:tl2br w:val="nil"/>
                    <w:tr2bl w:val="nil"/>
                  </w:tcBorders>
                  <w:noWrap w:val="0"/>
                  <w:vAlign w:val="center"/>
                </w:tcPr>
                <w:p w14:paraId="2FC92F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项目不涉及自然生态用地，合理开发，符合城市规划</w:t>
                  </w:r>
                </w:p>
              </w:tc>
              <w:tc>
                <w:tcPr>
                  <w:tcW w:w="468" w:type="pct"/>
                  <w:gridSpan w:val="4"/>
                  <w:tcBorders>
                    <w:tl2br w:val="nil"/>
                    <w:tr2bl w:val="nil"/>
                  </w:tcBorders>
                  <w:noWrap w:val="0"/>
                  <w:vAlign w:val="center"/>
                </w:tcPr>
                <w:p w14:paraId="5E8B68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77C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AC2115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环境管控单元编码</w:t>
                  </w:r>
                </w:p>
              </w:tc>
              <w:tc>
                <w:tcPr>
                  <w:tcW w:w="2475" w:type="pct"/>
                  <w:tcBorders>
                    <w:tl2br w:val="nil"/>
                    <w:tr2bl w:val="nil"/>
                  </w:tcBorders>
                  <w:noWrap w:val="0"/>
                  <w:vAlign w:val="center"/>
                </w:tcPr>
                <w:p w14:paraId="0B5B6E8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环境管控单元名称</w:t>
                  </w:r>
                </w:p>
              </w:tc>
              <w:tc>
                <w:tcPr>
                  <w:tcW w:w="1692" w:type="pct"/>
                  <w:gridSpan w:val="5"/>
                  <w:tcBorders>
                    <w:tl2br w:val="nil"/>
                    <w:tr2bl w:val="nil"/>
                  </w:tcBorders>
                  <w:noWrap w:val="0"/>
                  <w:vAlign w:val="center"/>
                </w:tcPr>
                <w:p w14:paraId="7193AE6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管控单元分类</w:t>
                  </w:r>
                </w:p>
              </w:tc>
            </w:tr>
            <w:tr w14:paraId="3F3E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18CD8BC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eastAsia"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YS440281321001</w:t>
                  </w:r>
                  <w:r>
                    <w:rPr>
                      <w:rFonts w:hint="eastAsia" w:ascii="Times New Roman" w:hAnsi="Times New Roman" w:eastAsia="宋体" w:cs="Times New Roman"/>
                      <w:color w:val="auto"/>
                      <w:sz w:val="21"/>
                      <w:szCs w:val="21"/>
                      <w:highlight w:val="none"/>
                      <w:lang w:val="en-US" w:eastAsia="zh-CN"/>
                    </w:rPr>
                    <w:t>3</w:t>
                  </w:r>
                </w:p>
              </w:tc>
              <w:tc>
                <w:tcPr>
                  <w:tcW w:w="2475" w:type="pct"/>
                  <w:tcBorders>
                    <w:tl2br w:val="nil"/>
                    <w:tr2bl w:val="nil"/>
                  </w:tcBorders>
                  <w:noWrap w:val="0"/>
                  <w:vAlign w:val="center"/>
                </w:tcPr>
                <w:p w14:paraId="612A3F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廊田水韶关市长来-廊田-五山镇控制单元</w:t>
                  </w:r>
                </w:p>
              </w:tc>
              <w:tc>
                <w:tcPr>
                  <w:tcW w:w="1692" w:type="pct"/>
                  <w:gridSpan w:val="5"/>
                  <w:tcBorders>
                    <w:tl2br w:val="nil"/>
                    <w:tr2bl w:val="nil"/>
                  </w:tcBorders>
                  <w:noWrap w:val="0"/>
                  <w:vAlign w:val="center"/>
                </w:tcPr>
                <w:p w14:paraId="2B2A30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水环境一般管控区</w:t>
                  </w:r>
                </w:p>
              </w:tc>
            </w:tr>
            <w:tr w14:paraId="50741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678C29B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管控维度</w:t>
                  </w:r>
                </w:p>
              </w:tc>
              <w:tc>
                <w:tcPr>
                  <w:tcW w:w="2475" w:type="pct"/>
                  <w:tcBorders>
                    <w:tl2br w:val="nil"/>
                    <w:tr2bl w:val="nil"/>
                  </w:tcBorders>
                  <w:noWrap w:val="0"/>
                  <w:vAlign w:val="center"/>
                </w:tcPr>
                <w:p w14:paraId="73453EB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管控要求</w:t>
                  </w:r>
                </w:p>
              </w:tc>
              <w:tc>
                <w:tcPr>
                  <w:tcW w:w="1297" w:type="pct"/>
                  <w:gridSpan w:val="2"/>
                  <w:tcBorders>
                    <w:tl2br w:val="nil"/>
                    <w:tr2bl w:val="nil"/>
                  </w:tcBorders>
                  <w:noWrap w:val="0"/>
                  <w:vAlign w:val="center"/>
                </w:tcPr>
                <w:p w14:paraId="14BF244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b/>
                      <w:bCs/>
                      <w:color w:val="auto"/>
                      <w:kern w:val="0"/>
                      <w:sz w:val="21"/>
                      <w:szCs w:val="21"/>
                      <w:highlight w:val="none"/>
                      <w:lang w:val="en-US" w:eastAsia="zh-CN" w:bidi="ar"/>
                    </w:rPr>
                    <w:t>项目情况</w:t>
                  </w:r>
                </w:p>
              </w:tc>
              <w:tc>
                <w:tcPr>
                  <w:tcW w:w="394" w:type="pct"/>
                  <w:gridSpan w:val="3"/>
                  <w:tcBorders>
                    <w:tl2br w:val="nil"/>
                    <w:tr2bl w:val="nil"/>
                  </w:tcBorders>
                  <w:noWrap w:val="0"/>
                  <w:vAlign w:val="center"/>
                </w:tcPr>
                <w:p w14:paraId="320A8E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lang w:val="en-US" w:eastAsia="zh-CN"/>
                    </w:rPr>
                    <w:t>相</w:t>
                  </w:r>
                  <w:r>
                    <w:rPr>
                      <w:rFonts w:hint="default" w:ascii="Times New Roman" w:hAnsi="Times New Roman" w:cs="Times New Roman"/>
                      <w:b/>
                      <w:bCs/>
                      <w:color w:val="auto"/>
                      <w:sz w:val="21"/>
                      <w:szCs w:val="21"/>
                      <w:highlight w:val="none"/>
                    </w:rPr>
                    <w:t>符性</w:t>
                  </w:r>
                </w:p>
              </w:tc>
            </w:tr>
            <w:tr w14:paraId="7285A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17D46AF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区域布局管控</w:t>
                  </w:r>
                </w:p>
              </w:tc>
              <w:tc>
                <w:tcPr>
                  <w:tcW w:w="2475" w:type="pct"/>
                  <w:tcBorders>
                    <w:tl2br w:val="nil"/>
                    <w:tr2bl w:val="nil"/>
                  </w:tcBorders>
                  <w:noWrap w:val="0"/>
                  <w:vAlign w:val="center"/>
                </w:tcPr>
                <w:p w14:paraId="530FFC9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严格执行畜禽养殖禁养区管理要求，畜禽养殖禁养区内严禁建设规模化畜禽养殖场和规模化畜禽养殖小区，禁养区外的养殖场应配套污染防治设施</w:t>
                  </w:r>
                </w:p>
              </w:tc>
              <w:tc>
                <w:tcPr>
                  <w:tcW w:w="1297" w:type="pct"/>
                  <w:gridSpan w:val="2"/>
                  <w:tcBorders>
                    <w:tl2br w:val="nil"/>
                    <w:tr2bl w:val="nil"/>
                  </w:tcBorders>
                  <w:noWrap w:val="0"/>
                  <w:vAlign w:val="center"/>
                </w:tcPr>
                <w:p w14:paraId="6E2BE3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本项目不涉及畜禽养殖。</w:t>
                  </w:r>
                </w:p>
              </w:tc>
              <w:tc>
                <w:tcPr>
                  <w:tcW w:w="394" w:type="pct"/>
                  <w:gridSpan w:val="3"/>
                  <w:tcBorders>
                    <w:tl2br w:val="nil"/>
                    <w:tr2bl w:val="nil"/>
                  </w:tcBorders>
                  <w:noWrap w:val="0"/>
                  <w:vAlign w:val="center"/>
                </w:tcPr>
                <w:p w14:paraId="3998F6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7EF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9436E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环境风险防控</w:t>
                  </w:r>
                </w:p>
              </w:tc>
              <w:tc>
                <w:tcPr>
                  <w:tcW w:w="2475" w:type="pct"/>
                  <w:tcBorders>
                    <w:tl2br w:val="nil"/>
                    <w:tr2bl w:val="nil"/>
                  </w:tcBorders>
                  <w:noWrap w:val="0"/>
                  <w:vAlign w:val="center"/>
                </w:tcPr>
                <w:p w14:paraId="3FFAEC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集中式污水处理厂应采取有效措施，防止事故废水直接排入水体</w:t>
                  </w:r>
                </w:p>
              </w:tc>
              <w:tc>
                <w:tcPr>
                  <w:tcW w:w="1297" w:type="pct"/>
                  <w:gridSpan w:val="2"/>
                  <w:tcBorders>
                    <w:tl2br w:val="nil"/>
                    <w:tr2bl w:val="nil"/>
                  </w:tcBorders>
                  <w:noWrap w:val="0"/>
                  <w:vAlign w:val="center"/>
                </w:tcPr>
                <w:p w14:paraId="190CA4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本项目不属于集中式污水处理厂，</w:t>
                  </w:r>
                  <w:r>
                    <w:rPr>
                      <w:rFonts w:hint="eastAsia" w:ascii="Times New Roman" w:hAnsi="Times New Roman" w:cs="Times New Roman"/>
                      <w:color w:val="auto"/>
                      <w:sz w:val="21"/>
                      <w:szCs w:val="21"/>
                      <w:highlight w:val="none"/>
                      <w:lang w:val="en-US" w:eastAsia="zh-CN"/>
                    </w:rPr>
                    <w:t>且</w:t>
                  </w:r>
                  <w:r>
                    <w:rPr>
                      <w:rFonts w:hint="default" w:ascii="Times New Roman" w:hAnsi="Times New Roman" w:cs="Times New Roman"/>
                      <w:color w:val="auto"/>
                      <w:sz w:val="21"/>
                      <w:szCs w:val="21"/>
                      <w:highlight w:val="none"/>
                    </w:rPr>
                    <w:t>依托的园区污水处理厂设有应急措施。</w:t>
                  </w:r>
                </w:p>
              </w:tc>
              <w:tc>
                <w:tcPr>
                  <w:tcW w:w="394" w:type="pct"/>
                  <w:gridSpan w:val="3"/>
                  <w:tcBorders>
                    <w:tl2br w:val="nil"/>
                    <w:tr2bl w:val="nil"/>
                  </w:tcBorders>
                  <w:noWrap w:val="0"/>
                  <w:vAlign w:val="center"/>
                </w:tcPr>
                <w:p w14:paraId="42D488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5908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5164051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环境管控单元编码</w:t>
                  </w:r>
                </w:p>
              </w:tc>
              <w:tc>
                <w:tcPr>
                  <w:tcW w:w="2475" w:type="pct"/>
                  <w:tcBorders>
                    <w:tl2br w:val="nil"/>
                    <w:tr2bl w:val="nil"/>
                  </w:tcBorders>
                  <w:noWrap w:val="0"/>
                  <w:vAlign w:val="center"/>
                </w:tcPr>
                <w:p w14:paraId="4726D1C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环境管控单元名称</w:t>
                  </w:r>
                </w:p>
              </w:tc>
              <w:tc>
                <w:tcPr>
                  <w:tcW w:w="1692" w:type="pct"/>
                  <w:gridSpan w:val="5"/>
                  <w:tcBorders>
                    <w:tl2br w:val="nil"/>
                    <w:tr2bl w:val="nil"/>
                  </w:tcBorders>
                  <w:noWrap w:val="0"/>
                  <w:vAlign w:val="center"/>
                </w:tcPr>
                <w:p w14:paraId="55B517C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管控单元分类</w:t>
                  </w:r>
                </w:p>
              </w:tc>
            </w:tr>
            <w:tr w14:paraId="402F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06FA5E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76" w:rightChars="36"/>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YS4402812310002</w:t>
                  </w:r>
                </w:p>
              </w:tc>
              <w:tc>
                <w:tcPr>
                  <w:tcW w:w="2475" w:type="pct"/>
                  <w:tcBorders>
                    <w:tl2br w:val="nil"/>
                    <w:tr2bl w:val="nil"/>
                  </w:tcBorders>
                  <w:noWrap w:val="0"/>
                  <w:vAlign w:val="center"/>
                </w:tcPr>
                <w:p w14:paraId="13E3A4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大气环境高排放重点管控区</w:t>
                  </w:r>
                </w:p>
              </w:tc>
              <w:tc>
                <w:tcPr>
                  <w:tcW w:w="1692" w:type="pct"/>
                  <w:gridSpan w:val="5"/>
                  <w:tcBorders>
                    <w:tl2br w:val="nil"/>
                    <w:tr2bl w:val="nil"/>
                  </w:tcBorders>
                  <w:noWrap w:val="0"/>
                  <w:vAlign w:val="center"/>
                </w:tcPr>
                <w:p w14:paraId="38C6B4B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重点管控区</w:t>
                  </w:r>
                </w:p>
              </w:tc>
            </w:tr>
            <w:tr w14:paraId="775C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CB73DB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管控维度</w:t>
                  </w:r>
                </w:p>
              </w:tc>
              <w:tc>
                <w:tcPr>
                  <w:tcW w:w="2475" w:type="pct"/>
                  <w:tcBorders>
                    <w:tl2br w:val="nil"/>
                    <w:tr2bl w:val="nil"/>
                  </w:tcBorders>
                  <w:noWrap w:val="0"/>
                  <w:vAlign w:val="center"/>
                </w:tcPr>
                <w:p w14:paraId="134A499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管控要求</w:t>
                  </w:r>
                </w:p>
              </w:tc>
              <w:tc>
                <w:tcPr>
                  <w:tcW w:w="1332" w:type="pct"/>
                  <w:gridSpan w:val="4"/>
                  <w:tcBorders>
                    <w:tl2br w:val="nil"/>
                    <w:tr2bl w:val="nil"/>
                  </w:tcBorders>
                  <w:noWrap w:val="0"/>
                  <w:vAlign w:val="center"/>
                </w:tcPr>
                <w:p w14:paraId="7FC5DF1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项目情况</w:t>
                  </w:r>
                </w:p>
              </w:tc>
              <w:tc>
                <w:tcPr>
                  <w:tcW w:w="359" w:type="pct"/>
                  <w:tcBorders>
                    <w:tl2br w:val="nil"/>
                    <w:tr2bl w:val="nil"/>
                  </w:tcBorders>
                  <w:noWrap w:val="0"/>
                  <w:vAlign w:val="center"/>
                </w:tcPr>
                <w:p w14:paraId="574D52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b/>
                      <w:bCs/>
                      <w:color w:val="auto"/>
                      <w:sz w:val="21"/>
                      <w:szCs w:val="21"/>
                      <w:highlight w:val="none"/>
                      <w:lang w:val="en-US" w:eastAsia="zh-CN"/>
                    </w:rPr>
                    <w:t>相</w:t>
                  </w:r>
                  <w:r>
                    <w:rPr>
                      <w:rFonts w:hint="default" w:ascii="Times New Roman" w:hAnsi="Times New Roman" w:cs="Times New Roman"/>
                      <w:b/>
                      <w:bCs/>
                      <w:color w:val="auto"/>
                      <w:sz w:val="21"/>
                      <w:szCs w:val="21"/>
                      <w:highlight w:val="none"/>
                    </w:rPr>
                    <w:t>符性</w:t>
                  </w:r>
                </w:p>
              </w:tc>
            </w:tr>
            <w:tr w14:paraId="4631B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046FEE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区域布局管控</w:t>
                  </w:r>
                </w:p>
              </w:tc>
              <w:tc>
                <w:tcPr>
                  <w:tcW w:w="2475" w:type="pct"/>
                  <w:tcBorders>
                    <w:tl2br w:val="nil"/>
                    <w:tr2bl w:val="nil"/>
                  </w:tcBorders>
                  <w:noWrap w:val="0"/>
                  <w:vAlign w:val="center"/>
                </w:tcPr>
                <w:p w14:paraId="5971F5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1-1.引导工业项目科学布局，新建项目原则上入园管理，推动现有工业项目集中进园。</w:t>
                  </w:r>
                </w:p>
                <w:p w14:paraId="469519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1-2.严格控制涉重金属及有毒有害污染物排放的项目建设，新建、改建、扩建涉重金属重点行业的项目应明确重金属污染物总量来源。</w:t>
                  </w:r>
                </w:p>
                <w:p w14:paraId="3115CB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1-3.严格限制新建除热电联产以外的煤电项目；严格限制新（改、扩）建钢铁、建材（水泥、平板玻璃）、焦化、有色金属冶炼、石化等高污染行业项目。</w:t>
                  </w:r>
                </w:p>
                <w:p w14:paraId="521AB9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1-4.禁止违法露天焚烧秸秆等产生烟尘污染物质以及焚烧垃圾等产生有毒有害烟尘、恶臭气体物质的行为。</w:t>
                  </w:r>
                </w:p>
              </w:tc>
              <w:tc>
                <w:tcPr>
                  <w:tcW w:w="1332" w:type="pct"/>
                  <w:gridSpan w:val="4"/>
                  <w:tcBorders>
                    <w:tl2br w:val="nil"/>
                    <w:tr2bl w:val="nil"/>
                  </w:tcBorders>
                  <w:noWrap w:val="0"/>
                  <w:vAlign w:val="center"/>
                </w:tcPr>
                <w:p w14:paraId="5C27FF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本项目选址位于乐昌产业转移工业园，属于入园管理项目；</w:t>
                  </w:r>
                </w:p>
                <w:p w14:paraId="64A93C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cs="Times New Roman"/>
                      <w:color w:val="auto"/>
                      <w:sz w:val="21"/>
                      <w:szCs w:val="21"/>
                      <w:highlight w:val="none"/>
                    </w:rPr>
                    <w:t>本项目为金属表面处理及热处理加工行业</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不属于严格限制的项目</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且废气排放不涉及</w:t>
                  </w:r>
                  <w:r>
                    <w:rPr>
                      <w:rFonts w:hint="default" w:ascii="Times New Roman" w:hAnsi="Times New Roman" w:eastAsia="宋体" w:cs="Times New Roman"/>
                      <w:color w:val="auto"/>
                      <w:sz w:val="21"/>
                      <w:szCs w:val="21"/>
                      <w:highlight w:val="none"/>
                    </w:rPr>
                    <w:t>重金属及有毒有害污染物</w:t>
                  </w:r>
                  <w:r>
                    <w:rPr>
                      <w:rFonts w:hint="default" w:ascii="Times New Roman" w:hAnsi="Times New Roman" w:cs="Times New Roman"/>
                      <w:color w:val="auto"/>
                      <w:sz w:val="21"/>
                      <w:szCs w:val="21"/>
                      <w:highlight w:val="none"/>
                      <w:lang w:eastAsia="zh-CN"/>
                    </w:rPr>
                    <w:t>。</w:t>
                  </w:r>
                </w:p>
              </w:tc>
              <w:tc>
                <w:tcPr>
                  <w:tcW w:w="359" w:type="pct"/>
                  <w:tcBorders>
                    <w:tl2br w:val="nil"/>
                    <w:tr2bl w:val="nil"/>
                  </w:tcBorders>
                  <w:noWrap w:val="0"/>
                  <w:vAlign w:val="center"/>
                </w:tcPr>
                <w:p w14:paraId="79BB68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2D14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7F3766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能源资源利用</w:t>
                  </w:r>
                </w:p>
              </w:tc>
              <w:tc>
                <w:tcPr>
                  <w:tcW w:w="2475" w:type="pct"/>
                  <w:tcBorders>
                    <w:tl2br w:val="nil"/>
                    <w:tr2bl w:val="nil"/>
                  </w:tcBorders>
                  <w:noWrap w:val="0"/>
                  <w:vAlign w:val="center"/>
                </w:tcPr>
                <w:p w14:paraId="00F690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4-1.推广节能技术，加快发展绿色货运与现代物流。</w:t>
                  </w:r>
                </w:p>
                <w:p w14:paraId="66E99D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4-2.禁燃区内，禁止新建、扩建燃用高污染燃料的设施；已有使用高污染燃料设施改用清洁能源。</w:t>
                  </w:r>
                </w:p>
                <w:p w14:paraId="403A0A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4-3.科学实施能源消费总量和强度“双控”，新建高能耗项目单位产品</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产值</w:t>
                  </w: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能耗达到国际国内先进水平。</w:t>
                  </w:r>
                </w:p>
              </w:tc>
              <w:tc>
                <w:tcPr>
                  <w:tcW w:w="1332" w:type="pct"/>
                  <w:gridSpan w:val="4"/>
                  <w:tcBorders>
                    <w:tl2br w:val="nil"/>
                    <w:tr2bl w:val="nil"/>
                  </w:tcBorders>
                  <w:noWrap w:val="0"/>
                  <w:vAlign w:val="center"/>
                </w:tcPr>
                <w:p w14:paraId="5565FB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cs="Times New Roman"/>
                      <w:color w:val="auto"/>
                      <w:sz w:val="21"/>
                      <w:szCs w:val="21"/>
                      <w:highlight w:val="none"/>
                      <w:lang w:val="en-US" w:eastAsia="zh-CN"/>
                    </w:rPr>
                    <w:t>本项目主要能源使用天然气和电能，不涉及高污染燃料且项目不属于高能耗类型项目</w:t>
                  </w:r>
                </w:p>
              </w:tc>
              <w:tc>
                <w:tcPr>
                  <w:tcW w:w="359" w:type="pct"/>
                  <w:tcBorders>
                    <w:tl2br w:val="nil"/>
                    <w:tr2bl w:val="nil"/>
                  </w:tcBorders>
                  <w:noWrap w:val="0"/>
                  <w:vAlign w:val="center"/>
                </w:tcPr>
                <w:p w14:paraId="5A2DAE8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2ED3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02ECD8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污染物排放管控</w:t>
                  </w:r>
                </w:p>
              </w:tc>
              <w:tc>
                <w:tcPr>
                  <w:tcW w:w="2475" w:type="pct"/>
                  <w:tcBorders>
                    <w:tl2br w:val="nil"/>
                    <w:tr2bl w:val="nil"/>
                  </w:tcBorders>
                  <w:noWrap w:val="0"/>
                  <w:vAlign w:val="center"/>
                </w:tcPr>
                <w:p w14:paraId="3F0E79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2-1.园区各项污染物排放总量不得突破园区规划环评核定的污染物排放总量管控要求。</w:t>
                  </w:r>
                </w:p>
                <w:p w14:paraId="7D9C53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2-2.实行重点重金属污染物（铅、砷、汞、镉、铬）等量替代。严格控制涉重金属及有毒有害污染物排放的项目建设，新建、改建、扩建涉重金属重点行业的项目应明确重金属污染物总量来源。</w:t>
                  </w:r>
                </w:p>
                <w:p w14:paraId="52D81E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2-3.新建项目原则上实施氮氧化物、挥发性有机物排放量等量替代。</w:t>
                  </w:r>
                </w:p>
                <w:p w14:paraId="32508F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2-4.支持危险废物专业收集转运和利用处置单位建设区域性收集网点和贮存设施。</w:t>
                  </w:r>
                </w:p>
                <w:p w14:paraId="6950F3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2-5.积极实行集中供热，应尽快关停现有企业小锅炉。</w:t>
                  </w:r>
                </w:p>
              </w:tc>
              <w:tc>
                <w:tcPr>
                  <w:tcW w:w="1332" w:type="pct"/>
                  <w:gridSpan w:val="4"/>
                  <w:tcBorders>
                    <w:tl2br w:val="nil"/>
                    <w:tr2bl w:val="nil"/>
                  </w:tcBorders>
                  <w:noWrap w:val="0"/>
                  <w:vAlign w:val="center"/>
                </w:tcPr>
                <w:p w14:paraId="660EE3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rPr>
                    <w:t>本项目所在园区污染物排放总量未超过核定总量。本项目不涉及重金属污染物排放。本项目不涉及危险废物专业收集转运和利用处置。</w:t>
                  </w:r>
                </w:p>
              </w:tc>
              <w:tc>
                <w:tcPr>
                  <w:tcW w:w="359" w:type="pct"/>
                  <w:tcBorders>
                    <w:tl2br w:val="nil"/>
                    <w:tr2bl w:val="nil"/>
                  </w:tcBorders>
                  <w:noWrap w:val="0"/>
                  <w:vAlign w:val="center"/>
                </w:tcPr>
                <w:p w14:paraId="312B5E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4E51F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5983B4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环境风险防控</w:t>
                  </w:r>
                </w:p>
              </w:tc>
              <w:tc>
                <w:tcPr>
                  <w:tcW w:w="2475" w:type="pct"/>
                  <w:tcBorders>
                    <w:tl2br w:val="nil"/>
                    <w:tr2bl w:val="nil"/>
                  </w:tcBorders>
                  <w:noWrap w:val="0"/>
                  <w:vAlign w:val="center"/>
                </w:tcPr>
                <w:p w14:paraId="51850A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4-1.集中式污水处理厂应采取有效措施，防止事故废水直接排入水体。</w:t>
                  </w:r>
                </w:p>
                <w:p w14:paraId="226ADE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-2.有水环境污染风险的企事业单位，应当制定有关水污染事故的应急方案，做好应急准备，并定期进行演练，做好突发水污染事故应急处置和事后恢复等工作。有水环境污染风险的企事业单位，生产、储存危险化学品的企事业单位，应当采取措施，防止在应急处置过程中产生的消防废水、废液直接排入水体。</w:t>
                  </w:r>
                </w:p>
              </w:tc>
              <w:tc>
                <w:tcPr>
                  <w:tcW w:w="1332" w:type="pct"/>
                  <w:gridSpan w:val="4"/>
                  <w:tcBorders>
                    <w:tl2br w:val="nil"/>
                    <w:tr2bl w:val="nil"/>
                  </w:tcBorders>
                  <w:noWrap w:val="0"/>
                  <w:vAlign w:val="center"/>
                </w:tcPr>
                <w:p w14:paraId="52740A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rPr>
                    <w:t>项目建设完成后</w:t>
                  </w:r>
                  <w:r>
                    <w:rPr>
                      <w:rFonts w:hint="default" w:ascii="Times New Roman" w:hAnsi="Times New Roman" w:cs="Times New Roman"/>
                      <w:color w:val="auto"/>
                      <w:sz w:val="21"/>
                      <w:szCs w:val="21"/>
                      <w:highlight w:val="none"/>
                      <w:lang w:val="en-US" w:eastAsia="zh-CN"/>
                    </w:rPr>
                    <w:t>按照相关规定完善环境风险应急措施</w:t>
                  </w:r>
                  <w:r>
                    <w:rPr>
                      <w:rFonts w:hint="default" w:ascii="Times New Roman" w:hAnsi="Times New Roman" w:eastAsia="宋体" w:cs="Times New Roman"/>
                      <w:color w:val="auto"/>
                      <w:sz w:val="21"/>
                      <w:szCs w:val="21"/>
                      <w:highlight w:val="none"/>
                      <w:lang w:val="en-US" w:eastAsia="zh-CN"/>
                    </w:rPr>
                    <w:t>，与园区、政府构成三级环境风险防控体系</w:t>
                  </w:r>
                </w:p>
              </w:tc>
              <w:tc>
                <w:tcPr>
                  <w:tcW w:w="359" w:type="pct"/>
                  <w:tcBorders>
                    <w:tl2br w:val="nil"/>
                    <w:tr2bl w:val="nil"/>
                  </w:tcBorders>
                  <w:noWrap w:val="0"/>
                  <w:vAlign w:val="center"/>
                </w:tcPr>
                <w:p w14:paraId="4F846B4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符合</w:t>
                  </w:r>
                </w:p>
              </w:tc>
            </w:tr>
            <w:tr w14:paraId="6E45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23C543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环境管控单元编码</w:t>
                  </w:r>
                </w:p>
              </w:tc>
              <w:tc>
                <w:tcPr>
                  <w:tcW w:w="2475" w:type="pct"/>
                  <w:tcBorders>
                    <w:tl2br w:val="nil"/>
                    <w:tr2bl w:val="nil"/>
                  </w:tcBorders>
                  <w:noWrap w:val="0"/>
                  <w:vAlign w:val="center"/>
                </w:tcPr>
                <w:p w14:paraId="5FB181F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环境管控单元名称</w:t>
                  </w:r>
                </w:p>
              </w:tc>
              <w:tc>
                <w:tcPr>
                  <w:tcW w:w="1692" w:type="pct"/>
                  <w:gridSpan w:val="5"/>
                  <w:tcBorders>
                    <w:tl2br w:val="nil"/>
                    <w:tr2bl w:val="nil"/>
                  </w:tcBorders>
                  <w:noWrap w:val="0"/>
                  <w:vAlign w:val="center"/>
                </w:tcPr>
                <w:p w14:paraId="0ACD636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管控单元分类</w:t>
                  </w:r>
                </w:p>
              </w:tc>
            </w:tr>
            <w:tr w14:paraId="5540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121AAAC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YS4402812540001</w:t>
                  </w:r>
                </w:p>
              </w:tc>
              <w:tc>
                <w:tcPr>
                  <w:tcW w:w="2475" w:type="pct"/>
                  <w:tcBorders>
                    <w:tl2br w:val="nil"/>
                    <w:tr2bl w:val="nil"/>
                  </w:tcBorders>
                  <w:noWrap w:val="0"/>
                  <w:vAlign w:val="center"/>
                </w:tcPr>
                <w:p w14:paraId="1228750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乐昌市高污染燃料禁燃区</w:t>
                  </w:r>
                </w:p>
              </w:tc>
              <w:tc>
                <w:tcPr>
                  <w:tcW w:w="1692" w:type="pct"/>
                  <w:gridSpan w:val="5"/>
                  <w:tcBorders>
                    <w:tl2br w:val="nil"/>
                    <w:tr2bl w:val="nil"/>
                  </w:tcBorders>
                  <w:noWrap w:val="0"/>
                  <w:vAlign w:val="center"/>
                </w:tcPr>
                <w:p w14:paraId="18B9229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color w:val="auto"/>
                      <w:sz w:val="21"/>
                      <w:szCs w:val="21"/>
                      <w:highlight w:val="none"/>
                    </w:rPr>
                    <w:t>重点管控区</w:t>
                  </w:r>
                </w:p>
              </w:tc>
            </w:tr>
            <w:tr w14:paraId="29E3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261B062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管控维度</w:t>
                  </w:r>
                </w:p>
              </w:tc>
              <w:tc>
                <w:tcPr>
                  <w:tcW w:w="2475" w:type="pct"/>
                  <w:tcBorders>
                    <w:tl2br w:val="nil"/>
                    <w:tr2bl w:val="nil"/>
                  </w:tcBorders>
                  <w:noWrap w:val="0"/>
                  <w:vAlign w:val="center"/>
                </w:tcPr>
                <w:p w14:paraId="59BFF17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kern w:val="0"/>
                      <w:sz w:val="21"/>
                      <w:szCs w:val="21"/>
                      <w:highlight w:val="none"/>
                      <w:lang w:val="en-US" w:eastAsia="zh-CN" w:bidi="ar"/>
                    </w:rPr>
                    <w:t>管控要求</w:t>
                  </w:r>
                </w:p>
              </w:tc>
              <w:tc>
                <w:tcPr>
                  <w:tcW w:w="1332" w:type="pct"/>
                  <w:gridSpan w:val="4"/>
                  <w:tcBorders>
                    <w:tl2br w:val="nil"/>
                    <w:tr2bl w:val="nil"/>
                  </w:tcBorders>
                  <w:noWrap w:val="0"/>
                  <w:vAlign w:val="center"/>
                </w:tcPr>
                <w:p w14:paraId="310CCA8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bidi="ar"/>
                    </w:rPr>
                    <w:t>项目情况</w:t>
                  </w:r>
                </w:p>
              </w:tc>
              <w:tc>
                <w:tcPr>
                  <w:tcW w:w="359" w:type="pct"/>
                  <w:tcBorders>
                    <w:tl2br w:val="nil"/>
                    <w:tr2bl w:val="nil"/>
                  </w:tcBorders>
                  <w:noWrap w:val="0"/>
                  <w:vAlign w:val="center"/>
                </w:tcPr>
                <w:p w14:paraId="588E38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b/>
                      <w:bCs/>
                      <w:color w:val="auto"/>
                      <w:sz w:val="21"/>
                      <w:szCs w:val="21"/>
                      <w:highlight w:val="none"/>
                      <w:lang w:val="en-US" w:eastAsia="zh-CN"/>
                    </w:rPr>
                    <w:t>相</w:t>
                  </w:r>
                  <w:r>
                    <w:rPr>
                      <w:rFonts w:hint="default" w:ascii="Times New Roman" w:hAnsi="Times New Roman" w:cs="Times New Roman"/>
                      <w:b/>
                      <w:bCs/>
                      <w:color w:val="auto"/>
                      <w:sz w:val="21"/>
                      <w:szCs w:val="21"/>
                      <w:highlight w:val="none"/>
                    </w:rPr>
                    <w:t>符性</w:t>
                  </w:r>
                </w:p>
              </w:tc>
            </w:tr>
            <w:tr w14:paraId="151F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643AB2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区域布局管控</w:t>
                  </w:r>
                </w:p>
              </w:tc>
              <w:tc>
                <w:tcPr>
                  <w:tcW w:w="2475" w:type="pct"/>
                  <w:tcBorders>
                    <w:tl2br w:val="nil"/>
                    <w:tr2bl w:val="nil"/>
                  </w:tcBorders>
                  <w:noWrap w:val="0"/>
                  <w:vAlign w:val="center"/>
                </w:tcPr>
                <w:p w14:paraId="1F2D59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禁止新、扩建燃用高污染燃料的设施</w:t>
                  </w:r>
                </w:p>
              </w:tc>
              <w:tc>
                <w:tcPr>
                  <w:tcW w:w="1332" w:type="pct"/>
                  <w:gridSpan w:val="4"/>
                  <w:tcBorders>
                    <w:tl2br w:val="nil"/>
                    <w:tr2bl w:val="nil"/>
                  </w:tcBorders>
                  <w:noWrap w:val="0"/>
                  <w:vAlign w:val="center"/>
                </w:tcPr>
                <w:p w14:paraId="6D177F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本项目使用电能、天然气，不使用高污染燃料。</w:t>
                  </w:r>
                </w:p>
              </w:tc>
              <w:tc>
                <w:tcPr>
                  <w:tcW w:w="359" w:type="pct"/>
                  <w:tcBorders>
                    <w:tl2br w:val="nil"/>
                    <w:tr2bl w:val="nil"/>
                  </w:tcBorders>
                  <w:noWrap w:val="0"/>
                  <w:vAlign w:val="center"/>
                </w:tcPr>
                <w:p w14:paraId="40C4414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79F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55CAE0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能源资源利用</w:t>
                  </w:r>
                </w:p>
              </w:tc>
              <w:tc>
                <w:tcPr>
                  <w:tcW w:w="2475" w:type="pct"/>
                  <w:tcBorders>
                    <w:tl2br w:val="nil"/>
                    <w:tr2bl w:val="nil"/>
                  </w:tcBorders>
                  <w:noWrap w:val="0"/>
                  <w:vAlign w:val="center"/>
                </w:tcPr>
                <w:p w14:paraId="00AA16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在禁燃区内，禁止销售、燃用高污染燃料；已建成的高污染燃料设施应当改用天然气、页岩气、液化石油气、电等清洁能源。</w:t>
                  </w:r>
                </w:p>
              </w:tc>
              <w:tc>
                <w:tcPr>
                  <w:tcW w:w="1332" w:type="pct"/>
                  <w:gridSpan w:val="4"/>
                  <w:tcBorders>
                    <w:tl2br w:val="nil"/>
                    <w:tr2bl w:val="nil"/>
                  </w:tcBorders>
                  <w:noWrap w:val="0"/>
                  <w:vAlign w:val="center"/>
                </w:tcPr>
                <w:p w14:paraId="5643D1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本项目使用电能和天然气，不销售、不使用高污染燃料。</w:t>
                  </w:r>
                </w:p>
              </w:tc>
              <w:tc>
                <w:tcPr>
                  <w:tcW w:w="359" w:type="pct"/>
                  <w:tcBorders>
                    <w:tl2br w:val="nil"/>
                    <w:tr2bl w:val="nil"/>
                  </w:tcBorders>
                  <w:noWrap w:val="0"/>
                  <w:vAlign w:val="center"/>
                </w:tcPr>
                <w:p w14:paraId="681500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2CD5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32" w:type="pct"/>
                  <w:gridSpan w:val="3"/>
                  <w:tcBorders>
                    <w:tl2br w:val="nil"/>
                    <w:tr2bl w:val="nil"/>
                  </w:tcBorders>
                  <w:noWrap w:val="0"/>
                  <w:vAlign w:val="center"/>
                </w:tcPr>
                <w:p w14:paraId="3EB86A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污染物排放管控</w:t>
                  </w:r>
                </w:p>
              </w:tc>
              <w:tc>
                <w:tcPr>
                  <w:tcW w:w="2475" w:type="pct"/>
                  <w:tcBorders>
                    <w:tl2br w:val="nil"/>
                    <w:tr2bl w:val="nil"/>
                  </w:tcBorders>
                  <w:noWrap w:val="0"/>
                  <w:vAlign w:val="center"/>
                </w:tcPr>
                <w:p w14:paraId="66E9BA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禁燃区内使用生物质成型燃料锅炉和气化供热项目的，污染物排放浓度要达到或优于</w:t>
                  </w:r>
                  <w:r>
                    <w:rPr>
                      <w:rFonts w:hint="eastAsia" w:ascii="Times New Roman" w:hAnsi="Times New Roman" w:eastAsia="宋体" w:cs="Times New Roman"/>
                      <w:color w:val="auto"/>
                      <w:sz w:val="21"/>
                      <w:szCs w:val="21"/>
                      <w:highlight w:val="none"/>
                      <w:lang w:eastAsia="zh-CN"/>
                    </w:rPr>
                    <w:t>天然气</w:t>
                  </w:r>
                  <w:r>
                    <w:rPr>
                      <w:rFonts w:hint="default" w:ascii="Times New Roman" w:hAnsi="Times New Roman" w:eastAsia="宋体" w:cs="Times New Roman"/>
                      <w:color w:val="auto"/>
                      <w:sz w:val="21"/>
                      <w:szCs w:val="21"/>
                      <w:highlight w:val="none"/>
                    </w:rPr>
                    <w:t>锅炉对应的大气污染物排放标准（折算基准氧含量排放浓度时，生物质成型燃料锅炉按9%执行，生物质气化供热项目按3.5%执行）。</w:t>
                  </w:r>
                </w:p>
              </w:tc>
              <w:tc>
                <w:tcPr>
                  <w:tcW w:w="1332" w:type="pct"/>
                  <w:gridSpan w:val="4"/>
                  <w:tcBorders>
                    <w:tl2br w:val="nil"/>
                    <w:tr2bl w:val="nil"/>
                  </w:tcBorders>
                  <w:noWrap w:val="0"/>
                  <w:vAlign w:val="center"/>
                </w:tcPr>
                <w:p w14:paraId="1CE55E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bidi="ar"/>
                    </w:rPr>
                    <w:t>本项目不涉及</w:t>
                  </w:r>
                </w:p>
              </w:tc>
              <w:tc>
                <w:tcPr>
                  <w:tcW w:w="359" w:type="pct"/>
                  <w:tcBorders>
                    <w:tl2br w:val="nil"/>
                    <w:tr2bl w:val="nil"/>
                  </w:tcBorders>
                  <w:noWrap w:val="0"/>
                  <w:vAlign w:val="center"/>
                </w:tcPr>
                <w:p w14:paraId="7FCF07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580E9C77">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color w:val="auto"/>
                <w:highlight w:val="none"/>
              </w:rPr>
            </w:pPr>
          </w:p>
          <w:p w14:paraId="0C2ADE5E">
            <w:pPr>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r>
              <w:rPr>
                <w:rFonts w:hint="eastAsia" w:ascii="Times New Roman" w:hAnsi="Times New Roman" w:eastAsia="宋体" w:cs="Times New Roman"/>
                <w:b w:val="0"/>
                <w:bCs w:val="0"/>
                <w:color w:val="auto"/>
                <w:kern w:val="0"/>
                <w:sz w:val="24"/>
                <w:highlight w:val="none"/>
                <w:lang w:val="en-US" w:eastAsia="zh-CN"/>
              </w:rPr>
              <w:t>综上，项目符合《韶关市人民政府关于印发韶关市“三线一单”生态环境分区管控方案的通知》（韶府〔2021〕10号）、《韶关市生态环境分区管控动态更新成果》的相关要求。</w:t>
            </w:r>
          </w:p>
          <w:p w14:paraId="37F7D133">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7、与</w:t>
            </w:r>
            <w:r>
              <w:rPr>
                <w:rFonts w:hint="default" w:ascii="Times New Roman" w:hAnsi="Times New Roman" w:eastAsia="宋体" w:cs="Times New Roman"/>
                <w:b/>
                <w:bCs/>
                <w:color w:val="auto"/>
                <w:kern w:val="0"/>
                <w:sz w:val="24"/>
                <w:highlight w:val="none"/>
                <w:lang w:val="en-US" w:eastAsia="zh-CN"/>
              </w:rPr>
              <w:t>《关于印发</w:t>
            </w:r>
            <w:r>
              <w:rPr>
                <w:rFonts w:hint="eastAsia" w:ascii="Times New Roman" w:hAnsi="Times New Roman" w:eastAsia="宋体" w:cs="Times New Roman"/>
                <w:b/>
                <w:bCs/>
                <w:color w:val="auto"/>
                <w:kern w:val="0"/>
                <w:sz w:val="24"/>
                <w:highlight w:val="none"/>
                <w:lang w:val="en-US" w:eastAsia="zh-CN"/>
              </w:rPr>
              <w:t>〈</w:t>
            </w:r>
            <w:r>
              <w:rPr>
                <w:rFonts w:hint="default" w:ascii="Times New Roman" w:hAnsi="Times New Roman" w:eastAsia="宋体" w:cs="Times New Roman"/>
                <w:b/>
                <w:bCs/>
                <w:color w:val="auto"/>
                <w:kern w:val="0"/>
                <w:sz w:val="24"/>
                <w:highlight w:val="none"/>
                <w:lang w:val="en-US" w:eastAsia="zh-CN"/>
              </w:rPr>
              <w:t>广东省生态环境保护“十四五”规划</w:t>
            </w:r>
            <w:r>
              <w:rPr>
                <w:rFonts w:hint="eastAsia" w:ascii="Times New Roman" w:hAnsi="Times New Roman" w:eastAsia="宋体" w:cs="Times New Roman"/>
                <w:b/>
                <w:bCs/>
                <w:color w:val="auto"/>
                <w:kern w:val="0"/>
                <w:sz w:val="24"/>
                <w:highlight w:val="none"/>
                <w:lang w:val="en-US" w:eastAsia="zh-CN"/>
              </w:rPr>
              <w:t>〉的通知》</w:t>
            </w:r>
            <w:r>
              <w:rPr>
                <w:rFonts w:hint="default" w:ascii="Times New Roman" w:hAnsi="Times New Roman" w:eastAsia="宋体" w:cs="Times New Roman"/>
                <w:b/>
                <w:bCs/>
                <w:color w:val="auto"/>
                <w:kern w:val="0"/>
                <w:sz w:val="24"/>
                <w:highlight w:val="none"/>
                <w:lang w:val="en-US" w:eastAsia="zh-CN"/>
              </w:rPr>
              <w:t>（粤环〔2021〕10号）</w:t>
            </w:r>
            <w:r>
              <w:rPr>
                <w:rFonts w:hint="eastAsia" w:ascii="Times New Roman" w:hAnsi="Times New Roman" w:eastAsia="宋体" w:cs="Times New Roman"/>
                <w:b/>
                <w:bCs/>
                <w:color w:val="auto"/>
                <w:kern w:val="0"/>
                <w:sz w:val="24"/>
                <w:highlight w:val="none"/>
                <w:lang w:val="en-US" w:eastAsia="zh-CN"/>
              </w:rPr>
              <w:t>相符性</w:t>
            </w:r>
          </w:p>
          <w:p w14:paraId="002370F2">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广东省生态环境保护“十四五”规划》要求：新建高能耗项目单位产品（产值）能耗达到国际国内先进水平。大力推进低VOCs含量原辅材料源头替代，严格落实国家和地方产品VOCs含量限值质量标准，禁止建设生产和使用高VOCs含量的溶剂型涂料、油墨、胶粘剂等项目。强化对企业涉VOCs生产车间/工序废气的收集管理，推动企业开展治理设施升级改造。</w:t>
            </w:r>
          </w:p>
          <w:p w14:paraId="28756D26">
            <w:pPr>
              <w:pStyle w:val="24"/>
              <w:ind w:firstLine="482"/>
              <w:rPr>
                <w:rFonts w:hint="eastAsia" w:eastAsia="宋体"/>
                <w:b w:val="0"/>
                <w:bCs w:val="0"/>
                <w:color w:val="auto"/>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项目使用</w:t>
            </w:r>
            <w:r>
              <w:rPr>
                <w:rFonts w:hint="eastAsia" w:ascii="Times New Roman" w:hAnsi="Times New Roman" w:eastAsia="宋体" w:cs="Times New Roman"/>
                <w:b w:val="0"/>
                <w:bCs w:val="0"/>
                <w:color w:val="auto"/>
                <w:kern w:val="0"/>
                <w:sz w:val="24"/>
                <w:highlight w:val="none"/>
                <w:lang w:val="en-US" w:eastAsia="zh-CN"/>
              </w:rPr>
              <w:t>的</w:t>
            </w:r>
            <w:r>
              <w:rPr>
                <w:rFonts w:hint="eastAsia" w:cs="Times New Roman"/>
                <w:b w:val="0"/>
                <w:bCs w:val="0"/>
                <w:color w:val="auto"/>
                <w:kern w:val="0"/>
                <w:sz w:val="24"/>
                <w:highlight w:val="none"/>
                <w:lang w:val="en-US" w:eastAsia="zh-CN"/>
              </w:rPr>
              <w:t>油漆符合《低挥发性有机化合物含量涂料产品技术要求》（GB/T38597-2020）溶剂型涂料-工业防护涂料-金属基层防腐涂料-单组分：≤500g/L限值要求，</w:t>
            </w:r>
            <w:r>
              <w:rPr>
                <w:rFonts w:hint="eastAsia" w:ascii="Times New Roman" w:hAnsi="Times New Roman" w:eastAsia="宋体" w:cs="Times New Roman"/>
                <w:b w:val="0"/>
                <w:bCs w:val="0"/>
                <w:color w:val="auto"/>
                <w:kern w:val="0"/>
                <w:sz w:val="24"/>
                <w:highlight w:val="none"/>
                <w:lang w:val="en-US" w:eastAsia="zh-CN"/>
              </w:rPr>
              <w:t>不属于</w:t>
            </w:r>
            <w:r>
              <w:rPr>
                <w:rFonts w:hint="default" w:ascii="Times New Roman" w:hAnsi="Times New Roman" w:eastAsia="宋体" w:cs="Times New Roman"/>
                <w:b w:val="0"/>
                <w:bCs w:val="0"/>
                <w:color w:val="auto"/>
                <w:kern w:val="0"/>
                <w:sz w:val="24"/>
                <w:highlight w:val="none"/>
                <w:lang w:val="en-US" w:eastAsia="zh-CN"/>
              </w:rPr>
              <w:t>高VOCs含量的溶剂型涂料。</w:t>
            </w:r>
            <w:r>
              <w:rPr>
                <w:rFonts w:hint="eastAsia" w:eastAsia="宋体"/>
                <w:b w:val="0"/>
                <w:bCs w:val="0"/>
                <w:color w:val="auto"/>
                <w:sz w:val="24"/>
                <w:highlight w:val="none"/>
                <w:lang w:val="en-US" w:eastAsia="zh-CN"/>
              </w:rPr>
              <w:t>本项目</w:t>
            </w:r>
            <w:r>
              <w:rPr>
                <w:rFonts w:hint="eastAsia"/>
                <w:b w:val="0"/>
                <w:bCs w:val="0"/>
                <w:color w:val="auto"/>
                <w:sz w:val="24"/>
                <w:highlight w:val="none"/>
                <w:lang w:val="en-US" w:eastAsia="zh-CN"/>
              </w:rPr>
              <w:t>需使用</w:t>
            </w:r>
            <w:r>
              <w:rPr>
                <w:rFonts w:hint="eastAsia" w:eastAsia="宋体"/>
                <w:b w:val="0"/>
                <w:bCs w:val="0"/>
                <w:color w:val="auto"/>
                <w:sz w:val="24"/>
                <w:highlight w:val="none"/>
                <w:lang w:val="en-US" w:eastAsia="zh-CN"/>
              </w:rPr>
              <w:t>喷枪清洗剂，</w:t>
            </w:r>
            <w:r>
              <w:rPr>
                <w:rFonts w:hint="eastAsia"/>
                <w:b w:val="0"/>
                <w:bCs w:val="0"/>
                <w:color w:val="auto"/>
                <w:sz w:val="24"/>
                <w:highlight w:val="none"/>
                <w:lang w:val="en-US" w:eastAsia="zh-CN"/>
              </w:rPr>
              <w:t>根据物料MSDS，主要成分为乙酸乙酯、乙酸正丁酯，不含苯、甲苯、乙苯、二甲苯、二氯甲烷、三氯甲烷、三氯乙烯、四氯乙烯和甲醛。清洗剂</w:t>
            </w:r>
            <w:r>
              <w:rPr>
                <w:rFonts w:hint="eastAsia" w:eastAsia="宋体"/>
                <w:b w:val="0"/>
                <w:bCs w:val="0"/>
                <w:color w:val="auto"/>
                <w:sz w:val="24"/>
                <w:highlight w:val="none"/>
                <w:lang w:val="en-US" w:eastAsia="zh-CN"/>
              </w:rPr>
              <w:t>相对密度</w:t>
            </w:r>
            <w:r>
              <w:rPr>
                <w:rFonts w:hint="eastAsia"/>
                <w:b w:val="0"/>
                <w:bCs w:val="0"/>
                <w:color w:val="auto"/>
                <w:sz w:val="24"/>
                <w:highlight w:val="none"/>
                <w:lang w:val="en-US" w:eastAsia="zh-CN"/>
              </w:rPr>
              <w:t>为0.828</w:t>
            </w:r>
            <w:r>
              <w:rPr>
                <w:rFonts w:hint="eastAsia" w:eastAsia="宋体"/>
                <w:b w:val="0"/>
                <w:bCs w:val="0"/>
                <w:color w:val="auto"/>
                <w:sz w:val="24"/>
                <w:highlight w:val="none"/>
                <w:lang w:val="en-US" w:eastAsia="zh-CN"/>
              </w:rPr>
              <w:t>；按其有机物组分 100%挥发计算， VOC 含量约</w:t>
            </w:r>
            <w:r>
              <w:rPr>
                <w:rFonts w:hint="eastAsia"/>
                <w:b w:val="0"/>
                <w:bCs w:val="0"/>
                <w:color w:val="auto"/>
                <w:sz w:val="24"/>
                <w:highlight w:val="none"/>
                <w:lang w:val="en-US" w:eastAsia="zh-CN"/>
              </w:rPr>
              <w:t>为828</w:t>
            </w:r>
            <w:r>
              <w:rPr>
                <w:rFonts w:hint="eastAsia" w:eastAsia="宋体"/>
                <w:b w:val="0"/>
                <w:bCs w:val="0"/>
                <w:color w:val="auto"/>
                <w:sz w:val="24"/>
                <w:highlight w:val="none"/>
                <w:lang w:val="en-US" w:eastAsia="zh-CN"/>
              </w:rPr>
              <w:t>g/L</w:t>
            </w:r>
            <w:r>
              <w:rPr>
                <w:rFonts w:hint="eastAsia"/>
                <w:b w:val="0"/>
                <w:bCs w:val="0"/>
                <w:color w:val="auto"/>
                <w:sz w:val="24"/>
                <w:highlight w:val="none"/>
                <w:lang w:val="en-US" w:eastAsia="zh-CN"/>
              </w:rPr>
              <w:t>，</w:t>
            </w:r>
            <w:r>
              <w:rPr>
                <w:rFonts w:hint="eastAsia" w:eastAsia="宋体"/>
                <w:b w:val="0"/>
                <w:bCs w:val="0"/>
                <w:color w:val="auto"/>
                <w:sz w:val="24"/>
                <w:highlight w:val="none"/>
                <w:lang w:val="en-US" w:eastAsia="zh-CN"/>
              </w:rPr>
              <w:t>可以满足《清洗剂挥发性有机化合物含量限值》（GB38508-2020）中有机溶剂清洗剂 VOC 含量限值（≤ 900g/L）</w:t>
            </w:r>
            <w:r>
              <w:rPr>
                <w:rFonts w:hint="eastAsia"/>
                <w:b w:val="0"/>
                <w:bCs w:val="0"/>
                <w:color w:val="auto"/>
                <w:sz w:val="24"/>
                <w:highlight w:val="none"/>
                <w:lang w:val="en-US" w:eastAsia="zh-CN"/>
              </w:rPr>
              <w:t>等相关</w:t>
            </w:r>
            <w:r>
              <w:rPr>
                <w:rFonts w:hint="eastAsia" w:eastAsia="宋体"/>
                <w:b w:val="0"/>
                <w:bCs w:val="0"/>
                <w:color w:val="auto"/>
                <w:sz w:val="24"/>
                <w:highlight w:val="none"/>
                <w:lang w:val="en-US" w:eastAsia="zh-CN"/>
              </w:rPr>
              <w:t>要求。</w:t>
            </w:r>
          </w:p>
          <w:p w14:paraId="684FA9AC">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eastAsia" w:cs="Times New Roman"/>
                <w:b w:val="0"/>
                <w:bCs w:val="0"/>
                <w:color w:val="auto"/>
                <w:kern w:val="0"/>
                <w:sz w:val="24"/>
                <w:highlight w:val="none"/>
                <w:lang w:val="en-US" w:eastAsia="zh-CN"/>
              </w:rPr>
              <w:t>固化</w:t>
            </w:r>
            <w:r>
              <w:rPr>
                <w:rFonts w:hint="default" w:ascii="Times New Roman" w:hAnsi="Times New Roman" w:eastAsia="宋体" w:cs="Times New Roman"/>
                <w:b w:val="0"/>
                <w:bCs w:val="0"/>
                <w:color w:val="auto"/>
                <w:kern w:val="0"/>
                <w:sz w:val="24"/>
                <w:highlight w:val="none"/>
                <w:lang w:val="en-US" w:eastAsia="zh-CN"/>
              </w:rPr>
              <w:t>工序采用天然气加热，产生的污染物主要有</w:t>
            </w:r>
            <w:r>
              <w:rPr>
                <w:rFonts w:hint="eastAsia" w:cs="Times New Roman"/>
                <w:b w:val="0"/>
                <w:bCs w:val="0"/>
                <w:color w:val="auto"/>
                <w:kern w:val="0"/>
                <w:sz w:val="24"/>
                <w:highlight w:val="none"/>
                <w:lang w:val="en-US" w:eastAsia="zh-CN"/>
              </w:rPr>
              <w:t>非甲烷总烃、苯系物、臭气浓度、</w:t>
            </w:r>
            <w:r>
              <w:rPr>
                <w:rFonts w:hint="default" w:ascii="Times New Roman" w:hAnsi="Times New Roman" w:eastAsia="宋体" w:cs="Times New Roman"/>
                <w:b w:val="0"/>
                <w:bCs w:val="0"/>
                <w:color w:val="auto"/>
                <w:kern w:val="0"/>
                <w:sz w:val="24"/>
                <w:highlight w:val="none"/>
                <w:lang w:val="en-US" w:eastAsia="zh-CN"/>
              </w:rPr>
              <w:t>颗粒物、二氧化硫、氮氧化物</w:t>
            </w:r>
            <w:r>
              <w:rPr>
                <w:rFonts w:hint="eastAsia" w:cs="Times New Roman"/>
                <w:b w:val="0"/>
                <w:bCs w:val="0"/>
                <w:color w:val="auto"/>
                <w:kern w:val="0"/>
                <w:sz w:val="24"/>
                <w:highlight w:val="none"/>
                <w:lang w:val="en-US" w:eastAsia="zh-CN"/>
              </w:rPr>
              <w:t>等</w:t>
            </w:r>
            <w:r>
              <w:rPr>
                <w:rFonts w:hint="default" w:ascii="Times New Roman" w:hAnsi="Times New Roman" w:eastAsia="宋体" w:cs="Times New Roman"/>
                <w:b w:val="0"/>
                <w:bCs w:val="0"/>
                <w:color w:val="auto"/>
                <w:kern w:val="0"/>
                <w:sz w:val="24"/>
                <w:highlight w:val="none"/>
                <w:lang w:val="en-US" w:eastAsia="zh-CN"/>
              </w:rPr>
              <w:t>。</w:t>
            </w:r>
            <w:r>
              <w:rPr>
                <w:rFonts w:hint="eastAsia" w:cs="Times New Roman"/>
                <w:b w:val="0"/>
                <w:bCs w:val="0"/>
                <w:color w:val="auto"/>
                <w:kern w:val="0"/>
                <w:sz w:val="24"/>
                <w:highlight w:val="none"/>
                <w:lang w:val="en-US" w:eastAsia="zh-CN"/>
              </w:rPr>
              <w:t>非甲烷总烃、</w:t>
            </w:r>
            <w:r>
              <w:rPr>
                <w:rFonts w:hint="default" w:ascii="Times New Roman" w:hAnsi="Times New Roman" w:eastAsia="宋体" w:cs="Times New Roman"/>
                <w:b w:val="0"/>
                <w:bCs w:val="0"/>
                <w:color w:val="auto"/>
                <w:kern w:val="0"/>
                <w:sz w:val="24"/>
                <w:highlight w:val="none"/>
                <w:lang w:val="en-US" w:eastAsia="zh-CN"/>
              </w:rPr>
              <w:t>氮氧化物等量替代，</w:t>
            </w:r>
            <w:r>
              <w:rPr>
                <w:rFonts w:hint="eastAsia" w:cs="Times New Roman"/>
                <w:b w:val="0"/>
                <w:bCs w:val="0"/>
                <w:color w:val="auto"/>
                <w:kern w:val="0"/>
                <w:sz w:val="24"/>
                <w:highlight w:val="none"/>
                <w:lang w:val="en-US" w:eastAsia="zh-CN"/>
              </w:rPr>
              <w:t>喷漆废气通过喷淋+干式过滤器+活性炭吸脱附+催化燃烧+活性炭吸附处理后，引至15m高的排气筒（DA001）排放；固化废气通过喷淋+干式过滤器+二级活性炭吸附处理后，引至15m高的排气筒（DA002）排放</w:t>
            </w:r>
            <w:r>
              <w:rPr>
                <w:rFonts w:hint="default" w:ascii="Times New Roman" w:hAnsi="Times New Roman" w:eastAsia="宋体" w:cs="Times New Roman"/>
                <w:b w:val="0"/>
                <w:bCs w:val="0"/>
                <w:color w:val="auto"/>
                <w:kern w:val="0"/>
                <w:sz w:val="24"/>
                <w:highlight w:val="none"/>
                <w:lang w:val="en-US" w:eastAsia="zh-CN"/>
              </w:rPr>
              <w:t>。</w:t>
            </w:r>
          </w:p>
          <w:p w14:paraId="35585BF1">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综上所述，本项目与《关于印发</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广东省生态环境保护“十四五”规划</w:t>
            </w:r>
            <w:r>
              <w:rPr>
                <w:rFonts w:hint="eastAsia" w:ascii="Times New Roman" w:hAnsi="Times New Roman" w:eastAsia="宋体" w:cs="Times New Roman"/>
                <w:b w:val="0"/>
                <w:bCs w:val="0"/>
                <w:color w:val="auto"/>
                <w:kern w:val="0"/>
                <w:sz w:val="24"/>
                <w:highlight w:val="none"/>
                <w:lang w:val="en-US" w:eastAsia="zh-CN"/>
              </w:rPr>
              <w:t>〉的通知》</w:t>
            </w:r>
            <w:r>
              <w:rPr>
                <w:rFonts w:hint="default" w:ascii="Times New Roman" w:hAnsi="Times New Roman" w:eastAsia="宋体" w:cs="Times New Roman"/>
                <w:b w:val="0"/>
                <w:bCs w:val="0"/>
                <w:color w:val="auto"/>
                <w:kern w:val="0"/>
                <w:sz w:val="24"/>
                <w:highlight w:val="none"/>
                <w:lang w:val="en-US" w:eastAsia="zh-CN"/>
              </w:rPr>
              <w:t>（粤环〔2021〕10号）相符。</w:t>
            </w:r>
          </w:p>
          <w:p w14:paraId="0E77C60F">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8</w:t>
            </w:r>
            <w:r>
              <w:rPr>
                <w:rFonts w:hint="default" w:ascii="Times New Roman" w:hAnsi="Times New Roman" w:eastAsia="宋体" w:cs="Times New Roman"/>
                <w:b/>
                <w:bCs/>
                <w:color w:val="auto"/>
                <w:kern w:val="0"/>
                <w:sz w:val="24"/>
                <w:highlight w:val="none"/>
                <w:lang w:val="en-US" w:eastAsia="zh-CN"/>
              </w:rPr>
              <w:t>、</w:t>
            </w:r>
            <w:r>
              <w:rPr>
                <w:rFonts w:hint="eastAsia" w:ascii="Times New Roman" w:hAnsi="Times New Roman" w:eastAsia="宋体" w:cs="Times New Roman"/>
                <w:b/>
                <w:bCs/>
                <w:color w:val="auto"/>
                <w:kern w:val="0"/>
                <w:sz w:val="24"/>
                <w:highlight w:val="none"/>
                <w:lang w:val="en-US" w:eastAsia="zh-CN"/>
              </w:rPr>
              <w:t>与</w:t>
            </w:r>
            <w:r>
              <w:rPr>
                <w:rFonts w:hint="default" w:ascii="Times New Roman" w:hAnsi="Times New Roman" w:eastAsia="宋体" w:cs="Times New Roman"/>
                <w:b/>
                <w:bCs/>
                <w:color w:val="auto"/>
                <w:kern w:val="0"/>
                <w:sz w:val="24"/>
                <w:highlight w:val="none"/>
                <w:lang w:val="en-US" w:eastAsia="zh-CN"/>
              </w:rPr>
              <w:t>《韶关市人民政府办公室关于印发</w:t>
            </w:r>
            <w:r>
              <w:rPr>
                <w:rFonts w:hint="eastAsia" w:ascii="Times New Roman" w:hAnsi="Times New Roman" w:eastAsia="宋体" w:cs="Times New Roman"/>
                <w:b/>
                <w:bCs/>
                <w:color w:val="auto"/>
                <w:kern w:val="0"/>
                <w:sz w:val="24"/>
                <w:highlight w:val="none"/>
                <w:lang w:val="en-US" w:eastAsia="zh-CN"/>
              </w:rPr>
              <w:t>〈</w:t>
            </w:r>
            <w:r>
              <w:rPr>
                <w:rFonts w:hint="default" w:ascii="Times New Roman" w:hAnsi="Times New Roman" w:eastAsia="宋体" w:cs="Times New Roman"/>
                <w:b/>
                <w:bCs/>
                <w:color w:val="auto"/>
                <w:kern w:val="0"/>
                <w:sz w:val="24"/>
                <w:highlight w:val="none"/>
                <w:lang w:val="en-US" w:eastAsia="zh-CN"/>
              </w:rPr>
              <w:t>韶关市生态环境保护“十四五”规划</w:t>
            </w:r>
            <w:r>
              <w:rPr>
                <w:rFonts w:hint="eastAsia" w:ascii="Times New Roman" w:hAnsi="Times New Roman" w:eastAsia="宋体" w:cs="Times New Roman"/>
                <w:b/>
                <w:bCs/>
                <w:color w:val="auto"/>
                <w:kern w:val="0"/>
                <w:sz w:val="24"/>
                <w:highlight w:val="none"/>
                <w:lang w:val="en-US" w:eastAsia="zh-CN"/>
              </w:rPr>
              <w:t>〉的通知》</w:t>
            </w:r>
            <w:r>
              <w:rPr>
                <w:rFonts w:hint="default" w:ascii="Times New Roman" w:hAnsi="Times New Roman" w:eastAsia="宋体" w:cs="Times New Roman"/>
                <w:b/>
                <w:bCs/>
                <w:color w:val="auto"/>
                <w:kern w:val="0"/>
                <w:sz w:val="24"/>
                <w:highlight w:val="none"/>
                <w:lang w:val="en-US" w:eastAsia="zh-CN"/>
              </w:rPr>
              <w:t>（韶府办〔2022〕1号）</w:t>
            </w:r>
            <w:r>
              <w:rPr>
                <w:rFonts w:hint="eastAsia" w:ascii="Times New Roman" w:hAnsi="Times New Roman" w:eastAsia="宋体" w:cs="Times New Roman"/>
                <w:b/>
                <w:bCs/>
                <w:color w:val="auto"/>
                <w:kern w:val="0"/>
                <w:sz w:val="24"/>
                <w:highlight w:val="none"/>
                <w:lang w:val="en-US" w:eastAsia="zh-CN"/>
              </w:rPr>
              <w:t>相符性</w:t>
            </w:r>
          </w:p>
          <w:p w14:paraId="1F98F474">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文件要求：深化工业源污染治理。以挥发性有机物、工业炉窑和锅炉综合治理为重点，深化工业源污染防治，健全分级管控体系，提升重点行业企业深度治理水平。深化工业炉窑和锅炉排放治理。加大工业锅炉整治力度，禁止新建35蒸吨/小时以下燃煤锅炉；推进陶瓷等行业实施深度治理，持续开展生物质成型燃料锅炉整治，推动实施燃气锅炉低氮燃烧改造。严格实施工业炉窑分级管控，全面推动B级以下工业炉窑的清洁低碳化改造、废气治理设施升级改造、全过程无组织排放管控。</w:t>
            </w:r>
          </w:p>
          <w:p w14:paraId="77213523">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项目不涉及锅炉。</w:t>
            </w:r>
            <w:r>
              <w:rPr>
                <w:rFonts w:hint="eastAsia" w:cs="Times New Roman"/>
                <w:b w:val="0"/>
                <w:bCs w:val="0"/>
                <w:color w:val="auto"/>
                <w:kern w:val="0"/>
                <w:sz w:val="24"/>
                <w:highlight w:val="none"/>
                <w:lang w:val="en-US" w:eastAsia="zh-CN"/>
              </w:rPr>
              <w:t>烘干、固化</w:t>
            </w:r>
            <w:r>
              <w:rPr>
                <w:rFonts w:hint="default" w:ascii="Times New Roman" w:hAnsi="Times New Roman" w:eastAsia="宋体" w:cs="Times New Roman"/>
                <w:b w:val="0"/>
                <w:bCs w:val="0"/>
                <w:color w:val="auto"/>
                <w:kern w:val="0"/>
                <w:sz w:val="24"/>
                <w:highlight w:val="none"/>
                <w:lang w:val="en-US" w:eastAsia="zh-CN"/>
              </w:rPr>
              <w:t>工序采用天然气</w:t>
            </w:r>
            <w:r>
              <w:rPr>
                <w:rFonts w:hint="eastAsia" w:cs="Times New Roman"/>
                <w:b w:val="0"/>
                <w:bCs w:val="0"/>
                <w:color w:val="auto"/>
                <w:kern w:val="0"/>
                <w:sz w:val="24"/>
                <w:highlight w:val="none"/>
                <w:lang w:val="en-US" w:eastAsia="zh-CN"/>
              </w:rPr>
              <w:t>燃料</w:t>
            </w:r>
            <w:r>
              <w:rPr>
                <w:rFonts w:hint="default" w:ascii="Times New Roman" w:hAnsi="Times New Roman" w:eastAsia="宋体" w:cs="Times New Roman"/>
                <w:b w:val="0"/>
                <w:bCs w:val="0"/>
                <w:color w:val="auto"/>
                <w:kern w:val="0"/>
                <w:sz w:val="24"/>
                <w:highlight w:val="none"/>
                <w:lang w:val="en-US" w:eastAsia="zh-CN"/>
              </w:rPr>
              <w:t>，产生的污染物主要有颗粒物、二氧化硫、氮氧化物。燃烧废气收集后经15m高排气筒</w:t>
            </w:r>
            <w:r>
              <w:rPr>
                <w:rFonts w:hint="eastAsia" w:cs="Times New Roman"/>
                <w:b w:val="0"/>
                <w:bCs w:val="0"/>
                <w:color w:val="auto"/>
                <w:kern w:val="0"/>
                <w:sz w:val="24"/>
                <w:highlight w:val="none"/>
                <w:lang w:val="en-US" w:eastAsia="zh-CN"/>
              </w:rPr>
              <w:t>DA002</w:t>
            </w:r>
            <w:r>
              <w:rPr>
                <w:rFonts w:hint="default" w:ascii="Times New Roman" w:hAnsi="Times New Roman" w:eastAsia="宋体" w:cs="Times New Roman"/>
                <w:b w:val="0"/>
                <w:bCs w:val="0"/>
                <w:color w:val="auto"/>
                <w:kern w:val="0"/>
                <w:sz w:val="24"/>
                <w:highlight w:val="none"/>
                <w:lang w:val="en-US" w:eastAsia="zh-CN"/>
              </w:rPr>
              <w:t>高空排放。本项目产生的工业固体废物均得到妥善处置。故本项目与韶关市人民政府办公室《关于印发</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韶关市生态环境保护“十四五”规划</w:t>
            </w:r>
            <w:r>
              <w:rPr>
                <w:rFonts w:hint="eastAsia" w:ascii="Times New Roman" w:hAnsi="Times New Roman" w:eastAsia="宋体" w:cs="Times New Roman"/>
                <w:b w:val="0"/>
                <w:bCs w:val="0"/>
                <w:color w:val="auto"/>
                <w:kern w:val="0"/>
                <w:sz w:val="24"/>
                <w:highlight w:val="none"/>
                <w:lang w:val="en-US" w:eastAsia="zh-CN"/>
              </w:rPr>
              <w:t>〉的通知》</w:t>
            </w:r>
            <w:r>
              <w:rPr>
                <w:rFonts w:hint="default" w:ascii="Times New Roman" w:hAnsi="Times New Roman" w:eastAsia="宋体" w:cs="Times New Roman"/>
                <w:b w:val="0"/>
                <w:bCs w:val="0"/>
                <w:color w:val="auto"/>
                <w:kern w:val="0"/>
                <w:sz w:val="24"/>
                <w:highlight w:val="none"/>
                <w:lang w:val="en-US" w:eastAsia="zh-CN"/>
              </w:rPr>
              <w:t>（韶府办〔2022〕1号）相符。</w:t>
            </w:r>
          </w:p>
          <w:p w14:paraId="497C0737">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cs="Times New Roman"/>
                <w:b/>
                <w:bCs/>
                <w:color w:val="auto"/>
                <w:kern w:val="0"/>
                <w:sz w:val="24"/>
                <w:highlight w:val="none"/>
                <w:lang w:val="en-US" w:eastAsia="zh-CN"/>
              </w:rPr>
              <w:t>9</w:t>
            </w:r>
            <w:r>
              <w:rPr>
                <w:rFonts w:hint="default" w:ascii="Times New Roman" w:hAnsi="Times New Roman" w:eastAsia="宋体" w:cs="Times New Roman"/>
                <w:b/>
                <w:bCs/>
                <w:color w:val="auto"/>
                <w:kern w:val="0"/>
                <w:sz w:val="24"/>
                <w:highlight w:val="none"/>
                <w:lang w:val="en-US" w:eastAsia="zh-CN"/>
              </w:rPr>
              <w:t>、</w:t>
            </w:r>
            <w:r>
              <w:rPr>
                <w:rFonts w:hint="eastAsia" w:ascii="Times New Roman" w:hAnsi="Times New Roman" w:eastAsia="宋体" w:cs="Times New Roman"/>
                <w:b/>
                <w:bCs/>
                <w:color w:val="auto"/>
                <w:kern w:val="0"/>
                <w:sz w:val="24"/>
                <w:highlight w:val="none"/>
                <w:lang w:val="en-US" w:eastAsia="zh-CN"/>
              </w:rPr>
              <w:t>与</w:t>
            </w:r>
            <w:r>
              <w:rPr>
                <w:rFonts w:hint="default" w:ascii="Times New Roman" w:hAnsi="Times New Roman" w:eastAsia="宋体" w:cs="Times New Roman"/>
                <w:b/>
                <w:bCs/>
                <w:color w:val="auto"/>
                <w:kern w:val="0"/>
                <w:sz w:val="24"/>
                <w:highlight w:val="none"/>
                <w:lang w:val="en-US" w:eastAsia="zh-CN"/>
              </w:rPr>
              <w:t>《乐昌市人民政府办公室关于印发</w:t>
            </w:r>
            <w:r>
              <w:rPr>
                <w:rFonts w:hint="eastAsia" w:ascii="Times New Roman" w:hAnsi="Times New Roman" w:eastAsia="宋体" w:cs="Times New Roman"/>
                <w:b/>
                <w:bCs/>
                <w:color w:val="auto"/>
                <w:kern w:val="0"/>
                <w:sz w:val="24"/>
                <w:highlight w:val="none"/>
                <w:lang w:val="en-US" w:eastAsia="zh-CN"/>
              </w:rPr>
              <w:t>〈</w:t>
            </w:r>
            <w:r>
              <w:rPr>
                <w:rFonts w:hint="default" w:ascii="Times New Roman" w:hAnsi="Times New Roman" w:eastAsia="宋体" w:cs="Times New Roman"/>
                <w:b/>
                <w:bCs/>
                <w:color w:val="auto"/>
                <w:kern w:val="0"/>
                <w:sz w:val="24"/>
                <w:highlight w:val="none"/>
                <w:lang w:val="en-US" w:eastAsia="zh-CN"/>
              </w:rPr>
              <w:t>乐昌市生态环境保护“十四五”规划</w:t>
            </w:r>
            <w:r>
              <w:rPr>
                <w:rFonts w:hint="eastAsia" w:cs="Times New Roman"/>
                <w:b/>
                <w:bCs/>
                <w:color w:val="auto"/>
                <w:kern w:val="0"/>
                <w:sz w:val="24"/>
                <w:highlight w:val="none"/>
                <w:lang w:val="en-US" w:eastAsia="zh-CN"/>
              </w:rPr>
              <w:t>&gt;</w:t>
            </w:r>
            <w:r>
              <w:rPr>
                <w:rFonts w:hint="default" w:ascii="Times New Roman" w:hAnsi="Times New Roman" w:eastAsia="宋体" w:cs="Times New Roman"/>
                <w:b/>
                <w:bCs/>
                <w:color w:val="auto"/>
                <w:kern w:val="0"/>
                <w:sz w:val="24"/>
                <w:highlight w:val="none"/>
                <w:lang w:val="en-US" w:eastAsia="zh-CN"/>
              </w:rPr>
              <w:t>的通知》（乐府办〔2022〕16号）</w:t>
            </w:r>
            <w:r>
              <w:rPr>
                <w:rFonts w:hint="eastAsia" w:ascii="Times New Roman" w:hAnsi="Times New Roman" w:eastAsia="宋体" w:cs="Times New Roman"/>
                <w:b/>
                <w:bCs/>
                <w:color w:val="auto"/>
                <w:kern w:val="0"/>
                <w:sz w:val="24"/>
                <w:highlight w:val="none"/>
                <w:lang w:val="en-US" w:eastAsia="zh-CN"/>
              </w:rPr>
              <w:t>相符性</w:t>
            </w:r>
          </w:p>
          <w:p w14:paraId="35CE9F32">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深化重点污染源治理，推进污染物减排。在水泥、化工、火电等行业全面执行大气污染物特别排放限值。逐步推进水泥行业实施超低排放改造，力争到2025年全市水泥（熟料）制造企业的水泥窑及窑尾余热利用系统烟气NOx排放浓度不高于100mg/m</w:t>
            </w:r>
            <w:r>
              <w:rPr>
                <w:rFonts w:hint="default" w:ascii="Times New Roman" w:hAnsi="Times New Roman" w:eastAsia="宋体" w:cs="Times New Roman"/>
                <w:b w:val="0"/>
                <w:bCs w:val="0"/>
                <w:color w:val="auto"/>
                <w:kern w:val="0"/>
                <w:sz w:val="24"/>
                <w:highlight w:val="none"/>
                <w:vertAlign w:val="superscript"/>
                <w:lang w:val="en-US" w:eastAsia="zh-CN"/>
              </w:rPr>
              <w:t>3</w:t>
            </w:r>
            <w:r>
              <w:rPr>
                <w:rFonts w:hint="default" w:ascii="Times New Roman" w:hAnsi="Times New Roman" w:eastAsia="宋体" w:cs="Times New Roman"/>
                <w:b w:val="0"/>
                <w:bCs w:val="0"/>
                <w:color w:val="auto"/>
                <w:kern w:val="0"/>
                <w:sz w:val="24"/>
                <w:highlight w:val="none"/>
                <w:lang w:val="en-US" w:eastAsia="zh-CN"/>
              </w:rPr>
              <w:t>。持续开展生物质成型燃料锅炉整治，推动实施燃气锅炉低氮燃烧改造。严格实施工业炉窑分级管控，全面推动B级以下企业工业炉窑的燃料清洁低碳化替代、废气治理设施升级改造、全过程无组织排放管控。</w:t>
            </w:r>
          </w:p>
          <w:p w14:paraId="42575D7D">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项目不涉及锅炉。</w:t>
            </w:r>
            <w:r>
              <w:rPr>
                <w:rFonts w:hint="eastAsia" w:cs="Times New Roman"/>
                <w:b w:val="0"/>
                <w:bCs w:val="0"/>
                <w:color w:val="auto"/>
                <w:kern w:val="0"/>
                <w:sz w:val="24"/>
                <w:highlight w:val="none"/>
                <w:lang w:val="en-US" w:eastAsia="zh-CN"/>
              </w:rPr>
              <w:t>烘干工序和</w:t>
            </w:r>
            <w:r>
              <w:rPr>
                <w:rFonts w:hint="default" w:ascii="Times New Roman" w:hAnsi="Times New Roman" w:eastAsia="宋体" w:cs="Times New Roman"/>
                <w:b w:val="0"/>
                <w:bCs w:val="0"/>
                <w:color w:val="auto"/>
                <w:kern w:val="0"/>
                <w:sz w:val="24"/>
                <w:highlight w:val="none"/>
                <w:lang w:val="en-US" w:eastAsia="zh-CN"/>
              </w:rPr>
              <w:t>工业炉窑</w:t>
            </w:r>
            <w:r>
              <w:rPr>
                <w:rFonts w:hint="eastAsia" w:cs="Times New Roman"/>
                <w:b w:val="0"/>
                <w:bCs w:val="0"/>
                <w:color w:val="auto"/>
                <w:kern w:val="0"/>
                <w:sz w:val="24"/>
                <w:highlight w:val="none"/>
                <w:lang w:val="en-US" w:eastAsia="zh-CN"/>
              </w:rPr>
              <w:t>固化</w:t>
            </w:r>
            <w:r>
              <w:rPr>
                <w:rFonts w:hint="default" w:ascii="Times New Roman" w:hAnsi="Times New Roman" w:eastAsia="宋体" w:cs="Times New Roman"/>
                <w:b w:val="0"/>
                <w:bCs w:val="0"/>
                <w:color w:val="auto"/>
                <w:kern w:val="0"/>
                <w:sz w:val="24"/>
                <w:highlight w:val="none"/>
                <w:lang w:val="en-US" w:eastAsia="zh-CN"/>
              </w:rPr>
              <w:t>工序采用天然气加热，产生的污染物主要有颗粒物、二氧化硫、氮氧化物。燃烧废气收集后</w:t>
            </w:r>
            <w:r>
              <w:rPr>
                <w:rFonts w:hint="eastAsia" w:cs="Times New Roman"/>
                <w:b w:val="0"/>
                <w:bCs w:val="0"/>
                <w:color w:val="auto"/>
                <w:kern w:val="0"/>
                <w:sz w:val="24"/>
                <w:highlight w:val="none"/>
                <w:lang w:val="en-US" w:eastAsia="zh-CN"/>
              </w:rPr>
              <w:t>分别</w:t>
            </w:r>
            <w:r>
              <w:rPr>
                <w:rFonts w:hint="default" w:ascii="Times New Roman" w:hAnsi="Times New Roman" w:eastAsia="宋体" w:cs="Times New Roman"/>
                <w:b w:val="0"/>
                <w:bCs w:val="0"/>
                <w:color w:val="auto"/>
                <w:kern w:val="0"/>
                <w:sz w:val="24"/>
                <w:highlight w:val="none"/>
                <w:lang w:val="en-US" w:eastAsia="zh-CN"/>
              </w:rPr>
              <w:t>经排气筒</w:t>
            </w:r>
            <w:r>
              <w:rPr>
                <w:rFonts w:hint="eastAsia" w:cs="Times New Roman"/>
                <w:b w:val="0"/>
                <w:bCs w:val="0"/>
                <w:color w:val="auto"/>
                <w:kern w:val="0"/>
                <w:sz w:val="24"/>
                <w:highlight w:val="none"/>
                <w:lang w:val="en-US" w:eastAsia="zh-CN"/>
              </w:rPr>
              <w:t>DA002、DA003</w:t>
            </w:r>
            <w:r>
              <w:rPr>
                <w:rFonts w:hint="default" w:ascii="Times New Roman" w:hAnsi="Times New Roman" w:eastAsia="宋体" w:cs="Times New Roman"/>
                <w:b w:val="0"/>
                <w:bCs w:val="0"/>
                <w:color w:val="auto"/>
                <w:kern w:val="0"/>
                <w:sz w:val="24"/>
                <w:highlight w:val="none"/>
                <w:lang w:val="en-US" w:eastAsia="zh-CN"/>
              </w:rPr>
              <w:t>高空排放。故本项目与乐昌市人民政府办公室《关于印发</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乐昌市生态环境保护“十四五”规划的通知》（乐府办〔2022〕16号）相符。</w:t>
            </w:r>
          </w:p>
          <w:p w14:paraId="7D41F57A">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cs="Times New Roman"/>
                <w:b/>
                <w:bCs/>
                <w:color w:val="auto"/>
                <w:kern w:val="0"/>
                <w:sz w:val="24"/>
                <w:highlight w:val="none"/>
                <w:lang w:val="en-US" w:eastAsia="zh-CN"/>
              </w:rPr>
              <w:t>10</w:t>
            </w:r>
            <w:r>
              <w:rPr>
                <w:rFonts w:hint="default" w:ascii="Times New Roman" w:hAnsi="Times New Roman" w:eastAsia="宋体" w:cs="Times New Roman"/>
                <w:b/>
                <w:bCs/>
                <w:color w:val="auto"/>
                <w:kern w:val="0"/>
                <w:sz w:val="24"/>
                <w:highlight w:val="none"/>
                <w:lang w:val="en-US" w:eastAsia="zh-CN"/>
              </w:rPr>
              <w:t>、</w:t>
            </w:r>
            <w:r>
              <w:rPr>
                <w:rFonts w:hint="eastAsia" w:cs="Times New Roman"/>
                <w:b/>
                <w:bCs/>
                <w:color w:val="auto"/>
                <w:kern w:val="0"/>
                <w:sz w:val="24"/>
                <w:highlight w:val="none"/>
                <w:lang w:val="en-US" w:eastAsia="zh-CN"/>
              </w:rPr>
              <w:t>与</w:t>
            </w:r>
            <w:r>
              <w:rPr>
                <w:rFonts w:hint="default" w:ascii="Times New Roman" w:hAnsi="Times New Roman" w:eastAsia="宋体" w:cs="Times New Roman"/>
                <w:b/>
                <w:bCs/>
                <w:color w:val="auto"/>
                <w:kern w:val="0"/>
                <w:sz w:val="24"/>
                <w:highlight w:val="none"/>
                <w:lang w:val="en-US" w:eastAsia="zh-CN"/>
              </w:rPr>
              <w:t>环境保护部《关于印发</w:t>
            </w:r>
            <w:r>
              <w:rPr>
                <w:rFonts w:hint="eastAsia" w:ascii="Times New Roman" w:hAnsi="Times New Roman" w:eastAsia="宋体" w:cs="Times New Roman"/>
                <w:b/>
                <w:bCs/>
                <w:color w:val="auto"/>
                <w:kern w:val="0"/>
                <w:sz w:val="24"/>
                <w:highlight w:val="none"/>
                <w:lang w:val="en-US" w:eastAsia="zh-CN"/>
              </w:rPr>
              <w:t>〈</w:t>
            </w:r>
            <w:r>
              <w:rPr>
                <w:rFonts w:hint="default" w:ascii="Times New Roman" w:hAnsi="Times New Roman" w:eastAsia="宋体" w:cs="Times New Roman"/>
                <w:b/>
                <w:bCs/>
                <w:color w:val="auto"/>
                <w:kern w:val="0"/>
                <w:sz w:val="24"/>
                <w:highlight w:val="none"/>
                <w:lang w:val="en-US" w:eastAsia="zh-CN"/>
              </w:rPr>
              <w:t>重点行业挥发性有机物综合治理方案</w:t>
            </w:r>
            <w:r>
              <w:rPr>
                <w:rFonts w:hint="eastAsia" w:ascii="Times New Roman" w:hAnsi="Times New Roman" w:eastAsia="宋体" w:cs="Times New Roman"/>
                <w:b/>
                <w:bCs/>
                <w:color w:val="auto"/>
                <w:kern w:val="0"/>
                <w:sz w:val="24"/>
                <w:highlight w:val="none"/>
                <w:lang w:val="en-US" w:eastAsia="zh-CN"/>
              </w:rPr>
              <w:t>〉的通知》</w:t>
            </w:r>
            <w:r>
              <w:rPr>
                <w:rFonts w:hint="default" w:ascii="Times New Roman" w:hAnsi="Times New Roman" w:eastAsia="宋体" w:cs="Times New Roman"/>
                <w:b/>
                <w:bCs/>
                <w:color w:val="auto"/>
                <w:kern w:val="0"/>
                <w:sz w:val="24"/>
                <w:highlight w:val="none"/>
                <w:lang w:val="en-US" w:eastAsia="zh-CN"/>
              </w:rPr>
              <w:t>（环大气〔2019〕53号）</w:t>
            </w:r>
            <w:r>
              <w:rPr>
                <w:rFonts w:hint="eastAsia" w:cs="Times New Roman"/>
                <w:b/>
                <w:bCs/>
                <w:color w:val="auto"/>
                <w:kern w:val="0"/>
                <w:sz w:val="24"/>
                <w:highlight w:val="none"/>
                <w:lang w:val="en-US" w:eastAsia="zh-CN"/>
              </w:rPr>
              <w:t>相符性</w:t>
            </w:r>
          </w:p>
          <w:p w14:paraId="446DBFF0">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文件中提出：“大力推进源头替代。化工行业要推广使用低（无）VOCs含量、低反应活性的原辅材料。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推进建设适宜高效的治污设施。”</w:t>
            </w:r>
          </w:p>
          <w:p w14:paraId="151C3D5D">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本项目</w:t>
            </w:r>
            <w:r>
              <w:rPr>
                <w:rFonts w:hint="eastAsia" w:cs="Times New Roman"/>
                <w:b w:val="0"/>
                <w:bCs w:val="0"/>
                <w:color w:val="auto"/>
                <w:kern w:val="0"/>
                <w:sz w:val="24"/>
                <w:highlight w:val="none"/>
                <w:lang w:val="en-US" w:eastAsia="zh-CN"/>
              </w:rPr>
              <w:t>所用涉VOCs的</w:t>
            </w:r>
            <w:r>
              <w:rPr>
                <w:rFonts w:hint="default" w:ascii="Times New Roman" w:hAnsi="Times New Roman" w:eastAsia="宋体" w:cs="Times New Roman"/>
                <w:b w:val="0"/>
                <w:bCs w:val="0"/>
                <w:color w:val="auto"/>
                <w:kern w:val="0"/>
                <w:sz w:val="24"/>
                <w:highlight w:val="none"/>
                <w:lang w:val="en-US" w:eastAsia="zh-CN"/>
              </w:rPr>
              <w:t>原料</w:t>
            </w:r>
            <w:r>
              <w:rPr>
                <w:rFonts w:hint="eastAsia" w:cs="Times New Roman"/>
                <w:b w:val="0"/>
                <w:bCs w:val="0"/>
                <w:color w:val="auto"/>
                <w:kern w:val="0"/>
                <w:sz w:val="24"/>
                <w:highlight w:val="none"/>
                <w:lang w:val="en-US" w:eastAsia="zh-CN"/>
              </w:rPr>
              <w:t>为低</w:t>
            </w:r>
            <w:r>
              <w:rPr>
                <w:rFonts w:hint="default" w:ascii="Times New Roman" w:hAnsi="Times New Roman" w:eastAsia="宋体" w:cs="Times New Roman"/>
                <w:b w:val="0"/>
                <w:bCs w:val="0"/>
                <w:color w:val="auto"/>
                <w:kern w:val="0"/>
                <w:sz w:val="24"/>
                <w:highlight w:val="none"/>
                <w:lang w:val="en-US" w:eastAsia="zh-CN"/>
              </w:rPr>
              <w:t>VOCs</w:t>
            </w:r>
            <w:r>
              <w:rPr>
                <w:rFonts w:hint="eastAsia" w:cs="Times New Roman"/>
                <w:b w:val="0"/>
                <w:bCs w:val="0"/>
                <w:color w:val="auto"/>
                <w:kern w:val="0"/>
                <w:sz w:val="24"/>
                <w:highlight w:val="none"/>
                <w:lang w:val="en-US" w:eastAsia="zh-CN"/>
              </w:rPr>
              <w:t>含量</w:t>
            </w:r>
            <w:r>
              <w:rPr>
                <w:rFonts w:hint="default" w:ascii="Times New Roman" w:hAnsi="Times New Roman" w:eastAsia="宋体" w:cs="Times New Roman"/>
                <w:b w:val="0"/>
                <w:bCs w:val="0"/>
                <w:color w:val="auto"/>
                <w:kern w:val="0"/>
                <w:sz w:val="24"/>
                <w:highlight w:val="none"/>
                <w:lang w:val="en-US" w:eastAsia="zh-CN"/>
              </w:rPr>
              <w:t>物料，可从源头有效控制VOCs排放，</w:t>
            </w:r>
            <w:r>
              <w:rPr>
                <w:rFonts w:hint="eastAsia" w:cs="Times New Roman"/>
                <w:b w:val="0"/>
                <w:bCs w:val="0"/>
                <w:color w:val="auto"/>
                <w:kern w:val="0"/>
                <w:sz w:val="24"/>
                <w:highlight w:val="none"/>
                <w:lang w:val="en-US" w:eastAsia="zh-CN"/>
              </w:rPr>
              <w:t>喷漆废气、固化废气</w:t>
            </w:r>
            <w:r>
              <w:rPr>
                <w:rFonts w:hint="default" w:ascii="Times New Roman" w:hAnsi="Times New Roman" w:eastAsia="宋体" w:cs="Times New Roman"/>
                <w:b w:val="0"/>
                <w:bCs w:val="0"/>
                <w:color w:val="auto"/>
                <w:kern w:val="0"/>
                <w:sz w:val="24"/>
                <w:highlight w:val="none"/>
                <w:lang w:val="en-US" w:eastAsia="zh-CN"/>
              </w:rPr>
              <w:t>收集后经</w:t>
            </w:r>
            <w:r>
              <w:rPr>
                <w:rFonts w:hint="eastAsia" w:cs="Times New Roman"/>
                <w:b w:val="0"/>
                <w:bCs w:val="0"/>
                <w:color w:val="auto"/>
                <w:kern w:val="0"/>
                <w:sz w:val="24"/>
                <w:highlight w:val="none"/>
                <w:lang w:val="en-US" w:eastAsia="zh-CN"/>
              </w:rPr>
              <w:t>处理达标后分别从</w:t>
            </w:r>
            <w:r>
              <w:rPr>
                <w:rFonts w:hint="default" w:ascii="Times New Roman" w:hAnsi="Times New Roman" w:eastAsia="宋体" w:cs="Times New Roman"/>
                <w:b w:val="0"/>
                <w:bCs w:val="0"/>
                <w:color w:val="auto"/>
                <w:kern w:val="0"/>
                <w:sz w:val="24"/>
                <w:highlight w:val="none"/>
                <w:lang w:val="en-US" w:eastAsia="zh-CN"/>
              </w:rPr>
              <w:t>排气筒</w:t>
            </w:r>
            <w:r>
              <w:rPr>
                <w:rFonts w:hint="eastAsia" w:cs="Times New Roman"/>
                <w:b w:val="0"/>
                <w:bCs w:val="0"/>
                <w:color w:val="auto"/>
                <w:kern w:val="0"/>
                <w:sz w:val="24"/>
                <w:highlight w:val="none"/>
                <w:lang w:val="en-US" w:eastAsia="zh-CN"/>
              </w:rPr>
              <w:t>DA001、DA002</w:t>
            </w:r>
            <w:r>
              <w:rPr>
                <w:rFonts w:hint="default" w:ascii="Times New Roman" w:hAnsi="Times New Roman" w:eastAsia="宋体" w:cs="Times New Roman"/>
                <w:b w:val="0"/>
                <w:bCs w:val="0"/>
                <w:color w:val="auto"/>
                <w:kern w:val="0"/>
                <w:sz w:val="24"/>
                <w:highlight w:val="none"/>
                <w:lang w:val="en-US" w:eastAsia="zh-CN"/>
              </w:rPr>
              <w:t>高空排放。综上，本项目与环境保护部《关于印发</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重点行业挥发性有机物综合治理方案</w:t>
            </w:r>
            <w:r>
              <w:rPr>
                <w:rFonts w:hint="eastAsia" w:ascii="Times New Roman" w:hAnsi="Times New Roman" w:eastAsia="宋体" w:cs="Times New Roman"/>
                <w:b w:val="0"/>
                <w:bCs w:val="0"/>
                <w:color w:val="auto"/>
                <w:kern w:val="0"/>
                <w:sz w:val="24"/>
                <w:highlight w:val="none"/>
                <w:lang w:val="en-US" w:eastAsia="zh-CN"/>
              </w:rPr>
              <w:t>〉的通知》</w:t>
            </w:r>
            <w:r>
              <w:rPr>
                <w:rFonts w:hint="default" w:ascii="Times New Roman" w:hAnsi="Times New Roman" w:eastAsia="宋体" w:cs="Times New Roman"/>
                <w:b w:val="0"/>
                <w:bCs w:val="0"/>
                <w:color w:val="auto"/>
                <w:kern w:val="0"/>
                <w:sz w:val="24"/>
                <w:highlight w:val="none"/>
                <w:lang w:val="en-US" w:eastAsia="zh-CN"/>
              </w:rPr>
              <w:t>（环大气〔2019〕53号）相符。</w:t>
            </w:r>
          </w:p>
          <w:p w14:paraId="6F7B4F9F">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1</w:t>
            </w:r>
            <w:r>
              <w:rPr>
                <w:rFonts w:hint="eastAsia" w:cs="Times New Roman"/>
                <w:b/>
                <w:bCs/>
                <w:color w:val="auto"/>
                <w:kern w:val="0"/>
                <w:sz w:val="24"/>
                <w:highlight w:val="none"/>
                <w:lang w:val="en-US" w:eastAsia="zh-CN"/>
              </w:rPr>
              <w:t>1</w:t>
            </w:r>
            <w:r>
              <w:rPr>
                <w:rFonts w:hint="default" w:ascii="Times New Roman" w:hAnsi="Times New Roman" w:eastAsia="宋体" w:cs="Times New Roman"/>
                <w:b/>
                <w:bCs/>
                <w:color w:val="auto"/>
                <w:kern w:val="0"/>
                <w:sz w:val="24"/>
                <w:highlight w:val="none"/>
                <w:lang w:val="en-US" w:eastAsia="zh-CN"/>
              </w:rPr>
              <w:t>、与《广东省2023年土壤与地下水污染防治工作方案》（粤环〔2023〕3号）的相符性</w:t>
            </w:r>
          </w:p>
          <w:p w14:paraId="3218A8B6">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方案要求：</w:t>
            </w:r>
          </w:p>
          <w:p w14:paraId="20B641B2">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三、系统推进土壤污染源头防控</w:t>
            </w:r>
          </w:p>
          <w:p w14:paraId="36BCEEF8">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一）加强涉重金属行业污染防控。深化涉镉等重点行业企业污染源排查整治，动态更新污染源排查整治清单。韶关、阳江、清远市要督促有关涉重金属污染物排放企业严格执行特别排放限值相关规定。2023年底前，各地要督促纳入大气环境重点排污单位名录的涉镉等重金属排放企业实现大气污染物中的颗粒物自动监测、监控设备联网。（省生态环境厅牵头，省自然资源厅等按职责分工负责）</w:t>
            </w:r>
          </w:p>
          <w:p w14:paraId="70311D93">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二）严格监管土壤污染重点监管单位。更新并公布土壤污染重点监管单位名录，督促重点监管单位落实法定义务，原则上新纳入的重点监管单位应在当年完成隐患排查，所有重点监管单位完成一轮土壤和地下水自行监测。各地级以上市要组织对重点监管单位开展周边监测，完成比例不低于40%；督促50%已开展隐患排查的重点监管单位开展隐患排查“回头看”。省市两级对“回头看”工作开展质量控制抽查，省级抽查比例不低于10%，市级抽查比例不低于20%（省生态环境厅负责）。</w:t>
            </w:r>
          </w:p>
          <w:p w14:paraId="22EC179B">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六、有序推进地下水污染防治</w:t>
            </w:r>
          </w:p>
          <w:p w14:paraId="4359EDDE">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一）加强地下水环境质量目标管理和分区管理。各地级以上市加快印发并实施“十四五”国家地下水环境质量考核点位水质达标保持方案，省生态环境厅定期组织对各地级以上市达标保持方案重点工作实施情况开展评估。湛江等市开展地下水国考点位、地下水型农村“千吨万人”饮用水源环境背景值调查研究。实施地下水环境分区管理、分级防治，完成珠三角整体区域及佛山、韶关、河源、东莞、湛江、云浮等市地下水污染防治重点区划定工作。（省生态环境厅牵头，省发展改革委、自然资源厅、水利厅、地质局等按职责分工负责）</w:t>
            </w:r>
          </w:p>
          <w:p w14:paraId="11A5585D">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 xml:space="preserve">（三）加强地下水污染防治重点排污单位管理。各地级以上市建立并公布地下水污染防治重点排污单位名录，参照生态环境 </w:t>
            </w:r>
          </w:p>
          <w:p w14:paraId="7615557C">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部制定的重点监管单位土壤污染隐患排查技术指南、地下水污染源防渗技术指南等，指导重点排污单位开展地下水污染渗漏排查，存在问题的单位应开展防渗改造。（省生态环境厅牵头，省住房城乡建设厅等按职责分工负责）</w:t>
            </w:r>
          </w:p>
          <w:p w14:paraId="4FA0CD90">
            <w:pPr>
              <w:spacing w:line="360" w:lineRule="auto"/>
              <w:ind w:firstLine="482"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bCs/>
                <w:color w:val="auto"/>
                <w:kern w:val="0"/>
                <w:sz w:val="24"/>
                <w:highlight w:val="none"/>
                <w:lang w:val="en-US" w:eastAsia="zh-CN"/>
              </w:rPr>
              <w:t>相符性分析：</w:t>
            </w:r>
            <w:r>
              <w:rPr>
                <w:rFonts w:hint="default" w:ascii="Times New Roman" w:hAnsi="Times New Roman" w:eastAsia="宋体" w:cs="Times New Roman"/>
                <w:b w:val="0"/>
                <w:bCs w:val="0"/>
                <w:color w:val="auto"/>
                <w:kern w:val="0"/>
                <w:sz w:val="24"/>
                <w:highlight w:val="none"/>
                <w:lang w:val="en-US" w:eastAsia="zh-CN"/>
              </w:rPr>
              <w:t>本项目生产运营过程不涉及</w:t>
            </w:r>
            <w:r>
              <w:rPr>
                <w:rFonts w:hint="eastAsia" w:cs="Times New Roman"/>
                <w:b w:val="0"/>
                <w:bCs w:val="0"/>
                <w:color w:val="auto"/>
                <w:kern w:val="0"/>
                <w:sz w:val="24"/>
                <w:highlight w:val="none"/>
                <w:lang w:val="en-US" w:eastAsia="zh-CN"/>
              </w:rPr>
              <w:t>一类</w:t>
            </w:r>
            <w:r>
              <w:rPr>
                <w:rFonts w:hint="default" w:ascii="Times New Roman" w:hAnsi="Times New Roman" w:eastAsia="宋体" w:cs="Times New Roman"/>
                <w:b w:val="0"/>
                <w:bCs w:val="0"/>
                <w:color w:val="auto"/>
                <w:kern w:val="0"/>
                <w:sz w:val="24"/>
                <w:highlight w:val="none"/>
                <w:lang w:val="en-US" w:eastAsia="zh-CN"/>
              </w:rPr>
              <w:t>重金属排放，外排生产</w:t>
            </w:r>
            <w:r>
              <w:rPr>
                <w:rFonts w:hint="eastAsia" w:cs="Times New Roman"/>
                <w:b w:val="0"/>
                <w:bCs w:val="0"/>
                <w:color w:val="auto"/>
                <w:kern w:val="0"/>
                <w:sz w:val="24"/>
                <w:highlight w:val="none"/>
                <w:lang w:val="en-US" w:eastAsia="zh-CN"/>
              </w:rPr>
              <w:t>废水经自建</w:t>
            </w:r>
            <w:r>
              <w:rPr>
                <w:rFonts w:hint="default" w:ascii="Times New Roman" w:hAnsi="Times New Roman" w:eastAsia="宋体" w:cs="Times New Roman"/>
                <w:b w:val="0"/>
                <w:bCs w:val="0"/>
                <w:color w:val="auto"/>
                <w:kern w:val="0"/>
                <w:sz w:val="24"/>
                <w:highlight w:val="none"/>
                <w:lang w:val="en-US" w:eastAsia="zh-CN"/>
              </w:rPr>
              <w:t>污水处理站处理后排入园区污水处理厂；生活污水经三级化粪池+隔油隔渣池处理后排入园区污水处理厂。项目对危废仓进行防渗漏、防扬散、防流失等措施，防止危险废物暂存过程对土壤环境造成影响。因此，项目的建设符合《广东省2023年土壤与地下水污染防治工作方案》的相关要求。</w:t>
            </w:r>
          </w:p>
          <w:p w14:paraId="02FD415A">
            <w:pPr>
              <w:spacing w:line="360" w:lineRule="auto"/>
              <w:ind w:firstLine="482" w:firstLineChars="200"/>
              <w:rPr>
                <w:rFonts w:hint="default" w:ascii="Times New Roman" w:hAnsi="Times New Roman" w:eastAsia="宋体" w:cs="Times New Roman"/>
                <w:b/>
                <w:bCs/>
                <w:color w:val="auto"/>
                <w:kern w:val="0"/>
                <w:sz w:val="24"/>
                <w:highlight w:val="none"/>
                <w:lang w:val="en-US" w:eastAsia="zh-CN"/>
              </w:rPr>
            </w:pPr>
            <w:r>
              <w:rPr>
                <w:rFonts w:hint="eastAsia" w:ascii="Times New Roman" w:hAnsi="Times New Roman" w:eastAsia="宋体" w:cs="Times New Roman"/>
                <w:b/>
                <w:bCs/>
                <w:color w:val="auto"/>
                <w:kern w:val="0"/>
                <w:sz w:val="24"/>
                <w:highlight w:val="none"/>
                <w:lang w:val="en-US" w:eastAsia="zh-CN"/>
              </w:rPr>
              <w:t>1</w:t>
            </w:r>
            <w:r>
              <w:rPr>
                <w:rFonts w:hint="eastAsia" w:cs="Times New Roman"/>
                <w:b/>
                <w:bCs/>
                <w:color w:val="auto"/>
                <w:kern w:val="0"/>
                <w:sz w:val="24"/>
                <w:highlight w:val="none"/>
                <w:lang w:val="en-US" w:eastAsia="zh-CN"/>
              </w:rPr>
              <w:t>2</w:t>
            </w:r>
            <w:r>
              <w:rPr>
                <w:rFonts w:hint="default" w:ascii="Times New Roman" w:hAnsi="Times New Roman" w:eastAsia="宋体" w:cs="Times New Roman"/>
                <w:b/>
                <w:bCs/>
                <w:color w:val="auto"/>
                <w:kern w:val="0"/>
                <w:sz w:val="24"/>
                <w:highlight w:val="none"/>
                <w:lang w:val="en-US" w:eastAsia="zh-CN"/>
              </w:rPr>
              <w:t>、与《广东省生态环境厅关于2021年工业炉窑、锅炉综合整治重点工作的通知》（粤环函〔2021〕461号）相符性</w:t>
            </w:r>
          </w:p>
          <w:p w14:paraId="5E0D4FF9">
            <w:pPr>
              <w:spacing w:line="360" w:lineRule="auto"/>
              <w:ind w:firstLine="480" w:firstLineChars="200"/>
              <w:rPr>
                <w:rFonts w:hint="default"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根据通知：按照《广东省人民政府关于印发广东省“三线一单”生态环境分区管控方案的通知》：“一、推进钢铁行业超低排放改造；二、鼓励水泥行业超低排放改造；三、推进钢压延、铝型材行业清洁能源改造；四、收严燃气锅炉大气污染物排放标准；五、珠三角地区逐步淘汰生物质锅炉；六、动态更新工业炉窑综合整治清单；七、完成70%以上涉工业炉窑企业综合整治工作；八、公开综合整治相关信息；九、加强监督执法；十、做好企业整治提升资金保障。”</w:t>
            </w:r>
          </w:p>
          <w:p w14:paraId="5065167B">
            <w:pPr>
              <w:adjustRightInd w:val="0"/>
              <w:snapToGrid w:val="0"/>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r>
              <w:rPr>
                <w:rFonts w:hint="default" w:ascii="Times New Roman" w:hAnsi="Times New Roman" w:eastAsia="宋体" w:cs="Times New Roman"/>
                <w:b w:val="0"/>
                <w:bCs w:val="0"/>
                <w:color w:val="auto"/>
                <w:kern w:val="0"/>
                <w:sz w:val="24"/>
                <w:highlight w:val="none"/>
                <w:lang w:val="en-US" w:eastAsia="zh-CN"/>
              </w:rPr>
              <w:t>项目使用天然气作</w:t>
            </w:r>
            <w:r>
              <w:rPr>
                <w:rFonts w:hint="eastAsia" w:cs="Times New Roman"/>
                <w:b w:val="0"/>
                <w:bCs w:val="0"/>
                <w:color w:val="auto"/>
                <w:kern w:val="0"/>
                <w:sz w:val="24"/>
                <w:highlight w:val="none"/>
                <w:lang w:val="en-US" w:eastAsia="zh-CN"/>
              </w:rPr>
              <w:t>烘干炉、固化炉</w:t>
            </w:r>
            <w:r>
              <w:rPr>
                <w:rFonts w:hint="default" w:ascii="Times New Roman" w:hAnsi="Times New Roman" w:eastAsia="宋体" w:cs="Times New Roman"/>
                <w:b w:val="0"/>
                <w:bCs w:val="0"/>
                <w:color w:val="auto"/>
                <w:kern w:val="0"/>
                <w:sz w:val="24"/>
                <w:highlight w:val="none"/>
                <w:lang w:val="en-US" w:eastAsia="zh-CN"/>
              </w:rPr>
              <w:t>的燃料。</w:t>
            </w:r>
            <w:r>
              <w:rPr>
                <w:rFonts w:hint="eastAsia" w:cs="Times New Roman"/>
                <w:b w:val="0"/>
                <w:bCs w:val="0"/>
                <w:color w:val="auto"/>
                <w:kern w:val="0"/>
                <w:sz w:val="24"/>
                <w:highlight w:val="none"/>
                <w:lang w:val="en-US" w:eastAsia="zh-CN"/>
              </w:rPr>
              <w:t>烘干炉、固化炉</w:t>
            </w:r>
            <w:r>
              <w:rPr>
                <w:rFonts w:hint="default" w:ascii="Times New Roman" w:hAnsi="Times New Roman" w:eastAsia="宋体" w:cs="Times New Roman"/>
                <w:b w:val="0"/>
                <w:bCs w:val="0"/>
                <w:color w:val="auto"/>
                <w:kern w:val="0"/>
                <w:sz w:val="24"/>
                <w:highlight w:val="none"/>
                <w:lang w:val="en-US" w:eastAsia="zh-CN"/>
              </w:rPr>
              <w:t>天然气燃烧排放的污染物为颗粒物、SO</w:t>
            </w:r>
            <w:r>
              <w:rPr>
                <w:rFonts w:hint="default" w:ascii="Times New Roman" w:hAnsi="Times New Roman" w:eastAsia="宋体" w:cs="Times New Roman"/>
                <w:b w:val="0"/>
                <w:bCs w:val="0"/>
                <w:color w:val="auto"/>
                <w:kern w:val="0"/>
                <w:sz w:val="24"/>
                <w:highlight w:val="none"/>
                <w:vertAlign w:val="subscript"/>
                <w:lang w:val="en-US" w:eastAsia="zh-CN"/>
              </w:rPr>
              <w:t>2</w:t>
            </w:r>
            <w:r>
              <w:rPr>
                <w:rFonts w:hint="default" w:ascii="Times New Roman" w:hAnsi="Times New Roman" w:eastAsia="宋体" w:cs="Times New Roman"/>
                <w:b w:val="0"/>
                <w:bCs w:val="0"/>
                <w:color w:val="auto"/>
                <w:kern w:val="0"/>
                <w:sz w:val="24"/>
                <w:highlight w:val="none"/>
                <w:lang w:val="en-US" w:eastAsia="zh-CN"/>
              </w:rPr>
              <w:t>、NO</w:t>
            </w:r>
            <w:r>
              <w:rPr>
                <w:rFonts w:hint="eastAsia" w:ascii="Times New Roman" w:hAnsi="Times New Roman" w:eastAsia="宋体" w:cs="Times New Roman"/>
                <w:b w:val="0"/>
                <w:bCs w:val="0"/>
                <w:color w:val="auto"/>
                <w:kern w:val="0"/>
                <w:sz w:val="24"/>
                <w:highlight w:val="none"/>
                <w:vertAlign w:val="subscript"/>
                <w:lang w:val="en-US" w:eastAsia="zh-CN"/>
              </w:rPr>
              <w:t>X</w:t>
            </w:r>
            <w:r>
              <w:rPr>
                <w:rFonts w:hint="eastAsia" w:cs="Times New Roman"/>
                <w:b w:val="0"/>
                <w:bCs w:val="0"/>
                <w:color w:val="auto"/>
                <w:kern w:val="0"/>
                <w:sz w:val="24"/>
                <w:highlight w:val="none"/>
                <w:vertAlign w:val="baseline"/>
                <w:lang w:val="en-US" w:eastAsia="zh-CN"/>
              </w:rPr>
              <w:t>和烟气黑度</w:t>
            </w:r>
            <w:r>
              <w:rPr>
                <w:rFonts w:hint="default" w:ascii="Times New Roman" w:hAnsi="Times New Roman" w:eastAsia="宋体" w:cs="Times New Roman"/>
                <w:b w:val="0"/>
                <w:bCs w:val="0"/>
                <w:color w:val="auto"/>
                <w:kern w:val="0"/>
                <w:sz w:val="24"/>
                <w:highlight w:val="none"/>
                <w:lang w:val="en-US" w:eastAsia="zh-CN"/>
              </w:rPr>
              <w:t>。天然气燃烧废气排放根据《关于印发</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工业炉窑大气污染综合治理方案</w:t>
            </w:r>
            <w:r>
              <w:rPr>
                <w:rFonts w:hint="eastAsia" w:ascii="Times New Roman" w:hAnsi="Times New Roman" w:eastAsia="宋体" w:cs="Times New Roman"/>
                <w:b w:val="0"/>
                <w:bCs w:val="0"/>
                <w:color w:val="auto"/>
                <w:kern w:val="0"/>
                <w:sz w:val="24"/>
                <w:highlight w:val="none"/>
                <w:lang w:val="en-US" w:eastAsia="zh-CN"/>
              </w:rPr>
              <w:t>〉的通知》</w:t>
            </w:r>
            <w:r>
              <w:rPr>
                <w:rFonts w:hint="default" w:ascii="Times New Roman" w:hAnsi="Times New Roman" w:eastAsia="宋体" w:cs="Times New Roman"/>
                <w:b w:val="0"/>
                <w:bCs w:val="0"/>
                <w:color w:val="auto"/>
                <w:kern w:val="0"/>
                <w:sz w:val="24"/>
                <w:highlight w:val="none"/>
                <w:lang w:val="en-US" w:eastAsia="zh-CN"/>
              </w:rPr>
              <w:t>（环大气〔2019〕56号）和《关于贯彻落实</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工业炉窑大气污染物综合治理方案</w:t>
            </w:r>
            <w:r>
              <w:rPr>
                <w:rFonts w:hint="eastAsia" w:ascii="Times New Roman" w:hAnsi="Times New Roman" w:eastAsia="宋体" w:cs="Times New Roman"/>
                <w:b w:val="0"/>
                <w:bCs w:val="0"/>
                <w:color w:val="auto"/>
                <w:kern w:val="0"/>
                <w:sz w:val="24"/>
                <w:highlight w:val="none"/>
                <w:lang w:val="en-US" w:eastAsia="zh-CN"/>
              </w:rPr>
              <w:t>〉</w:t>
            </w:r>
            <w:r>
              <w:rPr>
                <w:rFonts w:hint="default" w:ascii="Times New Roman" w:hAnsi="Times New Roman" w:eastAsia="宋体" w:cs="Times New Roman"/>
                <w:b w:val="0"/>
                <w:bCs w:val="0"/>
                <w:color w:val="auto"/>
                <w:kern w:val="0"/>
                <w:sz w:val="24"/>
                <w:highlight w:val="none"/>
                <w:lang w:val="en-US" w:eastAsia="zh-CN"/>
              </w:rPr>
              <w:t>的实施意见》（粤环函〔2019〕1112号），废气按照颗粒物、二氧化硫、氮氧化物排放限值分别不高于30、200、300毫克/立方米控制要求。因此项目符合《广东省生态环境厅关于2021年工业炉窑、锅炉综合整治重点工作的通知》（粤环函〔2021〕461号）的相关要求。</w:t>
            </w:r>
            <w:r>
              <w:rPr>
                <w:rFonts w:hint="eastAsia" w:ascii="Times New Roman" w:hAnsi="Times New Roman" w:eastAsia="宋体" w:cs="Times New Roman"/>
                <w:b w:val="0"/>
                <w:bCs w:val="0"/>
                <w:color w:val="auto"/>
                <w:kern w:val="0"/>
                <w:sz w:val="24"/>
                <w:highlight w:val="none"/>
                <w:lang w:val="en-US" w:eastAsia="zh-CN"/>
              </w:rPr>
              <w:t xml:space="preserve">  </w:t>
            </w:r>
          </w:p>
          <w:p w14:paraId="6CCD919F">
            <w:pPr>
              <w:adjustRightInd w:val="0"/>
              <w:snapToGrid w:val="0"/>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p>
          <w:p w14:paraId="51D35B39">
            <w:pPr>
              <w:adjustRightInd w:val="0"/>
              <w:snapToGrid w:val="0"/>
              <w:spacing w:line="360" w:lineRule="auto"/>
              <w:ind w:firstLine="480" w:firstLineChars="200"/>
              <w:rPr>
                <w:rFonts w:hint="eastAsia" w:ascii="Times New Roman" w:hAnsi="Times New Roman" w:eastAsia="宋体" w:cs="Times New Roman"/>
                <w:b w:val="0"/>
                <w:bCs w:val="0"/>
                <w:color w:val="auto"/>
                <w:kern w:val="0"/>
                <w:sz w:val="24"/>
                <w:highlight w:val="none"/>
                <w:lang w:val="en-US" w:eastAsia="zh-CN"/>
              </w:rPr>
            </w:pPr>
          </w:p>
          <w:p w14:paraId="41A8F7B2">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b w:val="0"/>
                <w:bCs w:val="0"/>
                <w:color w:val="auto"/>
                <w:kern w:val="0"/>
                <w:sz w:val="24"/>
                <w:highlight w:val="none"/>
                <w:lang w:val="en-US" w:eastAsia="zh-CN"/>
              </w:rPr>
              <w:t xml:space="preserve">       </w:t>
            </w:r>
          </w:p>
        </w:tc>
      </w:tr>
    </w:tbl>
    <w:p w14:paraId="294316D8">
      <w:pPr>
        <w:spacing w:line="360" w:lineRule="auto"/>
        <w:outlineLvl w:val="0"/>
        <w:rPr>
          <w:rFonts w:eastAsia="黑体"/>
          <w:color w:val="auto"/>
          <w:sz w:val="30"/>
          <w:highlight w:val="none"/>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19E428E4">
      <w:pPr>
        <w:pStyle w:val="45"/>
        <w:jc w:val="center"/>
        <w:outlineLvl w:val="0"/>
        <w:rPr>
          <w:rFonts w:ascii="黑体" w:hAnsi="黑体" w:eastAsia="黑体"/>
          <w:snapToGrid w:val="0"/>
          <w:color w:val="auto"/>
          <w:sz w:val="30"/>
          <w:szCs w:val="30"/>
          <w:highlight w:val="none"/>
        </w:rPr>
      </w:pPr>
      <w:bookmarkStart w:id="5" w:name="_Toc14981"/>
      <w:bookmarkStart w:id="6" w:name="_Toc14029"/>
      <w:bookmarkStart w:id="7" w:name="_Toc19853"/>
      <w:bookmarkStart w:id="8" w:name="_Toc26466"/>
      <w:r>
        <w:rPr>
          <w:rFonts w:hint="eastAsia" w:ascii="黑体" w:hAnsi="黑体" w:eastAsia="黑体"/>
          <w:snapToGrid w:val="0"/>
          <w:color w:val="auto"/>
          <w:sz w:val="30"/>
          <w:szCs w:val="30"/>
          <w:highlight w:val="none"/>
        </w:rPr>
        <w:t>二、建设项目工程分析</w:t>
      </w:r>
      <w:bookmarkEnd w:id="5"/>
      <w:bookmarkEnd w:id="6"/>
      <w:bookmarkEnd w:id="7"/>
      <w:bookmarkEnd w:id="8"/>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2"/>
        <w:gridCol w:w="8608"/>
      </w:tblGrid>
      <w:tr w14:paraId="0CB252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52" w:type="dxa"/>
            <w:noWrap w:val="0"/>
            <w:vAlign w:val="center"/>
          </w:tcPr>
          <w:p w14:paraId="206B227B">
            <w:pPr>
              <w:pStyle w:val="45"/>
              <w:adjustRightInd w:val="0"/>
              <w:snapToGrid w:val="0"/>
              <w:spacing w:before="0" w:beforeAutospacing="0" w:after="0" w:afterAutospacing="0"/>
              <w:jc w:val="center"/>
              <w:rPr>
                <w:rFonts w:hint="default" w:ascii="Times New Roman" w:hAnsi="Times New Roman" w:cs="Times New Roman"/>
                <w:color w:val="auto"/>
                <w:szCs w:val="24"/>
                <w:highlight w:val="none"/>
              </w:rPr>
            </w:pPr>
            <w:r>
              <w:rPr>
                <w:rFonts w:hint="default" w:ascii="Times New Roman" w:hAnsi="Times New Roman" w:cs="Times New Roman"/>
                <w:color w:val="auto"/>
                <w:szCs w:val="24"/>
                <w:highlight w:val="none"/>
              </w:rPr>
              <w:t>建设内容</w:t>
            </w:r>
          </w:p>
        </w:tc>
        <w:tc>
          <w:tcPr>
            <w:tcW w:w="8608" w:type="dxa"/>
            <w:noWrap w:val="0"/>
            <w:vAlign w:val="top"/>
          </w:tcPr>
          <w:p w14:paraId="275730EB">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7D704207">
            <w:pPr>
              <w:pStyle w:val="43"/>
              <w:spacing w:after="0" w:line="360" w:lineRule="auto"/>
              <w:ind w:firstLine="482" w:firstLineChars="200"/>
              <w:rPr>
                <w:rFonts w:hint="default" w:ascii="Times New Roman" w:hAnsi="Times New Roman" w:cs="Times New Roman"/>
                <w:b/>
                <w:color w:val="auto"/>
                <w:sz w:val="24"/>
                <w:highlight w:val="none"/>
              </w:rPr>
            </w:pPr>
            <w:r>
              <w:rPr>
                <w:rFonts w:hint="eastAsia" w:ascii="Times New Roman" w:hAnsi="Times New Roman" w:cs="Times New Roman"/>
                <w:b/>
                <w:bCs/>
                <w:color w:val="auto"/>
                <w:sz w:val="24"/>
                <w:highlight w:val="none"/>
                <w:lang w:val="en-US" w:eastAsia="zh-CN"/>
              </w:rPr>
              <w:t>一</w:t>
            </w:r>
            <w:r>
              <w:rPr>
                <w:rFonts w:hint="default" w:ascii="Times New Roman" w:hAnsi="Times New Roman" w:cs="Times New Roman"/>
                <w:b/>
                <w:bCs/>
                <w:color w:val="auto"/>
                <w:sz w:val="24"/>
                <w:highlight w:val="none"/>
              </w:rPr>
              <w:t>、</w:t>
            </w:r>
            <w:r>
              <w:rPr>
                <w:rFonts w:hint="default" w:ascii="Times New Roman" w:hAnsi="Times New Roman" w:cs="Times New Roman"/>
                <w:b/>
                <w:color w:val="auto"/>
                <w:sz w:val="24"/>
                <w:highlight w:val="none"/>
              </w:rPr>
              <w:t>项目由来</w:t>
            </w:r>
          </w:p>
          <w:p w14:paraId="6E62C8E6">
            <w:pPr>
              <w:pStyle w:val="43"/>
              <w:spacing w:after="0" w:line="360" w:lineRule="auto"/>
              <w:ind w:firstLine="480" w:firstLineChars="200"/>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广东三筑金属制品有限公司</w:t>
            </w:r>
            <w:r>
              <w:rPr>
                <w:rFonts w:hint="default" w:ascii="Times New Roman" w:hAnsi="Times New Roman" w:eastAsia="宋体" w:cs="Times New Roman"/>
                <w:color w:val="auto"/>
                <w:sz w:val="24"/>
                <w:highlight w:val="none"/>
              </w:rPr>
              <w:t>（以下简称</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建设单位</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）拟在</w:t>
            </w:r>
            <w:r>
              <w:rPr>
                <w:rFonts w:hint="eastAsia" w:ascii="Times New Roman" w:hAnsi="Times New Roman" w:eastAsia="宋体" w:cs="Times New Roman"/>
                <w:color w:val="auto"/>
                <w:sz w:val="24"/>
                <w:highlight w:val="none"/>
                <w:lang w:eastAsia="zh-CN"/>
              </w:rPr>
              <w:t>韶关市乐昌市</w:t>
            </w:r>
            <w:r>
              <w:rPr>
                <w:rFonts w:hint="eastAsia" w:cs="Times New Roman"/>
                <w:color w:val="auto"/>
                <w:sz w:val="24"/>
                <w:highlight w:val="none"/>
                <w:lang w:eastAsia="zh-CN"/>
              </w:rPr>
              <w:t>乐昌产业转移工业园GL-02-02-01地块</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东经113°24'30.099"，北纬25°9'23.358"</w:t>
            </w:r>
            <w:r>
              <w:rPr>
                <w:rFonts w:hint="eastAsia"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投资建设</w:t>
            </w:r>
            <w:r>
              <w:rPr>
                <w:rFonts w:hint="eastAsia" w:ascii="Times New Roman" w:hAnsi="Times New Roman" w:eastAsia="宋体" w:cs="Times New Roman"/>
                <w:color w:val="auto"/>
                <w:sz w:val="24"/>
                <w:highlight w:val="none"/>
                <w:lang w:eastAsia="zh-CN"/>
              </w:rPr>
              <w:t>“乐昌市三筑金属材料智造项目”</w:t>
            </w:r>
            <w:r>
              <w:rPr>
                <w:rFonts w:hint="default" w:ascii="Times New Roman" w:hAnsi="Times New Roman" w:eastAsia="宋体" w:cs="Times New Roman"/>
                <w:color w:val="auto"/>
                <w:sz w:val="24"/>
                <w:highlight w:val="none"/>
              </w:rPr>
              <w:t>。项目</w:t>
            </w:r>
            <w:r>
              <w:rPr>
                <w:rFonts w:hint="default" w:ascii="Times New Roman" w:hAnsi="Times New Roman" w:eastAsia="宋体" w:cs="Times New Roman"/>
                <w:color w:val="auto"/>
                <w:sz w:val="24"/>
                <w:highlight w:val="none"/>
                <w:lang w:val="en-US" w:eastAsia="zh-CN"/>
              </w:rPr>
              <w:t>规划总用地面积</w:t>
            </w:r>
            <w:r>
              <w:rPr>
                <w:rFonts w:hint="eastAsia" w:ascii="Times New Roman" w:hAnsi="Times New Roman" w:eastAsia="宋体" w:cs="Times New Roman"/>
                <w:color w:val="auto"/>
                <w:sz w:val="24"/>
                <w:highlight w:val="none"/>
                <w:lang w:val="en-US" w:eastAsia="zh-CN"/>
              </w:rPr>
              <w:t>为</w:t>
            </w:r>
            <w:r>
              <w:rPr>
                <w:rFonts w:hint="eastAsia" w:ascii="Times New Roman" w:hAnsi="Times New Roman" w:eastAsia="宋体" w:cs="Times New Roman"/>
                <w:color w:val="auto"/>
                <w:sz w:val="24"/>
                <w:highlight w:val="none"/>
                <w:lang w:eastAsia="zh-CN"/>
              </w:rPr>
              <w:t>54139.29</w:t>
            </w:r>
            <w:r>
              <w:rPr>
                <w:rFonts w:hint="default" w:ascii="Times New Roman" w:hAnsi="Times New Roman" w:eastAsia="宋体" w:cs="Times New Roman"/>
                <w:color w:val="auto"/>
                <w:sz w:val="24"/>
                <w:highlight w:val="none"/>
              </w:rPr>
              <w:t>平方米，</w:t>
            </w:r>
            <w:r>
              <w:rPr>
                <w:rFonts w:hint="eastAsia" w:ascii="Times New Roman" w:hAnsi="Times New Roman" w:eastAsia="宋体" w:cs="Times New Roman"/>
                <w:color w:val="auto"/>
                <w:sz w:val="24"/>
                <w:highlight w:val="none"/>
                <w:lang w:val="en-US" w:eastAsia="zh-CN"/>
              </w:rPr>
              <w:t>总</w:t>
            </w:r>
            <w:r>
              <w:rPr>
                <w:rFonts w:hint="default" w:ascii="Times New Roman" w:hAnsi="Times New Roman" w:eastAsia="宋体" w:cs="Times New Roman"/>
                <w:color w:val="auto"/>
                <w:sz w:val="24"/>
                <w:highlight w:val="none"/>
              </w:rPr>
              <w:t>建筑面积</w:t>
            </w:r>
            <w:r>
              <w:rPr>
                <w:rFonts w:hint="eastAsia" w:ascii="Times New Roman" w:hAnsi="Times New Roman" w:eastAsia="宋体" w:cs="Times New Roman"/>
                <w:color w:val="auto"/>
                <w:sz w:val="24"/>
                <w:highlight w:val="none"/>
                <w:lang w:val="en-US" w:eastAsia="zh-CN"/>
              </w:rPr>
              <w:t>为</w:t>
            </w:r>
            <w:r>
              <w:rPr>
                <w:rFonts w:hint="eastAsia" w:ascii="Times New Roman" w:hAnsi="Times New Roman" w:eastAsia="宋体" w:cs="Times New Roman"/>
                <w:color w:val="auto"/>
                <w:sz w:val="24"/>
                <w:highlight w:val="none"/>
                <w:lang w:eastAsia="zh-CN"/>
              </w:rPr>
              <w:t>43886.37</w:t>
            </w:r>
            <w:r>
              <w:rPr>
                <w:rFonts w:hint="default" w:ascii="Times New Roman" w:hAnsi="Times New Roman" w:eastAsia="宋体" w:cs="Times New Roman"/>
                <w:color w:val="auto"/>
                <w:sz w:val="24"/>
                <w:highlight w:val="none"/>
              </w:rPr>
              <w:t>平方米，拟建设厂房</w:t>
            </w:r>
            <w:r>
              <w:rPr>
                <w:rFonts w:hint="eastAsia"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栋，</w:t>
            </w:r>
            <w:r>
              <w:rPr>
                <w:rFonts w:hint="eastAsia" w:ascii="Times New Roman" w:hAnsi="Times New Roman" w:eastAsia="宋体" w:cs="Times New Roman"/>
                <w:color w:val="auto"/>
                <w:sz w:val="24"/>
                <w:highlight w:val="none"/>
                <w:lang w:eastAsia="zh-CN"/>
              </w:rPr>
              <w:t>宿舍楼</w:t>
            </w:r>
            <w:r>
              <w:rPr>
                <w:rFonts w:hint="default" w:ascii="Times New Roman" w:hAnsi="Times New Roman" w:eastAsia="宋体" w:cs="Times New Roman"/>
                <w:color w:val="auto"/>
                <w:sz w:val="24"/>
                <w:highlight w:val="none"/>
              </w:rPr>
              <w:t>1栋，综合楼1栋及其他辅助设施。项目总投资</w:t>
            </w:r>
            <w:r>
              <w:rPr>
                <w:rFonts w:hint="default" w:ascii="Times New Roman" w:hAnsi="Times New Roman" w:eastAsia="宋体" w:cs="Times New Roman"/>
                <w:color w:val="auto"/>
                <w:sz w:val="24"/>
                <w:highlight w:val="none"/>
                <w:lang w:val="en-US" w:eastAsia="zh-CN"/>
              </w:rPr>
              <w:t>1</w:t>
            </w:r>
            <w:r>
              <w:rPr>
                <w:rFonts w:hint="eastAsia"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lang w:val="en-US" w:eastAsia="zh-CN"/>
              </w:rPr>
              <w:t>000</w:t>
            </w:r>
            <w:r>
              <w:rPr>
                <w:rFonts w:hint="default" w:ascii="Times New Roman" w:hAnsi="Times New Roman" w:eastAsia="宋体" w:cs="Times New Roman"/>
                <w:color w:val="auto"/>
                <w:sz w:val="24"/>
                <w:highlight w:val="none"/>
              </w:rPr>
              <w:t>万元，其中环保投资</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rPr>
              <w:t>00万元。</w:t>
            </w:r>
            <w:r>
              <w:rPr>
                <w:rFonts w:hint="eastAsia" w:ascii="Times New Roman" w:hAnsi="Times New Roman" w:eastAsia="宋体" w:cs="Times New Roman"/>
                <w:color w:val="auto"/>
                <w:sz w:val="24"/>
                <w:highlight w:val="none"/>
                <w:lang w:val="en-US" w:eastAsia="zh-CN"/>
              </w:rPr>
              <w:t>项目</w:t>
            </w:r>
            <w:r>
              <w:rPr>
                <w:rFonts w:hint="default" w:ascii="Times New Roman" w:hAnsi="Times New Roman" w:eastAsia="宋体" w:cs="Times New Roman"/>
                <w:color w:val="auto"/>
                <w:sz w:val="24"/>
                <w:highlight w:val="none"/>
                <w:lang w:eastAsia="zh-CN"/>
              </w:rPr>
              <w:t>建成后年生产各类板铝制品1</w:t>
            </w: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lang w:eastAsia="zh-CN"/>
              </w:rPr>
              <w:t>0万平方米</w:t>
            </w:r>
            <w:r>
              <w:rPr>
                <w:rFonts w:hint="eastAsia" w:ascii="Times New Roman" w:hAnsi="Times New Roman" w:eastAsia="宋体" w:cs="Times New Roman"/>
                <w:color w:val="auto"/>
                <w:sz w:val="24"/>
                <w:highlight w:val="none"/>
                <w:lang w:eastAsia="zh-CN"/>
              </w:rPr>
              <w:t>。</w:t>
            </w:r>
          </w:p>
          <w:p w14:paraId="254FF2FD">
            <w:pPr>
              <w:pStyle w:val="43"/>
              <w:spacing w:after="0"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根据《中华人民共和国生态环境法典》(2026年8月15日起施行)等有关规定，建设过程中或者建成投产后可能对环境产生影响的新建、扩建、改建、迁建、技术改造项目及区域开发建设项目，必须执行</w:t>
            </w:r>
            <w:r>
              <w:rPr>
                <w:rFonts w:hint="eastAsia" w:cs="Times New Roman"/>
                <w:color w:val="auto"/>
                <w:sz w:val="24"/>
                <w:highlight w:val="none"/>
                <w:lang w:val="en-US" w:eastAsia="zh-CN"/>
              </w:rPr>
              <w:t>生态</w:t>
            </w:r>
            <w:r>
              <w:rPr>
                <w:rFonts w:hint="default" w:ascii="Times New Roman" w:hAnsi="Times New Roman" w:eastAsia="宋体" w:cs="Times New Roman"/>
                <w:color w:val="auto"/>
                <w:sz w:val="24"/>
                <w:highlight w:val="none"/>
              </w:rPr>
              <w:t>环境影响评价制度。对照《国民经济行业分类》（GB/T 4754-2017，按第1号修改单修订），本项目属于C3360金属表面处理及热处理加工；对照国家环保部《建设项目环境影响评价分类管理名录》（2021年版），该项目属于“三十、33金属制品业67金属表面处理及热处理加工其他（年用非溶剂型低VOCs含量涂料10吨以下的除外）”，按要求需要编制环境影响报告表。</w:t>
            </w:r>
          </w:p>
          <w:p w14:paraId="6731BC54">
            <w:pPr>
              <w:widowControl w:val="0"/>
              <w:spacing w:line="360" w:lineRule="auto"/>
              <w:ind w:firstLine="480" w:firstLineChars="200"/>
              <w:jc w:val="both"/>
              <w:rPr>
                <w:rFonts w:hint="eastAsia"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建设单位</w:t>
            </w:r>
            <w:r>
              <w:rPr>
                <w:rFonts w:hint="eastAsia" w:ascii="Times New Roman" w:hAnsi="Times New Roman" w:eastAsia="宋体" w:cs="Times New Roman"/>
                <w:color w:val="auto"/>
                <w:kern w:val="0"/>
                <w:sz w:val="24"/>
                <w:szCs w:val="24"/>
                <w:highlight w:val="none"/>
                <w:lang w:val="en-US" w:eastAsia="zh-CN" w:bidi="ar-SA"/>
              </w:rPr>
              <w:t>于2025年11月12日取得《广东三筑金属制品有限公司乐昌市三筑金属材料智造项目环境影响报告表的审查意见》（韶环乐审(2025)2</w:t>
            </w:r>
            <w:r>
              <w:rPr>
                <w:rFonts w:hint="eastAsia" w:cs="Times New Roman"/>
                <w:color w:val="auto"/>
                <w:kern w:val="0"/>
                <w:sz w:val="24"/>
                <w:szCs w:val="24"/>
                <w:highlight w:val="none"/>
                <w:lang w:val="en-US" w:eastAsia="zh-CN" w:bidi="ar-SA"/>
              </w:rPr>
              <w:t>4</w:t>
            </w:r>
            <w:r>
              <w:rPr>
                <w:rFonts w:hint="eastAsia" w:ascii="Times New Roman" w:hAnsi="Times New Roman" w:eastAsia="宋体" w:cs="Times New Roman"/>
                <w:color w:val="auto"/>
                <w:kern w:val="0"/>
                <w:sz w:val="24"/>
                <w:szCs w:val="24"/>
                <w:highlight w:val="none"/>
                <w:lang w:val="en-US" w:eastAsia="zh-CN" w:bidi="ar-SA"/>
              </w:rPr>
              <w:t>号）批复</w:t>
            </w:r>
            <w:r>
              <w:rPr>
                <w:rFonts w:hint="default" w:ascii="Times New Roman" w:hAnsi="Times New Roman" w:eastAsia="宋体" w:cs="Times New Roman"/>
                <w:color w:val="auto"/>
                <w:kern w:val="0"/>
                <w:sz w:val="24"/>
                <w:szCs w:val="24"/>
                <w:highlight w:val="none"/>
                <w:lang w:val="en-US" w:eastAsia="zh-CN" w:bidi="ar-SA"/>
              </w:rPr>
              <w:t>后开工建设，</w:t>
            </w:r>
            <w:r>
              <w:rPr>
                <w:rFonts w:hint="eastAsia" w:ascii="Times New Roman" w:hAnsi="Times New Roman" w:eastAsia="宋体" w:cs="Times New Roman"/>
                <w:color w:val="auto"/>
                <w:kern w:val="0"/>
                <w:sz w:val="24"/>
                <w:szCs w:val="24"/>
                <w:highlight w:val="none"/>
                <w:lang w:val="en-US" w:eastAsia="zh-CN" w:bidi="ar-SA"/>
              </w:rPr>
              <w:t>尚未进行投产，</w:t>
            </w:r>
            <w:r>
              <w:rPr>
                <w:rFonts w:hint="default" w:ascii="Times New Roman" w:hAnsi="Times New Roman" w:eastAsia="宋体" w:cs="Times New Roman"/>
                <w:color w:val="auto"/>
                <w:kern w:val="0"/>
                <w:sz w:val="24"/>
                <w:szCs w:val="24"/>
                <w:highlight w:val="none"/>
                <w:lang w:val="en-US" w:eastAsia="zh-CN" w:bidi="ar-SA"/>
              </w:rPr>
              <w:t>在建设过程中受市场影响等因素对产品</w:t>
            </w:r>
            <w:r>
              <w:rPr>
                <w:rFonts w:hint="eastAsia" w:ascii="Times New Roman" w:hAnsi="Times New Roman" w:eastAsia="宋体" w:cs="Times New Roman"/>
                <w:color w:val="auto"/>
                <w:kern w:val="0"/>
                <w:sz w:val="24"/>
                <w:szCs w:val="24"/>
                <w:highlight w:val="none"/>
                <w:lang w:val="en-US" w:eastAsia="zh-CN" w:bidi="ar-SA"/>
              </w:rPr>
              <w:t>工艺</w:t>
            </w:r>
            <w:r>
              <w:rPr>
                <w:rFonts w:hint="default" w:ascii="Times New Roman" w:hAnsi="Times New Roman" w:eastAsia="宋体" w:cs="Times New Roman"/>
                <w:color w:val="auto"/>
                <w:kern w:val="0"/>
                <w:sz w:val="24"/>
                <w:szCs w:val="24"/>
                <w:highlight w:val="none"/>
                <w:lang w:val="en-US" w:eastAsia="zh-CN" w:bidi="ar-SA"/>
              </w:rPr>
              <w:t>进行调整，</w:t>
            </w:r>
            <w:r>
              <w:rPr>
                <w:rFonts w:hint="eastAsia" w:ascii="Times New Roman" w:hAnsi="Times New Roman" w:eastAsia="宋体" w:cs="Times New Roman"/>
                <w:color w:val="auto"/>
                <w:kern w:val="0"/>
                <w:sz w:val="24"/>
                <w:szCs w:val="24"/>
                <w:highlight w:val="none"/>
                <w:lang w:val="en-US" w:eastAsia="zh-CN" w:bidi="ar-SA"/>
              </w:rPr>
              <w:t>新增</w:t>
            </w:r>
            <w:r>
              <w:rPr>
                <w:rFonts w:hint="eastAsia" w:cs="Times New Roman"/>
                <w:color w:val="auto"/>
                <w:kern w:val="0"/>
                <w:sz w:val="24"/>
                <w:szCs w:val="24"/>
                <w:highlight w:val="none"/>
                <w:lang w:val="en-US" w:eastAsia="zh-CN" w:bidi="ar-SA"/>
              </w:rPr>
              <w:t>前处理线和</w:t>
            </w:r>
            <w:r>
              <w:rPr>
                <w:rFonts w:hint="eastAsia" w:ascii="Times New Roman" w:hAnsi="Times New Roman" w:eastAsia="宋体" w:cs="Times New Roman"/>
                <w:color w:val="auto"/>
                <w:kern w:val="0"/>
                <w:sz w:val="24"/>
                <w:szCs w:val="24"/>
                <w:highlight w:val="none"/>
                <w:lang w:val="en-US" w:eastAsia="zh-CN" w:bidi="ar-SA"/>
              </w:rPr>
              <w:t>喷涂</w:t>
            </w:r>
            <w:r>
              <w:rPr>
                <w:rFonts w:hint="eastAsia" w:cs="Times New Roman"/>
                <w:color w:val="auto"/>
                <w:kern w:val="0"/>
                <w:sz w:val="24"/>
                <w:szCs w:val="24"/>
                <w:highlight w:val="none"/>
                <w:lang w:val="en-US" w:eastAsia="zh-CN" w:bidi="ar-SA"/>
              </w:rPr>
              <w:t>线</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对照《关于印发《污染影响类建设项目重大变动清单（试行）》的通知》（环办环评函〔2020〕688号），项目</w:t>
            </w:r>
            <w:r>
              <w:rPr>
                <w:rFonts w:hint="eastAsia" w:ascii="Times New Roman" w:hAnsi="Times New Roman" w:eastAsia="宋体" w:cs="Times New Roman"/>
                <w:color w:val="auto"/>
                <w:kern w:val="0"/>
                <w:sz w:val="24"/>
                <w:szCs w:val="24"/>
                <w:highlight w:val="none"/>
                <w:lang w:val="en-US" w:eastAsia="zh-CN" w:bidi="ar-SA"/>
              </w:rPr>
              <w:t>生产工艺</w:t>
            </w:r>
            <w:r>
              <w:rPr>
                <w:rFonts w:hint="default" w:ascii="Times New Roman" w:hAnsi="Times New Roman" w:eastAsia="宋体" w:cs="Times New Roman"/>
                <w:color w:val="auto"/>
                <w:kern w:val="0"/>
                <w:sz w:val="24"/>
                <w:szCs w:val="24"/>
                <w:highlight w:val="none"/>
                <w:lang w:val="en-US" w:eastAsia="zh-CN" w:bidi="ar-SA"/>
              </w:rPr>
              <w:t>发生了重大变动</w:t>
            </w:r>
            <w:r>
              <w:rPr>
                <w:rFonts w:hint="eastAsia" w:ascii="Times New Roman" w:hAnsi="Times New Roman" w:eastAsia="宋体" w:cs="Times New Roman"/>
                <w:color w:val="auto"/>
                <w:kern w:val="0"/>
                <w:sz w:val="24"/>
                <w:szCs w:val="24"/>
                <w:highlight w:val="none"/>
                <w:lang w:val="en-US" w:eastAsia="zh-CN" w:bidi="ar-SA"/>
              </w:rPr>
              <w:t>。</w:t>
            </w:r>
          </w:p>
          <w:p w14:paraId="4386BC03">
            <w:pPr>
              <w:pageBreakBefore w:val="0"/>
              <w:widowControl w:val="0"/>
              <w:wordWrap w:val="0"/>
              <w:overflowPunct/>
              <w:bidi w:val="0"/>
              <w:spacing w:line="360" w:lineRule="auto"/>
              <w:ind w:firstLine="480" w:firstLineChars="200"/>
              <w:jc w:val="both"/>
              <w:rPr>
                <w:rFonts w:hint="eastAsia" w:ascii="Times New Roman" w:hAnsi="Times New Roman" w:eastAsia="宋体" w:cs="Times New Roman"/>
                <w:bCs/>
                <w:color w:val="auto"/>
                <w:kern w:val="0"/>
                <w:sz w:val="24"/>
                <w:szCs w:val="20"/>
                <w:highlight w:val="none"/>
                <w:lang w:val="en-US" w:eastAsia="zh-CN" w:bidi="ar-SA"/>
              </w:rPr>
            </w:pPr>
            <w:r>
              <w:rPr>
                <w:rFonts w:hint="eastAsia" w:ascii="Times New Roman" w:hAnsi="Times New Roman" w:eastAsia="宋体" w:cs="Times New Roman"/>
                <w:bCs/>
                <w:color w:val="auto"/>
                <w:kern w:val="0"/>
                <w:sz w:val="24"/>
                <w:szCs w:val="20"/>
                <w:highlight w:val="none"/>
                <w:lang w:val="en-US" w:eastAsia="zh-CN" w:bidi="ar-SA"/>
              </w:rPr>
              <w:t>截至2026年4月，建设单位已完成基础厂房建设</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sz w:val="24"/>
                <w:lang w:eastAsia="zh-CN"/>
              </w:rPr>
              <w:t>广东三筑金属制品有限公司</w:t>
            </w:r>
            <w:r>
              <w:rPr>
                <w:rFonts w:hint="eastAsia" w:ascii="Times New Roman" w:hAnsi="Times New Roman" w:eastAsia="宋体" w:cs="Times New Roman"/>
                <w:color w:val="auto"/>
                <w:kern w:val="0"/>
                <w:sz w:val="24"/>
                <w:szCs w:val="24"/>
                <w:highlight w:val="none"/>
                <w:lang w:val="en-US" w:eastAsia="zh-CN" w:bidi="ar-SA"/>
              </w:rPr>
              <w:t>乐昌市三筑金属材料智造项目</w:t>
            </w:r>
            <w:r>
              <w:rPr>
                <w:rFonts w:hint="eastAsia" w:ascii="Times New Roman" w:hAnsi="Times New Roman" w:eastAsia="宋体" w:cs="Times New Roman"/>
                <w:bCs/>
                <w:color w:val="auto"/>
                <w:kern w:val="0"/>
                <w:sz w:val="24"/>
                <w:szCs w:val="20"/>
                <w:highlight w:val="none"/>
                <w:lang w:val="en-US" w:eastAsia="zh-CN" w:bidi="ar-SA"/>
              </w:rPr>
              <w:t>在建设过程中</w:t>
            </w:r>
            <w:r>
              <w:rPr>
                <w:rFonts w:hint="eastAsia" w:ascii="Times New Roman" w:hAnsi="Times New Roman" w:eastAsia="宋体" w:cs="Times New Roman"/>
                <w:b/>
                <w:bCs w:val="0"/>
                <w:color w:val="auto"/>
                <w:kern w:val="0"/>
                <w:sz w:val="24"/>
                <w:szCs w:val="20"/>
                <w:highlight w:val="none"/>
                <w:lang w:val="en-US" w:eastAsia="zh-CN" w:bidi="ar-SA"/>
              </w:rPr>
              <w:t>发生的重大变动</w:t>
            </w:r>
            <w:r>
              <w:rPr>
                <w:rFonts w:hint="eastAsia" w:ascii="Times New Roman" w:hAnsi="Times New Roman" w:eastAsia="宋体" w:cs="Times New Roman"/>
                <w:bCs/>
                <w:color w:val="auto"/>
                <w:kern w:val="0"/>
                <w:sz w:val="24"/>
                <w:szCs w:val="20"/>
                <w:highlight w:val="none"/>
                <w:lang w:val="en-US" w:eastAsia="zh-CN" w:bidi="ar-SA"/>
              </w:rPr>
              <w:t>如下：</w:t>
            </w:r>
          </w:p>
          <w:p w14:paraId="7131BCCC">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项目建设内容变动情况</w:t>
            </w:r>
            <w:r>
              <w:rPr>
                <w:rFonts w:hint="default" w:ascii="Times New Roman" w:hAnsi="Times New Roman" w:eastAsia="宋体" w:cs="Times New Roman"/>
                <w:b/>
                <w:bCs/>
                <w:color w:val="auto"/>
                <w:kern w:val="2"/>
                <w:sz w:val="21"/>
                <w:szCs w:val="21"/>
                <w:highlight w:val="none"/>
                <w:lang w:val="en-US" w:eastAsia="zh-CN" w:bidi="ar-SA"/>
              </w:rPr>
              <w:t>一览表</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
              <w:gridCol w:w="2250"/>
              <w:gridCol w:w="2019"/>
              <w:gridCol w:w="1881"/>
              <w:gridCol w:w="887"/>
              <w:gridCol w:w="889"/>
            </w:tblGrid>
            <w:tr w14:paraId="3233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2BB66CF5">
                  <w:pPr>
                    <w:spacing w:line="240" w:lineRule="auto"/>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序号</w:t>
                  </w:r>
                </w:p>
              </w:tc>
              <w:tc>
                <w:tcPr>
                  <w:tcW w:w="1342" w:type="pct"/>
                  <w:noWrap w:val="0"/>
                  <w:vAlign w:val="center"/>
                </w:tcPr>
                <w:p w14:paraId="016C8DA9">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文件内容</w:t>
                  </w:r>
                </w:p>
              </w:tc>
              <w:tc>
                <w:tcPr>
                  <w:tcW w:w="1204" w:type="pct"/>
                  <w:noWrap w:val="0"/>
                  <w:vAlign w:val="center"/>
                </w:tcPr>
                <w:p w14:paraId="12802CE4">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原环评项目建设内容</w:t>
                  </w:r>
                </w:p>
              </w:tc>
              <w:tc>
                <w:tcPr>
                  <w:tcW w:w="1122" w:type="pct"/>
                  <w:noWrap w:val="0"/>
                  <w:vAlign w:val="center"/>
                </w:tcPr>
                <w:p w14:paraId="0DD9C622">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实际建设情况</w:t>
                  </w:r>
                </w:p>
              </w:tc>
              <w:tc>
                <w:tcPr>
                  <w:tcW w:w="529" w:type="pct"/>
                  <w:noWrap w:val="0"/>
                  <w:vAlign w:val="center"/>
                </w:tcPr>
                <w:p w14:paraId="25E0A401">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变动情况</w:t>
                  </w:r>
                </w:p>
              </w:tc>
              <w:tc>
                <w:tcPr>
                  <w:tcW w:w="530" w:type="pct"/>
                  <w:noWrap w:val="0"/>
                  <w:vAlign w:val="center"/>
                </w:tcPr>
                <w:p w14:paraId="5BEA481B">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是否属于重大变动</w:t>
                  </w:r>
                </w:p>
              </w:tc>
            </w:tr>
            <w:tr w14:paraId="67AE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6395EE00">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w:t>
                  </w:r>
                </w:p>
              </w:tc>
              <w:tc>
                <w:tcPr>
                  <w:tcW w:w="1342" w:type="pct"/>
                  <w:noWrap w:val="0"/>
                  <w:vAlign w:val="center"/>
                </w:tcPr>
                <w:p w14:paraId="76986FB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建设项目开发、使用功能发生变化的</w:t>
                  </w:r>
                </w:p>
              </w:tc>
              <w:tc>
                <w:tcPr>
                  <w:tcW w:w="1204" w:type="pct"/>
                  <w:noWrap w:val="0"/>
                  <w:vAlign w:val="center"/>
                </w:tcPr>
                <w:p w14:paraId="02912D54">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项目属于“三十、金属制品业 33—67、金属表面处理及热处理加工 336”</w:t>
                  </w:r>
                </w:p>
              </w:tc>
              <w:tc>
                <w:tcPr>
                  <w:tcW w:w="1122" w:type="pct"/>
                  <w:noWrap w:val="0"/>
                  <w:vAlign w:val="center"/>
                </w:tcPr>
                <w:p w14:paraId="1D2784DB">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rPr>
                    <w:t>项目属于“三十、金属制品业 33—67、金属表面处理及热处理加工 336”</w:t>
                  </w:r>
                </w:p>
              </w:tc>
              <w:tc>
                <w:tcPr>
                  <w:tcW w:w="529" w:type="pct"/>
                  <w:noWrap w:val="0"/>
                  <w:vAlign w:val="center"/>
                </w:tcPr>
                <w:p w14:paraId="5636CBF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无变动</w:t>
                  </w:r>
                </w:p>
              </w:tc>
              <w:tc>
                <w:tcPr>
                  <w:tcW w:w="530" w:type="pct"/>
                  <w:noWrap w:val="0"/>
                  <w:vAlign w:val="center"/>
                </w:tcPr>
                <w:p w14:paraId="16FAD3EE">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4818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6A131656">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w:t>
                  </w:r>
                </w:p>
              </w:tc>
              <w:tc>
                <w:tcPr>
                  <w:tcW w:w="1342" w:type="pct"/>
                  <w:noWrap w:val="0"/>
                  <w:vAlign w:val="center"/>
                </w:tcPr>
                <w:p w14:paraId="4F43466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生产、处置或储存能力增大30%及以上的</w:t>
                  </w:r>
                </w:p>
              </w:tc>
              <w:tc>
                <w:tcPr>
                  <w:tcW w:w="1204" w:type="pct"/>
                  <w:noWrap w:val="0"/>
                  <w:vAlign w:val="center"/>
                </w:tcPr>
                <w:p w14:paraId="09D9379D">
                  <w:pPr>
                    <w:spacing w:line="240" w:lineRule="auto"/>
                    <w:jc w:val="center"/>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lang w:val="en-US" w:eastAsia="zh-CN"/>
                    </w:rPr>
                    <w:t>产品方案为年产1</w:t>
                  </w:r>
                  <w:r>
                    <w:rPr>
                      <w:rFonts w:hint="eastAsia" w:cs="Times New Roman"/>
                      <w:b w:val="0"/>
                      <w:bCs w:val="0"/>
                      <w:color w:val="auto"/>
                      <w:sz w:val="21"/>
                      <w:szCs w:val="21"/>
                      <w:highlight w:val="none"/>
                      <w:lang w:val="en-US" w:eastAsia="zh-CN"/>
                    </w:rPr>
                    <w:t>1</w:t>
                  </w:r>
                  <w:r>
                    <w:rPr>
                      <w:rFonts w:hint="eastAsia" w:ascii="Times New Roman" w:hAnsi="Times New Roman" w:eastAsia="宋体" w:cs="Times New Roman"/>
                      <w:b w:val="0"/>
                      <w:bCs w:val="0"/>
                      <w:color w:val="auto"/>
                      <w:sz w:val="21"/>
                      <w:szCs w:val="21"/>
                      <w:highlight w:val="none"/>
                      <w:lang w:val="en-US" w:eastAsia="zh-CN"/>
                    </w:rPr>
                    <w:t>0</w:t>
                  </w:r>
                  <w:r>
                    <w:rPr>
                      <w:rFonts w:hint="eastAsia" w:cs="Times New Roman"/>
                      <w:b w:val="0"/>
                      <w:bCs w:val="0"/>
                      <w:color w:val="auto"/>
                      <w:sz w:val="21"/>
                      <w:szCs w:val="21"/>
                      <w:highlight w:val="none"/>
                      <w:vertAlign w:val="baseline"/>
                      <w:lang w:val="en-US" w:eastAsia="zh-CN"/>
                    </w:rPr>
                    <w:t>万</w:t>
                  </w:r>
                  <w:r>
                    <w:rPr>
                      <w:rFonts w:hint="eastAsia" w:ascii="Times New Roman" w:hAnsi="Times New Roman" w:eastAsia="宋体" w:cs="Times New Roman"/>
                      <w:b w:val="0"/>
                      <w:bCs w:val="0"/>
                      <w:color w:val="auto"/>
                      <w:sz w:val="21"/>
                      <w:szCs w:val="21"/>
                      <w:highlight w:val="none"/>
                      <w:lang w:val="en-US" w:eastAsia="zh-CN"/>
                    </w:rPr>
                    <w:t>m</w:t>
                  </w:r>
                  <w:r>
                    <w:rPr>
                      <w:rFonts w:hint="eastAsia" w:ascii="Times New Roman" w:hAnsi="Times New Roman" w:eastAsia="宋体" w:cs="Times New Roman"/>
                      <w:b w:val="0"/>
                      <w:bCs w:val="0"/>
                      <w:color w:val="auto"/>
                      <w:sz w:val="21"/>
                      <w:szCs w:val="21"/>
                      <w:highlight w:val="none"/>
                      <w:vertAlign w:val="superscript"/>
                      <w:lang w:val="en-US" w:eastAsia="zh-CN"/>
                    </w:rPr>
                    <w:t>2</w:t>
                  </w:r>
                  <w:r>
                    <w:rPr>
                      <w:rFonts w:hint="eastAsia" w:ascii="Times New Roman" w:hAnsi="Times New Roman" w:eastAsia="宋体" w:cs="Times New Roman"/>
                      <w:b w:val="0"/>
                      <w:bCs w:val="0"/>
                      <w:color w:val="auto"/>
                      <w:sz w:val="21"/>
                      <w:szCs w:val="21"/>
                      <w:highlight w:val="none"/>
                      <w:vertAlign w:val="baseline"/>
                      <w:lang w:val="en-US" w:eastAsia="zh-CN"/>
                    </w:rPr>
                    <w:t>钣金件</w:t>
                  </w:r>
                </w:p>
              </w:tc>
              <w:tc>
                <w:tcPr>
                  <w:tcW w:w="1122" w:type="pct"/>
                  <w:noWrap w:val="0"/>
                  <w:vAlign w:val="center"/>
                </w:tcPr>
                <w:p w14:paraId="489993C7">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产品方案为年产1</w:t>
                  </w:r>
                  <w:r>
                    <w:rPr>
                      <w:rFonts w:hint="eastAsia" w:cs="Times New Roman"/>
                      <w:b w:val="0"/>
                      <w:bCs w:val="0"/>
                      <w:color w:val="auto"/>
                      <w:sz w:val="21"/>
                      <w:szCs w:val="21"/>
                      <w:highlight w:val="none"/>
                      <w:lang w:val="en-US" w:eastAsia="zh-CN"/>
                    </w:rPr>
                    <w:t>1</w:t>
                  </w:r>
                  <w:r>
                    <w:rPr>
                      <w:rFonts w:hint="eastAsia" w:ascii="Times New Roman" w:hAnsi="Times New Roman" w:eastAsia="宋体" w:cs="Times New Roman"/>
                      <w:b w:val="0"/>
                      <w:bCs w:val="0"/>
                      <w:color w:val="auto"/>
                      <w:sz w:val="21"/>
                      <w:szCs w:val="21"/>
                      <w:highlight w:val="none"/>
                      <w:lang w:val="en-US" w:eastAsia="zh-CN"/>
                    </w:rPr>
                    <w:t>0</w:t>
                  </w:r>
                  <w:r>
                    <w:rPr>
                      <w:rFonts w:hint="eastAsia" w:cs="Times New Roman"/>
                      <w:b w:val="0"/>
                      <w:bCs w:val="0"/>
                      <w:color w:val="auto"/>
                      <w:sz w:val="21"/>
                      <w:szCs w:val="21"/>
                      <w:highlight w:val="none"/>
                      <w:vertAlign w:val="baseline"/>
                      <w:lang w:val="en-US" w:eastAsia="zh-CN"/>
                    </w:rPr>
                    <w:t>万</w:t>
                  </w:r>
                  <w:r>
                    <w:rPr>
                      <w:rFonts w:hint="eastAsia" w:ascii="Times New Roman" w:hAnsi="Times New Roman" w:eastAsia="宋体" w:cs="Times New Roman"/>
                      <w:b w:val="0"/>
                      <w:bCs w:val="0"/>
                      <w:color w:val="auto"/>
                      <w:sz w:val="21"/>
                      <w:szCs w:val="21"/>
                      <w:highlight w:val="none"/>
                      <w:lang w:val="en-US" w:eastAsia="zh-CN"/>
                    </w:rPr>
                    <w:t>m</w:t>
                  </w:r>
                  <w:r>
                    <w:rPr>
                      <w:rFonts w:hint="eastAsia" w:ascii="Times New Roman" w:hAnsi="Times New Roman" w:eastAsia="宋体" w:cs="Times New Roman"/>
                      <w:b w:val="0"/>
                      <w:bCs w:val="0"/>
                      <w:color w:val="auto"/>
                      <w:sz w:val="21"/>
                      <w:szCs w:val="21"/>
                      <w:highlight w:val="none"/>
                      <w:vertAlign w:val="superscript"/>
                      <w:lang w:val="en-US" w:eastAsia="zh-CN"/>
                    </w:rPr>
                    <w:t>2</w:t>
                  </w:r>
                  <w:r>
                    <w:rPr>
                      <w:rFonts w:hint="eastAsia" w:cs="Times New Roman"/>
                      <w:b w:val="0"/>
                      <w:bCs w:val="0"/>
                      <w:color w:val="auto"/>
                      <w:sz w:val="21"/>
                      <w:szCs w:val="21"/>
                      <w:highlight w:val="none"/>
                      <w:vertAlign w:val="baseline"/>
                      <w:lang w:val="en-US" w:eastAsia="zh-CN"/>
                    </w:rPr>
                    <w:t>铝单板</w:t>
                  </w:r>
                </w:p>
              </w:tc>
              <w:tc>
                <w:tcPr>
                  <w:tcW w:w="529" w:type="pct"/>
                  <w:noWrap w:val="0"/>
                  <w:vAlign w:val="center"/>
                </w:tcPr>
                <w:p w14:paraId="5B3AD915">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无</w:t>
                  </w:r>
                  <w:r>
                    <w:rPr>
                      <w:rFonts w:hint="eastAsia" w:ascii="Times New Roman" w:hAnsi="Times New Roman" w:eastAsia="宋体" w:cs="Times New Roman"/>
                      <w:b w:val="0"/>
                      <w:bCs w:val="0"/>
                      <w:color w:val="auto"/>
                      <w:sz w:val="21"/>
                      <w:szCs w:val="21"/>
                      <w:highlight w:val="none"/>
                      <w:lang w:val="en-US" w:eastAsia="zh-CN"/>
                    </w:rPr>
                    <w:t>变动</w:t>
                  </w:r>
                </w:p>
              </w:tc>
              <w:tc>
                <w:tcPr>
                  <w:tcW w:w="530" w:type="pct"/>
                  <w:noWrap w:val="0"/>
                  <w:vAlign w:val="center"/>
                </w:tcPr>
                <w:p w14:paraId="306A0E2B">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否</w:t>
                  </w:r>
                </w:p>
              </w:tc>
            </w:tr>
            <w:tr w14:paraId="0253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464B9ED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w:t>
                  </w:r>
                </w:p>
              </w:tc>
              <w:tc>
                <w:tcPr>
                  <w:tcW w:w="1342" w:type="pct"/>
                  <w:noWrap w:val="0"/>
                  <w:vAlign w:val="center"/>
                </w:tcPr>
                <w:p w14:paraId="3FDFCB95">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生产、处置或储存能力增大，导致废水第一类污染物排放量增加的</w:t>
                  </w:r>
                </w:p>
              </w:tc>
              <w:tc>
                <w:tcPr>
                  <w:tcW w:w="1204" w:type="pct"/>
                  <w:noWrap w:val="0"/>
                  <w:vAlign w:val="center"/>
                </w:tcPr>
                <w:p w14:paraId="06D6745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废水不涉及第一类污染物排放</w:t>
                  </w:r>
                </w:p>
              </w:tc>
              <w:tc>
                <w:tcPr>
                  <w:tcW w:w="1122" w:type="pct"/>
                  <w:noWrap w:val="0"/>
                  <w:vAlign w:val="center"/>
                </w:tcPr>
                <w:p w14:paraId="0A7489FC">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废水不涉及第一类污染物排放</w:t>
                  </w:r>
                </w:p>
              </w:tc>
              <w:tc>
                <w:tcPr>
                  <w:tcW w:w="529" w:type="pct"/>
                  <w:noWrap w:val="0"/>
                  <w:vAlign w:val="center"/>
                </w:tcPr>
                <w:p w14:paraId="1DCB74A4">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无变动</w:t>
                  </w:r>
                </w:p>
              </w:tc>
              <w:tc>
                <w:tcPr>
                  <w:tcW w:w="530" w:type="pct"/>
                  <w:noWrap w:val="0"/>
                  <w:vAlign w:val="center"/>
                </w:tcPr>
                <w:p w14:paraId="1C9BAEF7">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0E0D8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4A53BE76">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w:t>
                  </w:r>
                </w:p>
              </w:tc>
              <w:tc>
                <w:tcPr>
                  <w:tcW w:w="1342" w:type="pct"/>
                  <w:noWrap w:val="0"/>
                  <w:vAlign w:val="center"/>
                </w:tcPr>
                <w:p w14:paraId="12C44357">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1204" w:type="pct"/>
                  <w:noWrap w:val="0"/>
                  <w:vAlign w:val="center"/>
                </w:tcPr>
                <w:p w14:paraId="7CCA2BF7">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原</w:t>
                  </w:r>
                  <w:r>
                    <w:rPr>
                      <w:rFonts w:hint="eastAsia" w:ascii="Times New Roman" w:hAnsi="Times New Roman" w:eastAsia="宋体" w:cs="Times New Roman"/>
                      <w:b w:val="0"/>
                      <w:bCs w:val="0"/>
                      <w:color w:val="auto"/>
                      <w:sz w:val="21"/>
                      <w:szCs w:val="21"/>
                      <w:highlight w:val="none"/>
                      <w:lang w:val="en-US" w:eastAsia="zh-CN"/>
                    </w:rPr>
                    <w:t>项目所在区域属于达标区，项目生产废水排放量为8128.5t/a，生活污水排放量为2070t/a，综合废水合计为10198.5t/a，均经预处理后排入园区污水处理厂进行处理，因此，CODCr（0.999t/a）、NH</w:t>
                  </w:r>
                  <w:r>
                    <w:rPr>
                      <w:rFonts w:hint="eastAsia" w:ascii="Times New Roman" w:hAnsi="Times New Roman" w:eastAsia="宋体" w:cs="Times New Roman"/>
                      <w:b w:val="0"/>
                      <w:bCs w:val="0"/>
                      <w:color w:val="auto"/>
                      <w:sz w:val="21"/>
                      <w:szCs w:val="21"/>
                      <w:highlight w:val="none"/>
                      <w:vertAlign w:val="subscript"/>
                      <w:lang w:val="en-US" w:eastAsia="zh-CN"/>
                    </w:rPr>
                    <w:t>3</w:t>
                  </w:r>
                  <w:r>
                    <w:rPr>
                      <w:rFonts w:hint="eastAsia" w:ascii="Times New Roman" w:hAnsi="Times New Roman" w:eastAsia="宋体" w:cs="Times New Roman"/>
                      <w:b w:val="0"/>
                      <w:bCs w:val="0"/>
                      <w:color w:val="auto"/>
                      <w:sz w:val="21"/>
                      <w:szCs w:val="21"/>
                      <w:highlight w:val="none"/>
                      <w:lang w:val="en-US" w:eastAsia="zh-CN"/>
                    </w:rPr>
                    <w:t>-N（0.066t/a）纳入园区污水处理厂的总量控制指标，不需再增加新的总量分配指标。氮氧化物</w:t>
                  </w:r>
                  <w:r>
                    <w:rPr>
                      <w:rFonts w:hint="default" w:ascii="Times New Roman" w:hAnsi="Times New Roman" w:eastAsia="宋体" w:cs="Times New Roman"/>
                      <w:b w:val="0"/>
                      <w:bCs w:val="0"/>
                      <w:color w:val="auto"/>
                      <w:sz w:val="21"/>
                      <w:szCs w:val="21"/>
                      <w:highlight w:val="none"/>
                    </w:rPr>
                    <w:t>排放</w:t>
                  </w:r>
                  <w:r>
                    <w:rPr>
                      <w:rFonts w:hint="eastAsia" w:ascii="Times New Roman" w:hAnsi="Times New Roman" w:eastAsia="宋体" w:cs="Times New Roman"/>
                      <w:b w:val="0"/>
                      <w:bCs w:val="0"/>
                      <w:color w:val="auto"/>
                      <w:sz w:val="21"/>
                      <w:szCs w:val="21"/>
                      <w:highlight w:val="none"/>
                      <w:lang w:val="en-US" w:eastAsia="zh-CN"/>
                    </w:rPr>
                    <w:t>量</w:t>
                  </w:r>
                  <w:r>
                    <w:rPr>
                      <w:rFonts w:hint="default" w:ascii="Times New Roman" w:hAnsi="Times New Roman" w:eastAsia="宋体" w:cs="Times New Roman"/>
                      <w:b w:val="0"/>
                      <w:bCs w:val="0"/>
                      <w:color w:val="auto"/>
                      <w:sz w:val="21"/>
                      <w:szCs w:val="21"/>
                      <w:highlight w:val="none"/>
                    </w:rPr>
                    <w:t>：</w:t>
                  </w:r>
                  <w:r>
                    <w:rPr>
                      <w:rFonts w:hint="eastAsia" w:ascii="Times New Roman" w:hAnsi="Times New Roman" w:eastAsia="宋体" w:cs="Times New Roman"/>
                      <w:b w:val="0"/>
                      <w:bCs w:val="0"/>
                      <w:color w:val="auto"/>
                      <w:sz w:val="21"/>
                      <w:szCs w:val="21"/>
                      <w:highlight w:val="none"/>
                      <w:lang w:val="en-US" w:eastAsia="zh-CN"/>
                    </w:rPr>
                    <w:t>0.089</w:t>
                  </w:r>
                  <w:r>
                    <w:rPr>
                      <w:rFonts w:hint="default" w:ascii="Times New Roman" w:hAnsi="Times New Roman" w:eastAsia="宋体" w:cs="Times New Roman"/>
                      <w:b w:val="0"/>
                      <w:bCs w:val="0"/>
                      <w:color w:val="auto"/>
                      <w:sz w:val="21"/>
                      <w:szCs w:val="21"/>
                      <w:highlight w:val="none"/>
                    </w:rPr>
                    <w:t>t/a</w:t>
                  </w:r>
                  <w:r>
                    <w:rPr>
                      <w:rFonts w:hint="eastAsia" w:ascii="Times New Roman" w:hAnsi="Times New Roman" w:eastAsia="宋体" w:cs="Times New Roman"/>
                      <w:b w:val="0"/>
                      <w:bCs w:val="0"/>
                      <w:color w:val="auto"/>
                      <w:sz w:val="21"/>
                      <w:szCs w:val="21"/>
                      <w:highlight w:val="none"/>
                      <w:lang w:eastAsia="zh-CN"/>
                    </w:rPr>
                    <w:t>，</w:t>
                  </w:r>
                  <w:r>
                    <w:rPr>
                      <w:rFonts w:hint="eastAsia" w:ascii="Times New Roman" w:hAnsi="Times New Roman" w:eastAsia="宋体" w:cs="Times New Roman"/>
                      <w:b w:val="0"/>
                      <w:bCs w:val="0"/>
                      <w:color w:val="auto"/>
                      <w:sz w:val="21"/>
                      <w:szCs w:val="21"/>
                      <w:highlight w:val="none"/>
                      <w:lang w:val="en-US" w:eastAsia="zh-CN"/>
                    </w:rPr>
                    <w:t>小于0.1t/a，无需</w:t>
                  </w:r>
                  <w:r>
                    <w:rPr>
                      <w:rFonts w:hint="eastAsia" w:ascii="Times New Roman" w:hAnsi="Times New Roman" w:eastAsia="宋体" w:cs="Times New Roman"/>
                      <w:b w:val="0"/>
                      <w:bCs w:val="0"/>
                      <w:color w:val="auto"/>
                      <w:sz w:val="21"/>
                      <w:szCs w:val="21"/>
                      <w:highlight w:val="none"/>
                      <w:lang w:eastAsia="zh-CN"/>
                    </w:rPr>
                    <w:t>向韶关市生态环境局乐昌分局申请分配</w:t>
                  </w:r>
                  <w:r>
                    <w:rPr>
                      <w:rFonts w:hint="eastAsia" w:ascii="Times New Roman" w:hAnsi="Times New Roman" w:eastAsia="宋体" w:cs="Times New Roman"/>
                      <w:b w:val="0"/>
                      <w:bCs w:val="0"/>
                      <w:color w:val="auto"/>
                      <w:sz w:val="21"/>
                      <w:szCs w:val="21"/>
                      <w:highlight w:val="none"/>
                      <w:lang w:val="en-US" w:eastAsia="zh-CN"/>
                    </w:rPr>
                    <w:t>总量分配指标</w:t>
                  </w:r>
                  <w:r>
                    <w:rPr>
                      <w:rFonts w:hint="eastAsia" w:ascii="Times New Roman" w:hAnsi="Times New Roman" w:eastAsia="宋体" w:cs="Times New Roman"/>
                      <w:b w:val="0"/>
                      <w:bCs w:val="0"/>
                      <w:color w:val="auto"/>
                      <w:sz w:val="21"/>
                      <w:szCs w:val="21"/>
                      <w:highlight w:val="none"/>
                      <w:lang w:eastAsia="zh-CN"/>
                    </w:rPr>
                    <w:t>。</w:t>
                  </w:r>
                </w:p>
              </w:tc>
              <w:tc>
                <w:tcPr>
                  <w:tcW w:w="1122" w:type="pct"/>
                  <w:noWrap w:val="0"/>
                  <w:vAlign w:val="center"/>
                </w:tcPr>
                <w:p w14:paraId="1A261FAB">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本项目所在区域属于达标区，项目</w:t>
                  </w:r>
                  <w:r>
                    <w:rPr>
                      <w:rFonts w:hint="eastAsia" w:cs="Times New Roman"/>
                      <w:b w:val="0"/>
                      <w:bCs w:val="0"/>
                      <w:color w:val="auto"/>
                      <w:sz w:val="21"/>
                      <w:szCs w:val="21"/>
                      <w:highlight w:val="none"/>
                      <w:lang w:val="en-US" w:eastAsia="zh-CN"/>
                    </w:rPr>
                    <w:t>外排</w:t>
                  </w:r>
                  <w:r>
                    <w:rPr>
                      <w:rFonts w:hint="eastAsia" w:ascii="Times New Roman" w:hAnsi="Times New Roman" w:eastAsia="宋体" w:cs="Times New Roman"/>
                      <w:b w:val="0"/>
                      <w:bCs w:val="0"/>
                      <w:color w:val="auto"/>
                      <w:sz w:val="21"/>
                      <w:szCs w:val="21"/>
                      <w:highlight w:val="none"/>
                      <w:lang w:val="en-US" w:eastAsia="zh-CN"/>
                    </w:rPr>
                    <w:t>生产废水</w:t>
                  </w:r>
                  <w:r>
                    <w:rPr>
                      <w:rFonts w:hint="eastAsia" w:cs="Times New Roman"/>
                      <w:b w:val="0"/>
                      <w:bCs w:val="0"/>
                      <w:color w:val="auto"/>
                      <w:sz w:val="21"/>
                      <w:szCs w:val="21"/>
                      <w:highlight w:val="none"/>
                      <w:lang w:val="en-US" w:eastAsia="zh-CN"/>
                    </w:rPr>
                    <w:t>（预处理废水）</w:t>
                  </w:r>
                  <w:r>
                    <w:rPr>
                      <w:rFonts w:hint="eastAsia" w:ascii="Times New Roman" w:hAnsi="Times New Roman" w:eastAsia="宋体" w:cs="Times New Roman"/>
                      <w:b w:val="0"/>
                      <w:bCs w:val="0"/>
                      <w:color w:val="auto"/>
                      <w:sz w:val="21"/>
                      <w:szCs w:val="21"/>
                      <w:highlight w:val="none"/>
                      <w:lang w:val="en-US" w:eastAsia="zh-CN"/>
                    </w:rPr>
                    <w:t>排放量为</w:t>
                  </w:r>
                  <w:r>
                    <w:rPr>
                      <w:rFonts w:hint="eastAsia" w:cs="Times New Roman"/>
                      <w:b w:val="0"/>
                      <w:bCs w:val="0"/>
                      <w:color w:val="auto"/>
                      <w:sz w:val="21"/>
                      <w:szCs w:val="21"/>
                      <w:highlight w:val="none"/>
                      <w:lang w:val="en-US" w:eastAsia="zh-CN"/>
                    </w:rPr>
                    <w:t>10010.08</w:t>
                  </w:r>
                  <w:r>
                    <w:rPr>
                      <w:rFonts w:hint="eastAsia" w:ascii="Times New Roman" w:hAnsi="Times New Roman" w:eastAsia="宋体" w:cs="Times New Roman"/>
                      <w:b w:val="0"/>
                      <w:bCs w:val="0"/>
                      <w:color w:val="auto"/>
                      <w:sz w:val="21"/>
                      <w:szCs w:val="21"/>
                      <w:highlight w:val="none"/>
                      <w:lang w:val="en-US" w:eastAsia="zh-CN"/>
                    </w:rPr>
                    <w:t>t/a，生活污水排放量为2070t/a，综合废水合计为</w:t>
                  </w:r>
                  <w:r>
                    <w:rPr>
                      <w:rFonts w:hint="eastAsia" w:cs="Times New Roman"/>
                      <w:b w:val="0"/>
                      <w:bCs w:val="0"/>
                      <w:color w:val="auto"/>
                      <w:sz w:val="21"/>
                      <w:szCs w:val="21"/>
                      <w:highlight w:val="none"/>
                      <w:lang w:val="en-US" w:eastAsia="zh-CN"/>
                    </w:rPr>
                    <w:t>12080.08</w:t>
                  </w:r>
                  <w:r>
                    <w:rPr>
                      <w:rFonts w:hint="eastAsia" w:ascii="Times New Roman" w:hAnsi="Times New Roman" w:eastAsia="宋体" w:cs="Times New Roman"/>
                      <w:b w:val="0"/>
                      <w:bCs w:val="0"/>
                      <w:color w:val="auto"/>
                      <w:sz w:val="21"/>
                      <w:szCs w:val="21"/>
                      <w:highlight w:val="none"/>
                      <w:lang w:val="en-US" w:eastAsia="zh-CN"/>
                    </w:rPr>
                    <w:t>t/a，均经预处理后排入园区污水处理厂进行处理，因此，COD</w:t>
                  </w:r>
                  <w:r>
                    <w:rPr>
                      <w:rFonts w:hint="eastAsia" w:ascii="Times New Roman" w:hAnsi="Times New Roman" w:eastAsia="宋体" w:cs="Times New Roman"/>
                      <w:b w:val="0"/>
                      <w:bCs w:val="0"/>
                      <w:color w:val="auto"/>
                      <w:sz w:val="21"/>
                      <w:szCs w:val="21"/>
                      <w:highlight w:val="none"/>
                      <w:vertAlign w:val="subscript"/>
                      <w:lang w:val="en-US" w:eastAsia="zh-CN"/>
                    </w:rPr>
                    <w:t>Cr</w:t>
                  </w:r>
                  <w:r>
                    <w:rPr>
                      <w:rFonts w:hint="eastAsia" w:ascii="Times New Roman" w:hAnsi="Times New Roman" w:eastAsia="宋体" w:cs="Times New Roman"/>
                      <w:b w:val="0"/>
                      <w:bCs w:val="0"/>
                      <w:color w:val="auto"/>
                      <w:sz w:val="21"/>
                      <w:szCs w:val="21"/>
                      <w:highlight w:val="none"/>
                      <w:lang w:val="en-US" w:eastAsia="zh-CN"/>
                    </w:rPr>
                    <w:t>（</w:t>
                  </w:r>
                  <w:r>
                    <w:rPr>
                      <w:rFonts w:hint="eastAsia" w:cs="Times New Roman"/>
                      <w:b w:val="0"/>
                      <w:bCs w:val="0"/>
                      <w:color w:val="auto"/>
                      <w:sz w:val="21"/>
                      <w:szCs w:val="21"/>
                      <w:highlight w:val="none"/>
                      <w:lang w:val="en-US" w:eastAsia="zh-CN"/>
                    </w:rPr>
                    <w:t>1.499</w:t>
                  </w:r>
                  <w:r>
                    <w:rPr>
                      <w:rFonts w:hint="eastAsia" w:ascii="Times New Roman" w:hAnsi="Times New Roman" w:eastAsia="宋体" w:cs="Times New Roman"/>
                      <w:b w:val="0"/>
                      <w:bCs w:val="0"/>
                      <w:color w:val="auto"/>
                      <w:sz w:val="21"/>
                      <w:szCs w:val="21"/>
                      <w:highlight w:val="none"/>
                      <w:lang w:val="en-US" w:eastAsia="zh-CN"/>
                    </w:rPr>
                    <w:t>t/a）、NH</w:t>
                  </w:r>
                  <w:r>
                    <w:rPr>
                      <w:rFonts w:hint="eastAsia" w:ascii="Times New Roman" w:hAnsi="Times New Roman" w:eastAsia="宋体" w:cs="Times New Roman"/>
                      <w:b w:val="0"/>
                      <w:bCs w:val="0"/>
                      <w:color w:val="auto"/>
                      <w:sz w:val="21"/>
                      <w:szCs w:val="21"/>
                      <w:highlight w:val="none"/>
                      <w:vertAlign w:val="subscript"/>
                      <w:lang w:val="en-US" w:eastAsia="zh-CN"/>
                    </w:rPr>
                    <w:t>3</w:t>
                  </w:r>
                  <w:r>
                    <w:rPr>
                      <w:rFonts w:hint="eastAsia" w:ascii="Times New Roman" w:hAnsi="Times New Roman" w:eastAsia="宋体" w:cs="Times New Roman"/>
                      <w:b w:val="0"/>
                      <w:bCs w:val="0"/>
                      <w:color w:val="auto"/>
                      <w:sz w:val="21"/>
                      <w:szCs w:val="21"/>
                      <w:highlight w:val="none"/>
                      <w:lang w:val="en-US" w:eastAsia="zh-CN"/>
                    </w:rPr>
                    <w:t>-N（</w:t>
                  </w:r>
                  <w:r>
                    <w:rPr>
                      <w:rFonts w:hint="eastAsia" w:cs="Times New Roman"/>
                      <w:b w:val="0"/>
                      <w:bCs w:val="0"/>
                      <w:color w:val="auto"/>
                      <w:sz w:val="21"/>
                      <w:szCs w:val="21"/>
                      <w:highlight w:val="none"/>
                      <w:lang w:val="en-US" w:eastAsia="zh-CN"/>
                    </w:rPr>
                    <w:t>0.188</w:t>
                  </w:r>
                  <w:r>
                    <w:rPr>
                      <w:rFonts w:hint="eastAsia" w:ascii="Times New Roman" w:hAnsi="Times New Roman" w:eastAsia="宋体" w:cs="Times New Roman"/>
                      <w:b w:val="0"/>
                      <w:bCs w:val="0"/>
                      <w:color w:val="auto"/>
                      <w:sz w:val="21"/>
                      <w:szCs w:val="21"/>
                      <w:highlight w:val="none"/>
                      <w:lang w:val="en-US" w:eastAsia="zh-CN"/>
                    </w:rPr>
                    <w:t>t/a）纳入园区污水处理厂的总量控制指标，不需再增加新的总量分配指标。</w:t>
                  </w:r>
                  <w:r>
                    <w:rPr>
                      <w:rFonts w:hint="eastAsia" w:ascii="Times New Roman" w:hAnsi="Times New Roman" w:eastAsia="宋体" w:cs="Times New Roman"/>
                      <w:b/>
                      <w:bCs/>
                      <w:color w:val="auto"/>
                      <w:sz w:val="21"/>
                      <w:szCs w:val="21"/>
                      <w:highlight w:val="none"/>
                      <w:lang w:val="en-US" w:eastAsia="zh-CN"/>
                    </w:rPr>
                    <w:t>VOCs</w:t>
                  </w:r>
                  <w:r>
                    <w:rPr>
                      <w:rFonts w:hint="default" w:ascii="Times New Roman" w:hAnsi="Times New Roman" w:eastAsia="宋体" w:cs="Times New Roman"/>
                      <w:b/>
                      <w:bCs/>
                      <w:color w:val="auto"/>
                      <w:sz w:val="21"/>
                      <w:szCs w:val="21"/>
                      <w:highlight w:val="none"/>
                    </w:rPr>
                    <w:t>总排放量为</w:t>
                  </w:r>
                  <w:r>
                    <w:rPr>
                      <w:rFonts w:hint="eastAsia" w:cs="Times New Roman"/>
                      <w:b/>
                      <w:bCs/>
                      <w:color w:val="auto"/>
                      <w:sz w:val="21"/>
                      <w:szCs w:val="21"/>
                      <w:highlight w:val="none"/>
                      <w:lang w:val="en-US" w:eastAsia="zh-CN"/>
                    </w:rPr>
                    <w:t>1.022t</w:t>
                  </w:r>
                  <w:r>
                    <w:rPr>
                      <w:rFonts w:hint="default" w:ascii="Times New Roman" w:hAnsi="Times New Roman" w:eastAsia="宋体" w:cs="Times New Roman"/>
                      <w:b/>
                      <w:bCs/>
                      <w:color w:val="auto"/>
                      <w:sz w:val="21"/>
                      <w:szCs w:val="21"/>
                      <w:highlight w:val="none"/>
                    </w:rPr>
                    <w:t>/a</w:t>
                  </w:r>
                  <w:r>
                    <w:rPr>
                      <w:rFonts w:hint="default" w:ascii="Times New Roman" w:hAnsi="Times New Roman"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rPr>
                    <w:t>其中</w:t>
                  </w:r>
                  <w:r>
                    <w:rPr>
                      <w:rFonts w:hint="eastAsia" w:ascii="Times New Roman" w:hAnsi="Times New Roman" w:eastAsia="宋体" w:cs="Times New Roman"/>
                      <w:b/>
                      <w:bCs/>
                      <w:color w:val="auto"/>
                      <w:sz w:val="21"/>
                      <w:szCs w:val="21"/>
                      <w:highlight w:val="none"/>
                      <w:lang w:val="en-US" w:eastAsia="zh-CN"/>
                    </w:rPr>
                    <w:t>VOCs</w:t>
                  </w:r>
                  <w:r>
                    <w:rPr>
                      <w:rFonts w:hint="default" w:ascii="Times New Roman" w:hAnsi="Times New Roman" w:eastAsia="宋体" w:cs="Times New Roman"/>
                      <w:b/>
                      <w:bCs/>
                      <w:color w:val="auto"/>
                      <w:sz w:val="21"/>
                      <w:szCs w:val="21"/>
                      <w:highlight w:val="none"/>
                    </w:rPr>
                    <w:t>有组织排放</w:t>
                  </w:r>
                  <w:r>
                    <w:rPr>
                      <w:rFonts w:hint="eastAsia" w:ascii="Times New Roman" w:hAnsi="Times New Roman" w:eastAsia="宋体" w:cs="Times New Roman"/>
                      <w:b/>
                      <w:bCs/>
                      <w:color w:val="auto"/>
                      <w:sz w:val="21"/>
                      <w:szCs w:val="21"/>
                      <w:highlight w:val="none"/>
                      <w:lang w:val="en-US" w:eastAsia="zh-CN"/>
                    </w:rPr>
                    <w:t>量</w:t>
                  </w:r>
                  <w:r>
                    <w:rPr>
                      <w:rFonts w:hint="default" w:ascii="Times New Roman" w:hAnsi="Times New Roman" w:eastAsia="宋体" w:cs="Times New Roman"/>
                      <w:b/>
                      <w:bCs/>
                      <w:color w:val="auto"/>
                      <w:sz w:val="21"/>
                      <w:szCs w:val="21"/>
                      <w:highlight w:val="none"/>
                    </w:rPr>
                    <w:t>：</w:t>
                  </w:r>
                  <w:r>
                    <w:rPr>
                      <w:rFonts w:hint="eastAsia" w:cs="Times New Roman"/>
                      <w:b/>
                      <w:bCs/>
                      <w:color w:val="auto"/>
                      <w:sz w:val="21"/>
                      <w:szCs w:val="21"/>
                      <w:highlight w:val="none"/>
                      <w:lang w:val="en-US" w:eastAsia="zh-CN"/>
                    </w:rPr>
                    <w:t>0.670</w:t>
                  </w:r>
                  <w:r>
                    <w:rPr>
                      <w:rFonts w:hint="default" w:ascii="Times New Roman" w:hAnsi="Times New Roman" w:eastAsia="宋体" w:cs="Times New Roman"/>
                      <w:b/>
                      <w:bCs/>
                      <w:color w:val="auto"/>
                      <w:sz w:val="21"/>
                      <w:szCs w:val="21"/>
                      <w:highlight w:val="none"/>
                    </w:rPr>
                    <w:t>t/a，</w:t>
                  </w:r>
                  <w:r>
                    <w:rPr>
                      <w:rFonts w:hint="eastAsia" w:ascii="Times New Roman" w:hAnsi="Times New Roman" w:eastAsia="宋体" w:cs="Times New Roman"/>
                      <w:b/>
                      <w:bCs/>
                      <w:color w:val="auto"/>
                      <w:sz w:val="21"/>
                      <w:szCs w:val="21"/>
                      <w:highlight w:val="none"/>
                      <w:lang w:val="en-US" w:eastAsia="zh-CN"/>
                    </w:rPr>
                    <w:t>VOCs</w:t>
                  </w:r>
                  <w:r>
                    <w:rPr>
                      <w:rFonts w:hint="default" w:ascii="Times New Roman" w:hAnsi="Times New Roman" w:eastAsia="宋体" w:cs="Times New Roman"/>
                      <w:b/>
                      <w:bCs/>
                      <w:color w:val="auto"/>
                      <w:sz w:val="21"/>
                      <w:szCs w:val="21"/>
                      <w:highlight w:val="none"/>
                    </w:rPr>
                    <w:t>无组织排放</w:t>
                  </w:r>
                  <w:r>
                    <w:rPr>
                      <w:rFonts w:hint="eastAsia" w:ascii="Times New Roman" w:hAnsi="Times New Roman" w:eastAsia="宋体" w:cs="Times New Roman"/>
                      <w:b/>
                      <w:bCs/>
                      <w:color w:val="auto"/>
                      <w:sz w:val="21"/>
                      <w:szCs w:val="21"/>
                      <w:highlight w:val="none"/>
                      <w:lang w:val="en-US" w:eastAsia="zh-CN"/>
                    </w:rPr>
                    <w:t>量</w:t>
                  </w:r>
                  <w:r>
                    <w:rPr>
                      <w:rFonts w:hint="default" w:ascii="Times New Roman" w:hAnsi="Times New Roman" w:eastAsia="宋体" w:cs="Times New Roman"/>
                      <w:b/>
                      <w:bCs/>
                      <w:color w:val="auto"/>
                      <w:sz w:val="21"/>
                      <w:szCs w:val="21"/>
                      <w:highlight w:val="none"/>
                    </w:rPr>
                    <w:t>：</w:t>
                  </w:r>
                  <w:r>
                    <w:rPr>
                      <w:rFonts w:hint="eastAsia" w:cs="Times New Roman"/>
                      <w:b/>
                      <w:bCs/>
                      <w:color w:val="auto"/>
                      <w:sz w:val="21"/>
                      <w:szCs w:val="21"/>
                      <w:highlight w:val="none"/>
                      <w:lang w:val="en-US" w:eastAsia="zh-CN"/>
                    </w:rPr>
                    <w:t>0.352</w:t>
                  </w:r>
                  <w:r>
                    <w:rPr>
                      <w:rFonts w:hint="default" w:ascii="Times New Roman" w:hAnsi="Times New Roman" w:eastAsia="宋体" w:cs="Times New Roman"/>
                      <w:b/>
                      <w:bCs/>
                      <w:color w:val="auto"/>
                      <w:sz w:val="21"/>
                      <w:szCs w:val="21"/>
                      <w:highlight w:val="none"/>
                    </w:rPr>
                    <w:t>t/a</w:t>
                  </w:r>
                  <w:r>
                    <w:rPr>
                      <w:rFonts w:hint="default" w:ascii="Times New Roman" w:hAnsi="Times New Roman" w:eastAsia="宋体" w:cs="Times New Roman"/>
                      <w:b/>
                      <w:bCs/>
                      <w:color w:val="auto"/>
                      <w:sz w:val="21"/>
                      <w:szCs w:val="21"/>
                      <w:highlight w:val="none"/>
                      <w:lang w:eastAsia="zh-CN"/>
                    </w:rPr>
                    <w:t>）</w:t>
                  </w:r>
                  <w:r>
                    <w:rPr>
                      <w:rFonts w:hint="eastAsia" w:ascii="Times New Roman" w:hAnsi="Times New Roman" w:eastAsia="宋体" w:cs="Times New Roman"/>
                      <w:b/>
                      <w:bCs/>
                      <w:color w:val="auto"/>
                      <w:sz w:val="21"/>
                      <w:szCs w:val="21"/>
                      <w:highlight w:val="none"/>
                      <w:lang w:eastAsia="zh-CN"/>
                    </w:rPr>
                    <w:t>，</w:t>
                  </w:r>
                  <w:r>
                    <w:rPr>
                      <w:rFonts w:hint="eastAsia" w:ascii="Times New Roman" w:hAnsi="Times New Roman" w:eastAsia="宋体" w:cs="Times New Roman"/>
                      <w:b/>
                      <w:bCs/>
                      <w:color w:val="auto"/>
                      <w:sz w:val="21"/>
                      <w:szCs w:val="21"/>
                      <w:highlight w:val="none"/>
                      <w:lang w:val="en-US" w:eastAsia="zh-CN"/>
                    </w:rPr>
                    <w:t>氮氧化物</w:t>
                  </w:r>
                  <w:r>
                    <w:rPr>
                      <w:rFonts w:hint="default" w:ascii="Times New Roman" w:hAnsi="Times New Roman" w:eastAsia="宋体" w:cs="Times New Roman"/>
                      <w:b/>
                      <w:bCs/>
                      <w:color w:val="auto"/>
                      <w:sz w:val="21"/>
                      <w:szCs w:val="21"/>
                      <w:highlight w:val="none"/>
                    </w:rPr>
                    <w:t>总排放量为</w:t>
                  </w:r>
                  <w:r>
                    <w:rPr>
                      <w:rFonts w:hint="eastAsia" w:cs="Times New Roman"/>
                      <w:b/>
                      <w:bCs/>
                      <w:color w:val="auto"/>
                      <w:sz w:val="21"/>
                      <w:szCs w:val="21"/>
                      <w:highlight w:val="none"/>
                      <w:lang w:val="en-US" w:eastAsia="zh-CN"/>
                    </w:rPr>
                    <w:t>0.34</w:t>
                  </w:r>
                  <w:r>
                    <w:rPr>
                      <w:rFonts w:hint="eastAsia"/>
                      <w:color w:val="auto"/>
                      <w:lang w:val="en-US" w:eastAsia="zh-CN"/>
                    </w:rPr>
                    <w:t>1</w:t>
                  </w:r>
                  <w:r>
                    <w:rPr>
                      <w:rFonts w:hint="default" w:ascii="Times New Roman" w:hAnsi="Times New Roman" w:eastAsia="宋体" w:cs="Times New Roman"/>
                      <w:b/>
                      <w:bCs/>
                      <w:color w:val="auto"/>
                      <w:sz w:val="21"/>
                      <w:szCs w:val="21"/>
                      <w:highlight w:val="none"/>
                    </w:rPr>
                    <w:t>t/a</w:t>
                  </w:r>
                  <w:r>
                    <w:rPr>
                      <w:rFonts w:hint="eastAsia" w:ascii="Times New Roman" w:hAnsi="Times New Roman" w:eastAsia="宋体" w:cs="Times New Roman"/>
                      <w:b/>
                      <w:bCs/>
                      <w:color w:val="auto"/>
                      <w:sz w:val="21"/>
                      <w:szCs w:val="21"/>
                      <w:highlight w:val="none"/>
                      <w:lang w:eastAsia="zh-CN"/>
                    </w:rPr>
                    <w:t>。</w:t>
                  </w:r>
                  <w:r>
                    <w:rPr>
                      <w:rFonts w:hint="eastAsia" w:cs="Times New Roman"/>
                      <w:b/>
                      <w:bCs/>
                      <w:color w:val="auto"/>
                      <w:sz w:val="21"/>
                      <w:szCs w:val="21"/>
                      <w:highlight w:val="none"/>
                      <w:lang w:val="en-US" w:eastAsia="zh-CN"/>
                    </w:rPr>
                    <w:t>根据总量申请结果（附件9），</w:t>
                  </w:r>
                  <w:r>
                    <w:rPr>
                      <w:rFonts w:hint="eastAsia" w:ascii="Times New Roman" w:hAnsi="Times New Roman" w:eastAsia="宋体" w:cs="Times New Roman"/>
                      <w:b/>
                      <w:bCs/>
                      <w:color w:val="auto"/>
                      <w:sz w:val="21"/>
                      <w:szCs w:val="21"/>
                      <w:highlight w:val="none"/>
                      <w:lang w:eastAsia="zh-CN"/>
                    </w:rPr>
                    <w:t>有机物总量指标替代由市级削减总量统筹安排。氮氧化物总量指标由</w:t>
                  </w:r>
                  <w:r>
                    <w:rPr>
                      <w:rFonts w:hint="eastAsia" w:cs="Times New Roman"/>
                      <w:b/>
                      <w:bCs/>
                      <w:color w:val="auto"/>
                      <w:sz w:val="21"/>
                      <w:szCs w:val="21"/>
                      <w:highlight w:val="none"/>
                      <w:lang w:val="en-US" w:eastAsia="zh-CN"/>
                    </w:rPr>
                    <w:t>县级</w:t>
                  </w:r>
                  <w:r>
                    <w:rPr>
                      <w:rFonts w:hint="eastAsia" w:ascii="Times New Roman" w:hAnsi="Times New Roman" w:eastAsia="宋体" w:cs="Times New Roman"/>
                      <w:b/>
                      <w:bCs/>
                      <w:color w:val="auto"/>
                      <w:sz w:val="21"/>
                      <w:szCs w:val="21"/>
                      <w:highlight w:val="none"/>
                      <w:lang w:eastAsia="zh-CN"/>
                    </w:rPr>
                    <w:t>削减总量统筹安排。</w:t>
                  </w:r>
                </w:p>
              </w:tc>
              <w:tc>
                <w:tcPr>
                  <w:tcW w:w="529" w:type="pct"/>
                  <w:noWrap w:val="0"/>
                  <w:vAlign w:val="center"/>
                </w:tcPr>
                <w:p w14:paraId="3E8BE576">
                  <w:pPr>
                    <w:spacing w:line="240" w:lineRule="auto"/>
                    <w:jc w:val="center"/>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变动</w:t>
                  </w:r>
                </w:p>
              </w:tc>
              <w:tc>
                <w:tcPr>
                  <w:tcW w:w="530" w:type="pct"/>
                  <w:noWrap w:val="0"/>
                  <w:vAlign w:val="center"/>
                </w:tcPr>
                <w:p w14:paraId="2C6DDEFE">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是</w:t>
                  </w:r>
                </w:p>
              </w:tc>
            </w:tr>
            <w:tr w14:paraId="2AAC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4EBB5202">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5</w:t>
                  </w:r>
                </w:p>
              </w:tc>
              <w:tc>
                <w:tcPr>
                  <w:tcW w:w="1342" w:type="pct"/>
                  <w:noWrap w:val="0"/>
                  <w:vAlign w:val="center"/>
                </w:tcPr>
                <w:p w14:paraId="158158A5">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重新选址；在原厂址附近调整（包括总平面布置变化）导致环境防护距离范围变化且新增敏感点的</w:t>
                  </w:r>
                </w:p>
              </w:tc>
              <w:tc>
                <w:tcPr>
                  <w:tcW w:w="1204" w:type="pct"/>
                  <w:noWrap w:val="0"/>
                  <w:vAlign w:val="center"/>
                </w:tcPr>
                <w:p w14:paraId="340E39C0">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原项目建设地点为韶关市乐昌市</w:t>
                  </w:r>
                  <w:r>
                    <w:rPr>
                      <w:rFonts w:hint="eastAsia" w:cs="Times New Roman"/>
                      <w:b w:val="0"/>
                      <w:bCs w:val="0"/>
                      <w:color w:val="auto"/>
                      <w:sz w:val="21"/>
                      <w:szCs w:val="21"/>
                      <w:highlight w:val="none"/>
                      <w:lang w:val="en-US" w:eastAsia="zh-CN"/>
                    </w:rPr>
                    <w:t>乐昌产业转移工业园GL-02-02-01地块</w:t>
                  </w:r>
                </w:p>
              </w:tc>
              <w:tc>
                <w:tcPr>
                  <w:tcW w:w="1122" w:type="pct"/>
                  <w:noWrap w:val="0"/>
                  <w:vAlign w:val="center"/>
                </w:tcPr>
                <w:p w14:paraId="2E9C167D">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本项目建设地点为韶关市乐昌市</w:t>
                  </w:r>
                  <w:r>
                    <w:rPr>
                      <w:rFonts w:hint="eastAsia" w:cs="Times New Roman"/>
                      <w:b w:val="0"/>
                      <w:bCs w:val="0"/>
                      <w:color w:val="auto"/>
                      <w:sz w:val="21"/>
                      <w:szCs w:val="21"/>
                      <w:highlight w:val="none"/>
                      <w:lang w:val="en-US" w:eastAsia="zh-CN"/>
                    </w:rPr>
                    <w:t>乐昌产业转移工业园GL-02-02-01地块</w:t>
                  </w:r>
                </w:p>
              </w:tc>
              <w:tc>
                <w:tcPr>
                  <w:tcW w:w="529" w:type="pct"/>
                  <w:noWrap w:val="0"/>
                  <w:vAlign w:val="center"/>
                </w:tcPr>
                <w:p w14:paraId="0AFCAC2B">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无变化</w:t>
                  </w:r>
                </w:p>
              </w:tc>
              <w:tc>
                <w:tcPr>
                  <w:tcW w:w="530" w:type="pct"/>
                  <w:noWrap w:val="0"/>
                  <w:vAlign w:val="center"/>
                </w:tcPr>
                <w:p w14:paraId="12E52A02">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4A67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0599E5DA">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6</w:t>
                  </w:r>
                </w:p>
              </w:tc>
              <w:tc>
                <w:tcPr>
                  <w:tcW w:w="1342" w:type="pct"/>
                  <w:noWrap w:val="0"/>
                  <w:vAlign w:val="center"/>
                </w:tcPr>
                <w:p w14:paraId="0CD88A33">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新增产品品种或生产工艺（含主要生产装置、设备及配套设施）、主要原辅材料、燃料变化，导致以下情形之一：</w:t>
                  </w:r>
                </w:p>
                <w:p w14:paraId="0818643E">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（1）新增排放污染物种类的（毒性、挥发性降低的除外）；</w:t>
                  </w:r>
                </w:p>
                <w:p w14:paraId="6B63FEE6">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（2）位于环境质量不达标区的建设项目相应污染物排放量增加的；</w:t>
                  </w:r>
                </w:p>
                <w:p w14:paraId="559460EF">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（3）废水第一类污染物排放量增加的；</w:t>
                  </w:r>
                </w:p>
                <w:p w14:paraId="46769995">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（4）其他污染物排放量增加10%及以上的</w:t>
                  </w:r>
                </w:p>
              </w:tc>
              <w:tc>
                <w:tcPr>
                  <w:tcW w:w="1204" w:type="pct"/>
                  <w:noWrap w:val="0"/>
                  <w:vAlign w:val="center"/>
                </w:tcPr>
                <w:p w14:paraId="4D17AFA1">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原项目年产钣金件1</w:t>
                  </w:r>
                  <w:r>
                    <w:rPr>
                      <w:rFonts w:hint="eastAsia" w:cs="Times New Roman"/>
                      <w:b w:val="0"/>
                      <w:bCs w:val="0"/>
                      <w:color w:val="auto"/>
                      <w:sz w:val="21"/>
                      <w:szCs w:val="21"/>
                      <w:highlight w:val="none"/>
                      <w:lang w:val="en-US" w:eastAsia="zh-CN"/>
                    </w:rPr>
                    <w:t>1</w:t>
                  </w:r>
                  <w:r>
                    <w:rPr>
                      <w:rFonts w:hint="eastAsia" w:ascii="Times New Roman" w:hAnsi="Times New Roman" w:eastAsia="宋体" w:cs="Times New Roman"/>
                      <w:b w:val="0"/>
                      <w:bCs w:val="0"/>
                      <w:color w:val="auto"/>
                      <w:sz w:val="21"/>
                      <w:szCs w:val="21"/>
                      <w:highlight w:val="none"/>
                      <w:lang w:val="en-US" w:eastAsia="zh-CN"/>
                    </w:rPr>
                    <w:t>0</w:t>
                  </w:r>
                  <w:r>
                    <w:rPr>
                      <w:rFonts w:hint="eastAsia" w:cs="Times New Roman"/>
                      <w:b w:val="0"/>
                      <w:bCs w:val="0"/>
                      <w:color w:val="auto"/>
                      <w:sz w:val="21"/>
                      <w:szCs w:val="21"/>
                      <w:highlight w:val="none"/>
                      <w:lang w:val="en-US" w:eastAsia="zh-CN"/>
                    </w:rPr>
                    <w:t>万</w:t>
                  </w:r>
                  <w:r>
                    <w:rPr>
                      <w:rFonts w:hint="eastAsia" w:ascii="Times New Roman" w:hAnsi="Times New Roman" w:eastAsia="宋体" w:cs="Times New Roman"/>
                      <w:b w:val="0"/>
                      <w:bCs w:val="0"/>
                      <w:color w:val="auto"/>
                      <w:sz w:val="21"/>
                      <w:szCs w:val="21"/>
                      <w:highlight w:val="none"/>
                      <w:lang w:val="en-US" w:eastAsia="zh-CN"/>
                    </w:rPr>
                    <w:t>m</w:t>
                  </w:r>
                  <w:r>
                    <w:rPr>
                      <w:rFonts w:hint="eastAsia" w:ascii="Times New Roman" w:hAnsi="Times New Roman" w:eastAsia="宋体" w:cs="Times New Roman"/>
                      <w:b w:val="0"/>
                      <w:bCs w:val="0"/>
                      <w:color w:val="auto"/>
                      <w:sz w:val="21"/>
                      <w:szCs w:val="21"/>
                      <w:highlight w:val="none"/>
                      <w:vertAlign w:val="superscript"/>
                      <w:lang w:val="en-US" w:eastAsia="zh-CN"/>
                    </w:rPr>
                    <w:t>2</w:t>
                  </w:r>
                  <w:r>
                    <w:rPr>
                      <w:rFonts w:hint="eastAsia" w:ascii="Times New Roman" w:hAnsi="Times New Roman" w:eastAsia="宋体" w:cs="Times New Roman"/>
                      <w:b w:val="0"/>
                      <w:bCs w:val="0"/>
                      <w:color w:val="auto"/>
                      <w:sz w:val="21"/>
                      <w:szCs w:val="21"/>
                      <w:highlight w:val="none"/>
                      <w:lang w:val="en-US" w:eastAsia="zh-CN"/>
                    </w:rPr>
                    <w:t>；主要生产工序为开料、钣金、打磨、表面预处理、烘干等工序；主要原辅材料为铝卷、</w:t>
                  </w:r>
                  <w:r>
                    <w:rPr>
                      <w:rFonts w:hint="eastAsia" w:cs="Times New Roman"/>
                      <w:b w:val="0"/>
                      <w:bCs w:val="0"/>
                      <w:color w:val="auto"/>
                      <w:sz w:val="21"/>
                      <w:szCs w:val="21"/>
                      <w:highlight w:val="none"/>
                      <w:lang w:val="en-US" w:eastAsia="zh-CN"/>
                    </w:rPr>
                    <w:t>除油剂</w:t>
                  </w:r>
                  <w:r>
                    <w:rPr>
                      <w:rFonts w:hint="eastAsia" w:ascii="Times New Roman" w:hAnsi="Times New Roman" w:eastAsia="宋体" w:cs="Times New Roman"/>
                      <w:b w:val="0"/>
                      <w:bCs w:val="0"/>
                      <w:color w:val="auto"/>
                      <w:sz w:val="21"/>
                      <w:szCs w:val="21"/>
                      <w:highlight w:val="none"/>
                      <w:lang w:val="en-US" w:eastAsia="zh-CN"/>
                    </w:rPr>
                    <w:t>等</w:t>
                  </w:r>
                </w:p>
              </w:tc>
              <w:tc>
                <w:tcPr>
                  <w:tcW w:w="1122" w:type="pct"/>
                  <w:noWrap w:val="0"/>
                  <w:vAlign w:val="center"/>
                </w:tcPr>
                <w:p w14:paraId="37146593">
                  <w:pPr>
                    <w:spacing w:line="240" w:lineRule="auto"/>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本项目年产</w:t>
                  </w:r>
                  <w:r>
                    <w:rPr>
                      <w:rFonts w:hint="eastAsia" w:cs="Times New Roman"/>
                      <w:b w:val="0"/>
                      <w:bCs w:val="0"/>
                      <w:color w:val="auto"/>
                      <w:sz w:val="21"/>
                      <w:szCs w:val="21"/>
                      <w:highlight w:val="none"/>
                      <w:lang w:val="en-US" w:eastAsia="zh-CN"/>
                    </w:rPr>
                    <w:t>铝单板</w:t>
                  </w:r>
                  <w:r>
                    <w:rPr>
                      <w:rFonts w:hint="eastAsia" w:ascii="Times New Roman" w:hAnsi="Times New Roman" w:eastAsia="宋体" w:cs="Times New Roman"/>
                      <w:b w:val="0"/>
                      <w:bCs w:val="0"/>
                      <w:color w:val="auto"/>
                      <w:sz w:val="21"/>
                      <w:szCs w:val="21"/>
                      <w:highlight w:val="none"/>
                      <w:lang w:val="en-US" w:eastAsia="zh-CN"/>
                    </w:rPr>
                    <w:t>1</w:t>
                  </w:r>
                  <w:r>
                    <w:rPr>
                      <w:rFonts w:hint="eastAsia" w:cs="Times New Roman"/>
                      <w:b w:val="0"/>
                      <w:bCs w:val="0"/>
                      <w:color w:val="auto"/>
                      <w:sz w:val="21"/>
                      <w:szCs w:val="21"/>
                      <w:highlight w:val="none"/>
                      <w:lang w:val="en-US" w:eastAsia="zh-CN"/>
                    </w:rPr>
                    <w:t>1</w:t>
                  </w:r>
                  <w:r>
                    <w:rPr>
                      <w:rFonts w:hint="eastAsia" w:ascii="Times New Roman" w:hAnsi="Times New Roman" w:eastAsia="宋体" w:cs="Times New Roman"/>
                      <w:b w:val="0"/>
                      <w:bCs w:val="0"/>
                      <w:color w:val="auto"/>
                      <w:sz w:val="21"/>
                      <w:szCs w:val="21"/>
                      <w:highlight w:val="none"/>
                      <w:lang w:val="en-US" w:eastAsia="zh-CN"/>
                    </w:rPr>
                    <w:t>0</w:t>
                  </w:r>
                  <w:r>
                    <w:rPr>
                      <w:rFonts w:hint="eastAsia" w:cs="Times New Roman"/>
                      <w:b w:val="0"/>
                      <w:bCs w:val="0"/>
                      <w:color w:val="auto"/>
                      <w:sz w:val="21"/>
                      <w:szCs w:val="21"/>
                      <w:highlight w:val="none"/>
                      <w:lang w:val="en-US" w:eastAsia="zh-CN"/>
                    </w:rPr>
                    <w:t>万</w:t>
                  </w:r>
                  <w:r>
                    <w:rPr>
                      <w:rFonts w:hint="eastAsia" w:ascii="Times New Roman" w:hAnsi="Times New Roman" w:eastAsia="宋体" w:cs="Times New Roman"/>
                      <w:b w:val="0"/>
                      <w:bCs w:val="0"/>
                      <w:color w:val="auto"/>
                      <w:sz w:val="21"/>
                      <w:szCs w:val="21"/>
                      <w:highlight w:val="none"/>
                      <w:lang w:val="en-US" w:eastAsia="zh-CN"/>
                    </w:rPr>
                    <w:t>m</w:t>
                  </w:r>
                  <w:r>
                    <w:rPr>
                      <w:rFonts w:hint="eastAsia" w:ascii="Times New Roman" w:hAnsi="Times New Roman" w:eastAsia="宋体" w:cs="Times New Roman"/>
                      <w:b w:val="0"/>
                      <w:bCs w:val="0"/>
                      <w:color w:val="auto"/>
                      <w:sz w:val="21"/>
                      <w:szCs w:val="21"/>
                      <w:highlight w:val="none"/>
                      <w:vertAlign w:val="superscript"/>
                      <w:lang w:val="en-US" w:eastAsia="zh-CN"/>
                    </w:rPr>
                    <w:t>2</w:t>
                  </w:r>
                  <w:r>
                    <w:rPr>
                      <w:rFonts w:hint="eastAsia" w:ascii="Times New Roman" w:hAnsi="Times New Roman" w:eastAsia="宋体" w:cs="Times New Roman"/>
                      <w:b w:val="0"/>
                      <w:bCs w:val="0"/>
                      <w:color w:val="auto"/>
                      <w:sz w:val="21"/>
                      <w:szCs w:val="21"/>
                      <w:highlight w:val="none"/>
                      <w:lang w:val="en-US" w:eastAsia="zh-CN"/>
                    </w:rPr>
                    <w:t>；主要生产工序为开料、钣金、打磨、表面预处理、烘干</w:t>
                  </w:r>
                  <w:r>
                    <w:rPr>
                      <w:rFonts w:hint="eastAsia" w:ascii="Times New Roman" w:hAnsi="Times New Roman" w:eastAsia="宋体" w:cs="Times New Roman"/>
                      <w:b/>
                      <w:bCs/>
                      <w:color w:val="auto"/>
                      <w:sz w:val="21"/>
                      <w:szCs w:val="21"/>
                      <w:highlight w:val="none"/>
                      <w:lang w:val="en-US" w:eastAsia="zh-CN"/>
                    </w:rPr>
                    <w:t>喷</w:t>
                  </w:r>
                  <w:r>
                    <w:rPr>
                      <w:rFonts w:hint="eastAsia" w:cs="Times New Roman"/>
                      <w:b/>
                      <w:bCs/>
                      <w:color w:val="auto"/>
                      <w:sz w:val="21"/>
                      <w:szCs w:val="21"/>
                      <w:highlight w:val="none"/>
                      <w:lang w:val="en-US" w:eastAsia="zh-CN"/>
                    </w:rPr>
                    <w:t>粉、喷漆</w:t>
                  </w:r>
                  <w:r>
                    <w:rPr>
                      <w:rFonts w:hint="eastAsia" w:ascii="Times New Roman" w:hAnsi="Times New Roman" w:eastAsia="宋体" w:cs="Times New Roman"/>
                      <w:b/>
                      <w:bCs/>
                      <w:color w:val="auto"/>
                      <w:sz w:val="21"/>
                      <w:szCs w:val="21"/>
                      <w:highlight w:val="none"/>
                      <w:lang w:val="en-US" w:eastAsia="zh-CN"/>
                    </w:rPr>
                    <w:t>、固化</w:t>
                  </w:r>
                  <w:r>
                    <w:rPr>
                      <w:rFonts w:hint="eastAsia" w:ascii="Times New Roman" w:hAnsi="Times New Roman" w:eastAsia="宋体" w:cs="Times New Roman"/>
                      <w:b w:val="0"/>
                      <w:bCs w:val="0"/>
                      <w:color w:val="auto"/>
                      <w:sz w:val="21"/>
                      <w:szCs w:val="21"/>
                      <w:highlight w:val="none"/>
                      <w:lang w:val="en-US" w:eastAsia="zh-CN"/>
                    </w:rPr>
                    <w:t>等工序；主要原辅材料为铝卷、</w:t>
                  </w:r>
                  <w:r>
                    <w:rPr>
                      <w:rFonts w:hint="eastAsia" w:cs="Times New Roman"/>
                      <w:b w:val="0"/>
                      <w:bCs w:val="0"/>
                      <w:color w:val="auto"/>
                      <w:sz w:val="21"/>
                      <w:szCs w:val="21"/>
                      <w:highlight w:val="none"/>
                      <w:lang w:val="en-US" w:eastAsia="zh-CN"/>
                    </w:rPr>
                    <w:t>除油剂</w:t>
                  </w:r>
                  <w:r>
                    <w:rPr>
                      <w:rFonts w:hint="eastAsia" w:ascii="Times New Roman" w:hAnsi="Times New Roman" w:eastAsia="宋体" w:cs="Times New Roman"/>
                      <w:b w:val="0"/>
                      <w:bCs w:val="0"/>
                      <w:color w:val="auto"/>
                      <w:sz w:val="21"/>
                      <w:szCs w:val="21"/>
                      <w:highlight w:val="none"/>
                      <w:lang w:val="en-US" w:eastAsia="zh-CN"/>
                    </w:rPr>
                    <w:t>、油漆、粉末涂料等</w:t>
                  </w:r>
                </w:p>
              </w:tc>
              <w:tc>
                <w:tcPr>
                  <w:tcW w:w="529" w:type="pct"/>
                  <w:noWrap w:val="0"/>
                  <w:vAlign w:val="center"/>
                </w:tcPr>
                <w:p w14:paraId="7DADA8B5">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有变化</w:t>
                  </w:r>
                </w:p>
              </w:tc>
              <w:tc>
                <w:tcPr>
                  <w:tcW w:w="530" w:type="pct"/>
                  <w:noWrap w:val="0"/>
                  <w:vAlign w:val="center"/>
                </w:tcPr>
                <w:p w14:paraId="304472A9">
                  <w:pPr>
                    <w:spacing w:line="240" w:lineRule="auto"/>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是</w:t>
                  </w:r>
                </w:p>
              </w:tc>
            </w:tr>
            <w:tr w14:paraId="3077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5A62BBA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7</w:t>
                  </w:r>
                </w:p>
              </w:tc>
              <w:tc>
                <w:tcPr>
                  <w:tcW w:w="1342" w:type="pct"/>
                  <w:noWrap w:val="0"/>
                  <w:vAlign w:val="center"/>
                </w:tcPr>
                <w:p w14:paraId="4ED9800E">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物料运输、装卸、贮存方式变化，导致大气污染物无组织排放量增加10%及以上的</w:t>
                  </w:r>
                </w:p>
              </w:tc>
              <w:tc>
                <w:tcPr>
                  <w:tcW w:w="1204" w:type="pct"/>
                  <w:noWrap w:val="0"/>
                  <w:vAlign w:val="center"/>
                </w:tcPr>
                <w:p w14:paraId="43B4CC3D">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1122" w:type="pct"/>
                  <w:noWrap w:val="0"/>
                  <w:vAlign w:val="center"/>
                </w:tcPr>
                <w:p w14:paraId="2172D726">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529" w:type="pct"/>
                  <w:noWrap w:val="0"/>
                  <w:vAlign w:val="center"/>
                </w:tcPr>
                <w:p w14:paraId="14E7CE07">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无变化</w:t>
                  </w:r>
                </w:p>
              </w:tc>
              <w:tc>
                <w:tcPr>
                  <w:tcW w:w="530" w:type="pct"/>
                  <w:noWrap w:val="0"/>
                  <w:vAlign w:val="center"/>
                </w:tcPr>
                <w:p w14:paraId="4B8F6AF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5544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25356BD3">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8</w:t>
                  </w:r>
                </w:p>
              </w:tc>
              <w:tc>
                <w:tcPr>
                  <w:tcW w:w="1342" w:type="pct"/>
                  <w:noWrap w:val="0"/>
                  <w:vAlign w:val="center"/>
                </w:tcPr>
                <w:p w14:paraId="532BB0D7">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废气、废水污染防治措施变化，导致第6条中所列情形之一（废气无组织排放改为有组织排放、污染防治措施强化或改进的除外）或大气污染物无组织排放量增加10%及以上的</w:t>
                  </w:r>
                </w:p>
              </w:tc>
              <w:tc>
                <w:tcPr>
                  <w:tcW w:w="1204" w:type="pct"/>
                  <w:noWrap w:val="0"/>
                  <w:vAlign w:val="center"/>
                </w:tcPr>
                <w:p w14:paraId="19FECEE2">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1、原项目</w:t>
                  </w:r>
                  <w:r>
                    <w:rPr>
                      <w:rFonts w:hint="eastAsia" w:cs="Times New Roman"/>
                      <w:b w:val="0"/>
                      <w:bCs w:val="0"/>
                      <w:color w:val="auto"/>
                      <w:sz w:val="21"/>
                      <w:szCs w:val="21"/>
                      <w:highlight w:val="none"/>
                      <w:lang w:val="en-US" w:eastAsia="zh-CN"/>
                    </w:rPr>
                    <w:t>打磨粉尘经布袋除尘处理后由15m排气筒DA001排放</w:t>
                  </w:r>
                  <w:r>
                    <w:rPr>
                      <w:rFonts w:hint="eastAsia" w:ascii="Times New Roman" w:hAnsi="Times New Roman" w:eastAsia="宋体" w:cs="Times New Roman"/>
                      <w:b w:val="0"/>
                      <w:bCs w:val="0"/>
                      <w:color w:val="auto"/>
                      <w:sz w:val="21"/>
                      <w:szCs w:val="21"/>
                      <w:highlight w:val="none"/>
                      <w:lang w:val="en-US" w:eastAsia="zh-CN"/>
                    </w:rPr>
                    <w:t>；</w:t>
                  </w:r>
                </w:p>
                <w:p w14:paraId="7D6B0441">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2、天然气燃烧废气低氮燃烧后通过排气筒DA002排放。3、原项目无组织废气通过</w:t>
                  </w:r>
                  <w:r>
                    <w:rPr>
                      <w:rFonts w:hint="default" w:ascii="Times New Roman" w:hAnsi="Times New Roman" w:eastAsia="宋体" w:cs="Times New Roman"/>
                      <w:b w:val="0"/>
                      <w:bCs w:val="0"/>
                      <w:color w:val="auto"/>
                      <w:sz w:val="21"/>
                      <w:szCs w:val="21"/>
                      <w:highlight w:val="none"/>
                      <w:lang w:val="en-US" w:eastAsia="zh-CN"/>
                    </w:rPr>
                    <w:t>设置在密闭车间内，并加强车间管理，减少无组织排放</w:t>
                  </w:r>
                </w:p>
              </w:tc>
              <w:tc>
                <w:tcPr>
                  <w:tcW w:w="1122" w:type="pct"/>
                  <w:noWrap w:val="0"/>
                  <w:vAlign w:val="center"/>
                </w:tcPr>
                <w:p w14:paraId="5D655BB7">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1、新增</w:t>
                  </w:r>
                  <w:r>
                    <w:rPr>
                      <w:rFonts w:hint="eastAsia" w:cs="Times New Roman"/>
                      <w:b w:val="0"/>
                      <w:bCs w:val="0"/>
                      <w:color w:val="auto"/>
                      <w:sz w:val="21"/>
                      <w:szCs w:val="21"/>
                      <w:highlight w:val="none"/>
                      <w:lang w:val="en-US" w:eastAsia="zh-CN"/>
                    </w:rPr>
                    <w:t>4</w:t>
                  </w:r>
                  <w:r>
                    <w:rPr>
                      <w:rFonts w:hint="eastAsia" w:ascii="Times New Roman" w:hAnsi="Times New Roman" w:eastAsia="宋体" w:cs="Times New Roman"/>
                      <w:b w:val="0"/>
                      <w:bCs w:val="0"/>
                      <w:color w:val="auto"/>
                      <w:sz w:val="21"/>
                      <w:szCs w:val="21"/>
                      <w:highlight w:val="none"/>
                      <w:lang w:val="en-US" w:eastAsia="zh-CN"/>
                    </w:rPr>
                    <w:t>套废气治理措施，分别为“</w:t>
                  </w:r>
                  <w:r>
                    <w:rPr>
                      <w:b w:val="0"/>
                      <w:color w:val="auto"/>
                      <w:szCs w:val="24"/>
                    </w:rPr>
                    <w:t>密闭车间负压收集+大旋风+滤芯式二级回收系统</w:t>
                  </w:r>
                  <w:r>
                    <w:rPr>
                      <w:rFonts w:hint="eastAsia" w:ascii="Times New Roman" w:hAnsi="Times New Roman" w:eastAsia="宋体" w:cs="Times New Roman"/>
                      <w:b w:val="0"/>
                      <w:bCs w:val="0"/>
                      <w:color w:val="auto"/>
                      <w:sz w:val="21"/>
                      <w:szCs w:val="21"/>
                      <w:highlight w:val="none"/>
                      <w:lang w:val="en-US" w:eastAsia="zh-CN"/>
                    </w:rPr>
                    <w:t>”、“水帘柜喷淋+干式过滤器+活性炭吸附脱附催化燃烧”、“</w:t>
                  </w:r>
                  <w:r>
                    <w:rPr>
                      <w:rFonts w:hint="eastAsia" w:cs="Times New Roman"/>
                      <w:b w:val="0"/>
                      <w:bCs w:val="0"/>
                      <w:color w:val="auto"/>
                      <w:sz w:val="21"/>
                      <w:szCs w:val="21"/>
                      <w:highlight w:val="none"/>
                      <w:lang w:val="en-US" w:eastAsia="zh-CN"/>
                    </w:rPr>
                    <w:t>喷淋塔</w:t>
                  </w:r>
                  <w:r>
                    <w:rPr>
                      <w:rFonts w:hint="eastAsia" w:ascii="Times New Roman" w:hAnsi="Times New Roman" w:eastAsia="宋体" w:cs="Times New Roman"/>
                      <w:b w:val="0"/>
                      <w:bCs w:val="0"/>
                      <w:color w:val="auto"/>
                      <w:sz w:val="21"/>
                      <w:szCs w:val="21"/>
                      <w:highlight w:val="none"/>
                      <w:lang w:val="en-US" w:eastAsia="zh-CN"/>
                    </w:rPr>
                    <w:t>+干式过滤器+</w:t>
                  </w:r>
                  <w:r>
                    <w:rPr>
                      <w:rFonts w:hint="eastAsia" w:cs="Times New Roman"/>
                      <w:b w:val="0"/>
                      <w:bCs w:val="0"/>
                      <w:color w:val="auto"/>
                      <w:sz w:val="21"/>
                      <w:szCs w:val="21"/>
                      <w:highlight w:val="none"/>
                      <w:lang w:val="en-US" w:eastAsia="zh-CN"/>
                    </w:rPr>
                    <w:t>二级</w:t>
                  </w:r>
                  <w:r>
                    <w:rPr>
                      <w:rFonts w:hint="eastAsia" w:ascii="Times New Roman" w:hAnsi="Times New Roman" w:eastAsia="宋体" w:cs="Times New Roman"/>
                      <w:b w:val="0"/>
                      <w:bCs w:val="0"/>
                      <w:color w:val="auto"/>
                      <w:sz w:val="21"/>
                      <w:szCs w:val="21"/>
                      <w:highlight w:val="none"/>
                      <w:lang w:val="en-US" w:eastAsia="zh-CN"/>
                    </w:rPr>
                    <w:t>活性炭吸附”</w:t>
                  </w:r>
                  <w:r>
                    <w:rPr>
                      <w:rFonts w:hint="eastAsia" w:cs="Times New Roman"/>
                      <w:b w:val="0"/>
                      <w:bCs w:val="0"/>
                      <w:color w:val="auto"/>
                      <w:sz w:val="21"/>
                      <w:szCs w:val="21"/>
                      <w:highlight w:val="none"/>
                      <w:lang w:val="en-US" w:eastAsia="zh-CN"/>
                    </w:rPr>
                    <w:t>、“碱液喷淋塔”</w:t>
                  </w:r>
                  <w:r>
                    <w:rPr>
                      <w:rFonts w:hint="eastAsia" w:ascii="Times New Roman" w:hAnsi="Times New Roman" w:eastAsia="宋体" w:cs="Times New Roman"/>
                      <w:b w:val="0"/>
                      <w:bCs w:val="0"/>
                      <w:color w:val="auto"/>
                      <w:sz w:val="21"/>
                      <w:szCs w:val="21"/>
                      <w:highlight w:val="none"/>
                      <w:lang w:val="en-US" w:eastAsia="zh-CN"/>
                    </w:rPr>
                    <w:t>，废气收集处理达标后通过15m高排气筒</w:t>
                  </w:r>
                  <w:r>
                    <w:rPr>
                      <w:rFonts w:hint="eastAsia" w:cs="Times New Roman"/>
                      <w:b w:val="0"/>
                      <w:bCs w:val="0"/>
                      <w:color w:val="auto"/>
                      <w:sz w:val="21"/>
                      <w:szCs w:val="21"/>
                      <w:highlight w:val="none"/>
                      <w:lang w:val="en-US" w:eastAsia="zh-CN"/>
                    </w:rPr>
                    <w:t>DA001</w:t>
                  </w:r>
                  <w:r>
                    <w:rPr>
                      <w:rFonts w:hint="eastAsia" w:ascii="Times New Roman" w:hAnsi="Times New Roman" w:eastAsia="宋体" w:cs="Times New Roman"/>
                      <w:b w:val="0"/>
                      <w:bCs w:val="0"/>
                      <w:color w:val="auto"/>
                      <w:sz w:val="21"/>
                      <w:szCs w:val="21"/>
                      <w:highlight w:val="none"/>
                      <w:lang w:val="en-US" w:eastAsia="zh-CN"/>
                    </w:rPr>
                    <w:t>~</w:t>
                  </w:r>
                  <w:r>
                    <w:rPr>
                      <w:rFonts w:hint="eastAsia" w:cs="Times New Roman"/>
                      <w:b w:val="0"/>
                      <w:bCs w:val="0"/>
                      <w:color w:val="auto"/>
                      <w:sz w:val="21"/>
                      <w:szCs w:val="21"/>
                      <w:highlight w:val="none"/>
                      <w:lang w:val="en-US" w:eastAsia="zh-CN"/>
                    </w:rPr>
                    <w:t>DA003</w:t>
                  </w:r>
                  <w:r>
                    <w:rPr>
                      <w:rFonts w:hint="eastAsia" w:ascii="Times New Roman" w:hAnsi="Times New Roman" w:eastAsia="宋体" w:cs="Times New Roman"/>
                      <w:b w:val="0"/>
                      <w:bCs w:val="0"/>
                      <w:color w:val="auto"/>
                      <w:sz w:val="21"/>
                      <w:szCs w:val="21"/>
                      <w:highlight w:val="none"/>
                      <w:lang w:val="en-US" w:eastAsia="zh-CN"/>
                    </w:rPr>
                    <w:t>高空排放；</w:t>
                  </w:r>
                </w:p>
                <w:p w14:paraId="211C987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2、新增颗粒物、非甲烷总烃、苯系物、臭气浓度</w:t>
                  </w:r>
                  <w:r>
                    <w:rPr>
                      <w:rFonts w:hint="eastAsia" w:cs="Times New Roman"/>
                      <w:b w:val="0"/>
                      <w:bCs w:val="0"/>
                      <w:color w:val="auto"/>
                      <w:sz w:val="21"/>
                      <w:szCs w:val="21"/>
                      <w:highlight w:val="none"/>
                      <w:lang w:val="en-US" w:eastAsia="zh-CN"/>
                    </w:rPr>
                    <w:t>、二氧化硫、氮氧化物</w:t>
                  </w:r>
                  <w:r>
                    <w:rPr>
                      <w:rFonts w:hint="eastAsia" w:ascii="Times New Roman" w:hAnsi="Times New Roman" w:eastAsia="宋体" w:cs="Times New Roman"/>
                      <w:b w:val="0"/>
                      <w:bCs w:val="0"/>
                      <w:color w:val="auto"/>
                      <w:sz w:val="21"/>
                      <w:szCs w:val="21"/>
                      <w:highlight w:val="none"/>
                      <w:lang w:val="en-US" w:eastAsia="zh-CN"/>
                    </w:rPr>
                    <w:t>排放</w:t>
                  </w:r>
                </w:p>
              </w:tc>
              <w:tc>
                <w:tcPr>
                  <w:tcW w:w="529" w:type="pct"/>
                  <w:noWrap w:val="0"/>
                  <w:vAlign w:val="center"/>
                </w:tcPr>
                <w:p w14:paraId="4D237BA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有变化</w:t>
                  </w:r>
                </w:p>
              </w:tc>
              <w:tc>
                <w:tcPr>
                  <w:tcW w:w="530" w:type="pct"/>
                  <w:noWrap w:val="0"/>
                  <w:vAlign w:val="center"/>
                </w:tcPr>
                <w:p w14:paraId="6BD81B7D">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是</w:t>
                  </w:r>
                </w:p>
              </w:tc>
            </w:tr>
            <w:tr w14:paraId="71C6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6B875E07">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9</w:t>
                  </w:r>
                </w:p>
              </w:tc>
              <w:tc>
                <w:tcPr>
                  <w:tcW w:w="1342" w:type="pct"/>
                  <w:noWrap w:val="0"/>
                  <w:vAlign w:val="center"/>
                </w:tcPr>
                <w:p w14:paraId="29A0C6F4">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新增废水直接排放口；废水由间接排放改为直接排放；废水直接排放口位置变化，导致不利环境影响加重的</w:t>
                  </w:r>
                </w:p>
              </w:tc>
              <w:tc>
                <w:tcPr>
                  <w:tcW w:w="1204" w:type="pct"/>
                  <w:noWrap w:val="0"/>
                  <w:vAlign w:val="center"/>
                </w:tcPr>
                <w:p w14:paraId="44BD7713">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原项目</w:t>
                  </w:r>
                  <w:r>
                    <w:rPr>
                      <w:rFonts w:hint="default" w:ascii="Times New Roman" w:hAnsi="Times New Roman" w:cs="Times New Roman"/>
                      <w:color w:val="auto"/>
                      <w:kern w:val="2"/>
                      <w:sz w:val="21"/>
                      <w:szCs w:val="21"/>
                      <w:highlight w:val="none"/>
                    </w:rPr>
                    <w:t>生活污水经三级化粪池</w:t>
                  </w:r>
                  <w:r>
                    <w:rPr>
                      <w:rFonts w:hint="default" w:ascii="Times New Roman" w:hAnsi="Times New Roman" w:cs="Times New Roman"/>
                      <w:color w:val="auto"/>
                      <w:kern w:val="2"/>
                      <w:sz w:val="21"/>
                      <w:szCs w:val="21"/>
                      <w:highlight w:val="none"/>
                      <w:lang w:val="en-US" w:eastAsia="zh-CN"/>
                    </w:rPr>
                    <w:t>+隔油隔渣池</w:t>
                  </w:r>
                  <w:r>
                    <w:rPr>
                      <w:rFonts w:hint="default" w:ascii="Times New Roman" w:hAnsi="Times New Roman" w:cs="Times New Roman"/>
                      <w:color w:val="auto"/>
                      <w:kern w:val="2"/>
                      <w:sz w:val="21"/>
                      <w:szCs w:val="21"/>
                      <w:highlight w:val="none"/>
                    </w:rPr>
                    <w:t>处理、生产废水经企业自建污水处理站处理后，经园区污水管网排入园区污水处理厂进一步处理后，排入武江</w:t>
                  </w:r>
                </w:p>
              </w:tc>
              <w:tc>
                <w:tcPr>
                  <w:tcW w:w="1122" w:type="pct"/>
                  <w:noWrap w:val="0"/>
                  <w:vAlign w:val="center"/>
                </w:tcPr>
                <w:p w14:paraId="56462DBF">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本</w:t>
                  </w:r>
                  <w:r>
                    <w:rPr>
                      <w:rFonts w:hint="eastAsia" w:ascii="Times New Roman" w:hAnsi="Times New Roman" w:eastAsia="宋体" w:cs="Times New Roman"/>
                      <w:b w:val="0"/>
                      <w:bCs w:val="0"/>
                      <w:color w:val="auto"/>
                      <w:sz w:val="21"/>
                      <w:szCs w:val="21"/>
                      <w:highlight w:val="none"/>
                      <w:lang w:val="en-US" w:eastAsia="zh-CN"/>
                    </w:rPr>
                    <w:t>项目</w:t>
                  </w:r>
                  <w:r>
                    <w:rPr>
                      <w:rFonts w:hint="default" w:ascii="Times New Roman" w:hAnsi="Times New Roman" w:cs="Times New Roman"/>
                      <w:color w:val="auto"/>
                      <w:kern w:val="2"/>
                      <w:sz w:val="21"/>
                      <w:szCs w:val="21"/>
                      <w:highlight w:val="none"/>
                    </w:rPr>
                    <w:t>生活污水经三级化粪池</w:t>
                  </w:r>
                  <w:r>
                    <w:rPr>
                      <w:rFonts w:hint="default" w:ascii="Times New Roman" w:hAnsi="Times New Roman" w:cs="Times New Roman"/>
                      <w:color w:val="auto"/>
                      <w:kern w:val="2"/>
                      <w:sz w:val="21"/>
                      <w:szCs w:val="21"/>
                      <w:highlight w:val="none"/>
                      <w:lang w:val="en-US" w:eastAsia="zh-CN"/>
                    </w:rPr>
                    <w:t>+隔油隔渣池</w:t>
                  </w:r>
                  <w:r>
                    <w:rPr>
                      <w:rFonts w:hint="default" w:ascii="Times New Roman" w:hAnsi="Times New Roman" w:cs="Times New Roman"/>
                      <w:color w:val="auto"/>
                      <w:kern w:val="2"/>
                      <w:sz w:val="21"/>
                      <w:szCs w:val="21"/>
                      <w:highlight w:val="none"/>
                    </w:rPr>
                    <w:t>处理、</w:t>
                  </w:r>
                  <w:r>
                    <w:rPr>
                      <w:rFonts w:hint="eastAsia" w:cs="Times New Roman"/>
                      <w:color w:val="auto"/>
                      <w:kern w:val="2"/>
                      <w:sz w:val="21"/>
                      <w:szCs w:val="21"/>
                      <w:highlight w:val="none"/>
                      <w:lang w:val="en-US" w:eastAsia="zh-CN"/>
                    </w:rPr>
                    <w:t>外排生产废水</w:t>
                  </w:r>
                  <w:r>
                    <w:rPr>
                      <w:rFonts w:hint="default" w:ascii="Times New Roman" w:hAnsi="Times New Roman" w:cs="Times New Roman"/>
                      <w:color w:val="auto"/>
                      <w:kern w:val="2"/>
                      <w:sz w:val="21"/>
                      <w:szCs w:val="21"/>
                      <w:highlight w:val="none"/>
                    </w:rPr>
                    <w:t>经企业自建污水处理站处理后，经园区污水管网排入园区污水处理厂进一步处理后，排入武江</w:t>
                  </w:r>
                </w:p>
              </w:tc>
              <w:tc>
                <w:tcPr>
                  <w:tcW w:w="529" w:type="pct"/>
                  <w:noWrap w:val="0"/>
                  <w:vAlign w:val="center"/>
                </w:tcPr>
                <w:p w14:paraId="6CB208E4">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无变化</w:t>
                  </w:r>
                </w:p>
              </w:tc>
              <w:tc>
                <w:tcPr>
                  <w:tcW w:w="530" w:type="pct"/>
                  <w:noWrap w:val="0"/>
                  <w:vAlign w:val="center"/>
                </w:tcPr>
                <w:p w14:paraId="7B88A7A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6105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7A5C90BF">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10</w:t>
                  </w:r>
                </w:p>
              </w:tc>
              <w:tc>
                <w:tcPr>
                  <w:tcW w:w="1342" w:type="pct"/>
                  <w:noWrap w:val="0"/>
                  <w:vAlign w:val="center"/>
                </w:tcPr>
                <w:p w14:paraId="15B61A03">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新增废气主要排放口（废气无组织排放改为有组织排放的除外）；主要排放口排气筒高度降低10%及以上的</w:t>
                  </w:r>
                </w:p>
              </w:tc>
              <w:tc>
                <w:tcPr>
                  <w:tcW w:w="1204" w:type="pct"/>
                  <w:noWrap w:val="0"/>
                  <w:vAlign w:val="center"/>
                </w:tcPr>
                <w:p w14:paraId="77C1AA0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原项目不涉及废气主要排放口</w:t>
                  </w:r>
                </w:p>
              </w:tc>
              <w:tc>
                <w:tcPr>
                  <w:tcW w:w="1122" w:type="pct"/>
                  <w:noWrap w:val="0"/>
                  <w:vAlign w:val="center"/>
                </w:tcPr>
                <w:p w14:paraId="2974A688">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本项目新增废气主要排放口</w:t>
                  </w:r>
                  <w:r>
                    <w:rPr>
                      <w:rFonts w:hint="eastAsia" w:cs="Times New Roman"/>
                      <w:b w:val="0"/>
                      <w:bCs w:val="0"/>
                      <w:color w:val="auto"/>
                      <w:sz w:val="21"/>
                      <w:szCs w:val="21"/>
                      <w:highlight w:val="none"/>
                      <w:lang w:val="en-US" w:eastAsia="zh-CN"/>
                    </w:rPr>
                    <w:t>2</w:t>
                  </w:r>
                  <w:r>
                    <w:rPr>
                      <w:rFonts w:hint="eastAsia" w:ascii="Times New Roman" w:hAnsi="Times New Roman" w:eastAsia="宋体" w:cs="Times New Roman"/>
                      <w:b w:val="0"/>
                      <w:bCs w:val="0"/>
                      <w:color w:val="auto"/>
                      <w:sz w:val="21"/>
                      <w:szCs w:val="21"/>
                      <w:highlight w:val="none"/>
                      <w:lang w:val="en-US" w:eastAsia="zh-CN"/>
                    </w:rPr>
                    <w:t>个</w:t>
                  </w:r>
                  <w:r>
                    <w:rPr>
                      <w:rFonts w:hint="eastAsia" w:cs="Times New Roman"/>
                      <w:b w:val="0"/>
                      <w:bCs w:val="0"/>
                      <w:color w:val="auto"/>
                      <w:sz w:val="21"/>
                      <w:szCs w:val="21"/>
                      <w:highlight w:val="none"/>
                      <w:lang w:val="en-US" w:eastAsia="zh-CN"/>
                    </w:rPr>
                    <w:t>，分别为喷漆废气排放口DA001和固化废气排放口DA002</w:t>
                  </w:r>
                </w:p>
              </w:tc>
              <w:tc>
                <w:tcPr>
                  <w:tcW w:w="529" w:type="pct"/>
                  <w:noWrap w:val="0"/>
                  <w:vAlign w:val="center"/>
                </w:tcPr>
                <w:p w14:paraId="0407206F">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变化</w:t>
                  </w:r>
                </w:p>
              </w:tc>
              <w:tc>
                <w:tcPr>
                  <w:tcW w:w="530" w:type="pct"/>
                  <w:noWrap w:val="0"/>
                  <w:vAlign w:val="center"/>
                </w:tcPr>
                <w:p w14:paraId="73BDDA61">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是</w:t>
                  </w:r>
                </w:p>
              </w:tc>
            </w:tr>
            <w:tr w14:paraId="7E97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5E359354">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11</w:t>
                  </w:r>
                </w:p>
              </w:tc>
              <w:tc>
                <w:tcPr>
                  <w:tcW w:w="1342" w:type="pct"/>
                  <w:noWrap w:val="0"/>
                  <w:vAlign w:val="center"/>
                </w:tcPr>
                <w:p w14:paraId="6135DBDC">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噪声、土壤或地下水污染防治措施变化，导致不利环境影响加重的</w:t>
                  </w:r>
                </w:p>
              </w:tc>
              <w:tc>
                <w:tcPr>
                  <w:tcW w:w="1204" w:type="pct"/>
                  <w:noWrap w:val="0"/>
                  <w:vAlign w:val="center"/>
                </w:tcPr>
                <w:p w14:paraId="523AFC8B">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原项目对生产设备采取减振、隔声、吸声、消声等治理措施；厂区地面已全部硬化，危废间、物料仓库地面硬化，并刷环氧树脂漆防渗层、设置围堰，正常情况下可有效阻止地下水污染途径</w:t>
                  </w:r>
                </w:p>
              </w:tc>
              <w:tc>
                <w:tcPr>
                  <w:tcW w:w="1122" w:type="pct"/>
                  <w:noWrap w:val="0"/>
                  <w:vAlign w:val="center"/>
                </w:tcPr>
                <w:p w14:paraId="58566E26">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本项目对生产设备采取减振、隔声、吸声、消声等治理措施；厂区地面已全部硬化，危废间、物料仓库地面硬化，并刷环氧树脂漆防渗层、设置围堰，正常情况下可有效阻止地下水污染途径</w:t>
                  </w:r>
                </w:p>
              </w:tc>
              <w:tc>
                <w:tcPr>
                  <w:tcW w:w="529" w:type="pct"/>
                  <w:noWrap w:val="0"/>
                  <w:vAlign w:val="center"/>
                </w:tcPr>
                <w:p w14:paraId="49B950A4">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无变化</w:t>
                  </w:r>
                </w:p>
              </w:tc>
              <w:tc>
                <w:tcPr>
                  <w:tcW w:w="530" w:type="pct"/>
                  <w:noWrap w:val="0"/>
                  <w:vAlign w:val="center"/>
                </w:tcPr>
                <w:p w14:paraId="29CB5D63">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0676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31B05E07">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12</w:t>
                  </w:r>
                </w:p>
              </w:tc>
              <w:tc>
                <w:tcPr>
                  <w:tcW w:w="1342" w:type="pct"/>
                  <w:noWrap w:val="0"/>
                  <w:vAlign w:val="center"/>
                </w:tcPr>
                <w:p w14:paraId="075E0E65">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固体废物利用处置方式由委托外单位利用处置改为自行利用处置的（自行利用处置设施单独开展环境影响评价的除外）；固体废物自行处置方式变化，导致不利环境影响加重的</w:t>
                  </w:r>
                </w:p>
              </w:tc>
              <w:tc>
                <w:tcPr>
                  <w:tcW w:w="1204" w:type="pct"/>
                  <w:noWrap w:val="0"/>
                  <w:vAlign w:val="center"/>
                </w:tcPr>
                <w:p w14:paraId="768C4BDA">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一般工业固体废物在厂内采用库房或包装工具贮存，贮存过程应满足相应防渗漏、防雨淋、防扬尘等环境保护要求，执行《一般工业固体废物贮存和填埋污染控制标准》（GB18599-2020）控制要求；危险废物贮存过程执行《危险废物贮存污染控制标准》（GB18597-2023）和《危险废物收集贮存运输技术规范》（HJ 2025-2012）。</w:t>
                  </w:r>
                </w:p>
              </w:tc>
              <w:tc>
                <w:tcPr>
                  <w:tcW w:w="1122" w:type="pct"/>
                  <w:noWrap w:val="0"/>
                  <w:vAlign w:val="center"/>
                </w:tcPr>
                <w:p w14:paraId="65E4DA04">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一般工业固体废物在厂内采用库房或包装工具贮存，贮存过程应满足相应防渗漏、防雨淋、防扬尘等环境保护要求；危险废物贮存过程执行《危险废物贮存污染控制标准》（GB18597-2023）和《危险废物收集贮存运输技术规范》（HJ 2025-2012）。</w:t>
                  </w:r>
                </w:p>
              </w:tc>
              <w:tc>
                <w:tcPr>
                  <w:tcW w:w="529" w:type="pct"/>
                  <w:noWrap w:val="0"/>
                  <w:vAlign w:val="center"/>
                </w:tcPr>
                <w:p w14:paraId="22FB9782">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无变化</w:t>
                  </w:r>
                </w:p>
              </w:tc>
              <w:tc>
                <w:tcPr>
                  <w:tcW w:w="530" w:type="pct"/>
                  <w:noWrap w:val="0"/>
                  <w:vAlign w:val="center"/>
                </w:tcPr>
                <w:p w14:paraId="6C9C939D">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否</w:t>
                  </w:r>
                </w:p>
              </w:tc>
            </w:tr>
            <w:tr w14:paraId="3E8C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0" w:type="pct"/>
                  <w:noWrap w:val="0"/>
                  <w:vAlign w:val="center"/>
                </w:tcPr>
                <w:p w14:paraId="2B14EC0D">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13</w:t>
                  </w:r>
                </w:p>
              </w:tc>
              <w:tc>
                <w:tcPr>
                  <w:tcW w:w="1342" w:type="pct"/>
                  <w:noWrap w:val="0"/>
                  <w:vAlign w:val="center"/>
                </w:tcPr>
                <w:p w14:paraId="6255A085">
                  <w:pPr>
                    <w:spacing w:line="240" w:lineRule="auto"/>
                    <w:jc w:val="center"/>
                    <w:rPr>
                      <w:rFonts w:hint="default"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事故废水暂存能力或拦截设施变化，导致环境风险防范能力弱化或降低的</w:t>
                  </w:r>
                </w:p>
              </w:tc>
              <w:tc>
                <w:tcPr>
                  <w:tcW w:w="1204" w:type="pct"/>
                  <w:noWrap w:val="0"/>
                  <w:vAlign w:val="center"/>
                </w:tcPr>
                <w:p w14:paraId="682EE648">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原项目1个有效容积为</w:t>
                  </w:r>
                  <w:r>
                    <w:rPr>
                      <w:rFonts w:hint="eastAsia" w:cs="Times New Roman"/>
                      <w:b w:val="0"/>
                      <w:bCs w:val="0"/>
                      <w:color w:val="auto"/>
                      <w:sz w:val="21"/>
                      <w:szCs w:val="21"/>
                      <w:highlight w:val="none"/>
                      <w:lang w:val="en-US" w:eastAsia="zh-CN"/>
                    </w:rPr>
                    <w:t>18</w:t>
                  </w:r>
                  <w:r>
                    <w:rPr>
                      <w:rFonts w:hint="eastAsia" w:ascii="Times New Roman" w:hAnsi="Times New Roman" w:eastAsia="宋体" w:cs="Times New Roman"/>
                      <w:b w:val="0"/>
                      <w:bCs w:val="0"/>
                      <w:color w:val="auto"/>
                      <w:sz w:val="21"/>
                      <w:szCs w:val="21"/>
                      <w:highlight w:val="none"/>
                      <w:lang w:val="en-US" w:eastAsia="zh-CN"/>
                    </w:rPr>
                    <w:t>0m</w:t>
                  </w:r>
                  <w:r>
                    <w:rPr>
                      <w:rFonts w:hint="eastAsia" w:ascii="Times New Roman" w:hAnsi="Times New Roman" w:eastAsia="宋体" w:cs="Times New Roman"/>
                      <w:b w:val="0"/>
                      <w:bCs w:val="0"/>
                      <w:color w:val="auto"/>
                      <w:sz w:val="21"/>
                      <w:szCs w:val="21"/>
                      <w:highlight w:val="none"/>
                      <w:vertAlign w:val="superscript"/>
                      <w:lang w:val="en-US" w:eastAsia="zh-CN"/>
                    </w:rPr>
                    <w:t>3</w:t>
                  </w:r>
                  <w:r>
                    <w:rPr>
                      <w:rFonts w:hint="eastAsia" w:ascii="Times New Roman" w:hAnsi="Times New Roman" w:eastAsia="宋体" w:cs="Times New Roman"/>
                      <w:b w:val="0"/>
                      <w:bCs w:val="0"/>
                      <w:color w:val="auto"/>
                      <w:sz w:val="21"/>
                      <w:szCs w:val="21"/>
                      <w:highlight w:val="none"/>
                      <w:lang w:val="en-US" w:eastAsia="zh-CN"/>
                    </w:rPr>
                    <w:t>的事故应急池，当发生事故时，泄漏物料、消防废水等事故废水均能截留在厂区内</w:t>
                  </w:r>
                </w:p>
              </w:tc>
              <w:tc>
                <w:tcPr>
                  <w:tcW w:w="1122" w:type="pct"/>
                  <w:noWrap w:val="0"/>
                  <w:vAlign w:val="center"/>
                </w:tcPr>
                <w:p w14:paraId="64A8ADF4">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本项目1个有效容积为</w:t>
                  </w:r>
                  <w:r>
                    <w:rPr>
                      <w:rFonts w:hint="eastAsia" w:cs="Times New Roman"/>
                      <w:b w:val="0"/>
                      <w:bCs w:val="0"/>
                      <w:color w:val="auto"/>
                      <w:sz w:val="21"/>
                      <w:szCs w:val="21"/>
                      <w:highlight w:val="none"/>
                      <w:lang w:val="en-US" w:eastAsia="zh-CN"/>
                    </w:rPr>
                    <w:t>150</w:t>
                  </w:r>
                  <w:r>
                    <w:rPr>
                      <w:rFonts w:hint="eastAsia" w:ascii="Times New Roman" w:hAnsi="Times New Roman" w:eastAsia="宋体" w:cs="Times New Roman"/>
                      <w:b w:val="0"/>
                      <w:bCs w:val="0"/>
                      <w:color w:val="auto"/>
                      <w:sz w:val="21"/>
                      <w:szCs w:val="21"/>
                      <w:highlight w:val="none"/>
                      <w:lang w:val="en-US" w:eastAsia="zh-CN"/>
                    </w:rPr>
                    <w:t>m</w:t>
                  </w:r>
                  <w:r>
                    <w:rPr>
                      <w:rFonts w:hint="eastAsia" w:ascii="Times New Roman" w:hAnsi="Times New Roman" w:eastAsia="宋体" w:cs="Times New Roman"/>
                      <w:b w:val="0"/>
                      <w:bCs w:val="0"/>
                      <w:color w:val="auto"/>
                      <w:sz w:val="21"/>
                      <w:szCs w:val="21"/>
                      <w:highlight w:val="none"/>
                      <w:vertAlign w:val="superscript"/>
                      <w:lang w:val="en-US" w:eastAsia="zh-CN"/>
                    </w:rPr>
                    <w:t>3</w:t>
                  </w:r>
                  <w:r>
                    <w:rPr>
                      <w:rFonts w:hint="eastAsia" w:ascii="Times New Roman" w:hAnsi="Times New Roman" w:eastAsia="宋体" w:cs="Times New Roman"/>
                      <w:b w:val="0"/>
                      <w:bCs w:val="0"/>
                      <w:color w:val="auto"/>
                      <w:sz w:val="21"/>
                      <w:szCs w:val="21"/>
                      <w:highlight w:val="none"/>
                      <w:lang w:val="en-US" w:eastAsia="zh-CN"/>
                    </w:rPr>
                    <w:t>的事故应急池，当发生事故时，泄漏物料、消防废水等事故废水均能截留在厂区内</w:t>
                  </w:r>
                </w:p>
              </w:tc>
              <w:tc>
                <w:tcPr>
                  <w:tcW w:w="529" w:type="pct"/>
                  <w:noWrap w:val="0"/>
                  <w:vAlign w:val="center"/>
                </w:tcPr>
                <w:p w14:paraId="4E0B61CF">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变化</w:t>
                  </w:r>
                </w:p>
              </w:tc>
              <w:tc>
                <w:tcPr>
                  <w:tcW w:w="530" w:type="pct"/>
                  <w:noWrap w:val="0"/>
                  <w:vAlign w:val="center"/>
                </w:tcPr>
                <w:p w14:paraId="341BE16A">
                  <w:pPr>
                    <w:spacing w:line="240" w:lineRule="auto"/>
                    <w:jc w:val="center"/>
                    <w:rPr>
                      <w:rFonts w:hint="eastAsia"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是</w:t>
                  </w:r>
                </w:p>
              </w:tc>
            </w:tr>
          </w:tbl>
          <w:p w14:paraId="189A6F01">
            <w:pPr>
              <w:widowControl w:val="0"/>
              <w:spacing w:line="360" w:lineRule="auto"/>
              <w:ind w:firstLine="480" w:firstLineChars="200"/>
              <w:jc w:val="both"/>
              <w:rPr>
                <w:rFonts w:hint="eastAsia" w:ascii="Times New Roman" w:hAnsi="Times New Roman" w:eastAsia="宋体" w:cs="Times New Roman"/>
                <w:color w:val="auto"/>
                <w:kern w:val="0"/>
                <w:sz w:val="24"/>
                <w:szCs w:val="24"/>
                <w:highlight w:val="none"/>
                <w:lang w:val="en-US" w:eastAsia="zh-CN" w:bidi="ar-SA"/>
              </w:rPr>
            </w:pPr>
          </w:p>
          <w:p w14:paraId="70BEADBD">
            <w:pPr>
              <w:pStyle w:val="43"/>
              <w:spacing w:after="0" w:line="360" w:lineRule="auto"/>
              <w:ind w:firstLine="480" w:firstLineChars="200"/>
              <w:rPr>
                <w:rFonts w:hint="default" w:ascii="Times New Roman" w:hAnsi="Times New Roman" w:eastAsia="宋体" w:cs="Times New Roman"/>
                <w:color w:val="auto"/>
                <w:sz w:val="24"/>
                <w:highlight w:val="none"/>
              </w:rPr>
            </w:pPr>
            <w:r>
              <w:rPr>
                <w:rFonts w:hint="eastAsia" w:cs="Times New Roman"/>
                <w:color w:val="auto"/>
                <w:kern w:val="0"/>
                <w:sz w:val="24"/>
                <w:szCs w:val="24"/>
                <w:highlight w:val="none"/>
                <w:lang w:val="en-US" w:eastAsia="zh-CN" w:bidi="ar-SA"/>
              </w:rPr>
              <w:t>由于发生上述重大变动</w:t>
            </w:r>
            <w:r>
              <w:rPr>
                <w:rFonts w:hint="default" w:ascii="Times New Roman" w:hAnsi="Times New Roman" w:cs="Times New Roman"/>
                <w:color w:val="auto"/>
                <w:kern w:val="0"/>
                <w:sz w:val="24"/>
                <w:szCs w:val="24"/>
                <w:highlight w:val="none"/>
                <w:lang w:val="en-US" w:eastAsia="zh-CN" w:bidi="ar-SA"/>
              </w:rPr>
              <w:t>，</w:t>
            </w:r>
            <w:r>
              <w:rPr>
                <w:rFonts w:hint="default" w:ascii="Times New Roman" w:hAnsi="Times New Roman" w:eastAsia="宋体" w:cs="Times New Roman"/>
                <w:color w:val="auto"/>
                <w:sz w:val="24"/>
                <w:szCs w:val="24"/>
              </w:rPr>
              <w:t>根据《中华人民共和国生态环境法典》（2026 年 8 月 15 日起施行）第一百零六条规定</w:t>
            </w:r>
            <w:r>
              <w:rPr>
                <w:rFonts w:ascii="宋体" w:hAnsi="宋体" w:eastAsia="宋体" w:cs="宋体"/>
                <w:color w:val="auto"/>
                <w:sz w:val="24"/>
                <w:szCs w:val="24"/>
              </w:rPr>
              <w:t>，建设项目生态环境影响报告书（表）获批后，项目性质、规模、地点、生产工艺或者污染防治、生态保护措施发生重大变动的，建设单位应当重新报批生态环境影响报告书（表）。</w:t>
            </w:r>
            <w:r>
              <w:rPr>
                <w:rFonts w:hint="default" w:ascii="Times New Roman" w:hAnsi="Times New Roman" w:eastAsia="宋体" w:cs="Times New Roman"/>
                <w:color w:val="auto"/>
                <w:kern w:val="0"/>
                <w:sz w:val="24"/>
                <w:szCs w:val="24"/>
                <w:highlight w:val="none"/>
                <w:lang w:val="en-US" w:eastAsia="zh-CN" w:bidi="ar-SA"/>
              </w:rPr>
              <w:t>为此，</w:t>
            </w:r>
            <w:r>
              <w:rPr>
                <w:rFonts w:hint="eastAsia" w:ascii="Times New Roman" w:hAnsi="Times New Roman" w:eastAsia="宋体" w:cs="Times New Roman"/>
                <w:color w:val="auto"/>
                <w:kern w:val="0"/>
                <w:sz w:val="24"/>
                <w:szCs w:val="24"/>
                <w:highlight w:val="none"/>
                <w:lang w:val="en-US" w:eastAsia="zh-CN" w:bidi="ar-SA"/>
              </w:rPr>
              <w:t>建设单位根</w:t>
            </w:r>
            <w:r>
              <w:rPr>
                <w:rFonts w:hint="default" w:ascii="Times New Roman" w:hAnsi="Times New Roman" w:eastAsia="宋体" w:cs="Times New Roman"/>
                <w:color w:val="auto"/>
                <w:kern w:val="0"/>
                <w:sz w:val="24"/>
                <w:szCs w:val="24"/>
                <w:highlight w:val="none"/>
                <w:lang w:val="en-US" w:eastAsia="zh-CN" w:bidi="ar-SA"/>
              </w:rPr>
              <w:t>据相关管理部门的建议，重新报批</w:t>
            </w:r>
            <w:r>
              <w:rPr>
                <w:rFonts w:hint="eastAsia" w:cs="Times New Roman"/>
                <w:color w:val="auto"/>
                <w:kern w:val="0"/>
                <w:sz w:val="24"/>
                <w:szCs w:val="24"/>
                <w:highlight w:val="none"/>
                <w:lang w:val="en-US" w:eastAsia="zh-CN" w:bidi="ar-SA"/>
              </w:rPr>
              <w:t>生态</w:t>
            </w:r>
            <w:r>
              <w:rPr>
                <w:rFonts w:hint="default" w:ascii="Times New Roman" w:hAnsi="Times New Roman" w:eastAsia="宋体" w:cs="Times New Roman"/>
                <w:color w:val="auto"/>
                <w:kern w:val="0"/>
                <w:sz w:val="24"/>
                <w:szCs w:val="24"/>
                <w:highlight w:val="none"/>
                <w:lang w:val="en-US" w:eastAsia="zh-CN" w:bidi="ar-SA"/>
              </w:rPr>
              <w:t>环境影响评价文件。</w:t>
            </w:r>
          </w:p>
          <w:p w14:paraId="03A4175B">
            <w:pPr>
              <w:pStyle w:val="43"/>
              <w:spacing w:after="0" w:line="360" w:lineRule="auto"/>
              <w:ind w:firstLine="480" w:firstLineChars="200"/>
              <w:rPr>
                <w:rFonts w:hint="default" w:ascii="Times New Roman" w:hAnsi="Times New Roman" w:eastAsia="宋体" w:cs="Times New Roman"/>
                <w:b/>
                <w:color w:val="auto"/>
                <w:sz w:val="18"/>
                <w:szCs w:val="18"/>
                <w:highlight w:val="none"/>
                <w:lang w:eastAsia="zh-CN"/>
              </w:rPr>
            </w:pPr>
            <w:r>
              <w:rPr>
                <w:rFonts w:hint="default" w:ascii="Times New Roman" w:hAnsi="Times New Roman" w:eastAsia="宋体" w:cs="Times New Roman"/>
                <w:color w:val="auto"/>
                <w:sz w:val="24"/>
                <w:highlight w:val="none"/>
              </w:rPr>
              <w:t>因此，受</w:t>
            </w:r>
            <w:r>
              <w:rPr>
                <w:rFonts w:hint="eastAsia" w:ascii="Times New Roman" w:hAnsi="Times New Roman" w:eastAsia="宋体" w:cs="Times New Roman"/>
                <w:color w:val="auto"/>
                <w:sz w:val="24"/>
                <w:highlight w:val="none"/>
                <w:lang w:eastAsia="zh-CN"/>
              </w:rPr>
              <w:t>广东三筑金属制品有限公司</w:t>
            </w:r>
            <w:r>
              <w:rPr>
                <w:rFonts w:hint="default" w:ascii="Times New Roman" w:hAnsi="Times New Roman" w:eastAsia="宋体" w:cs="Times New Roman"/>
                <w:color w:val="auto"/>
                <w:sz w:val="24"/>
                <w:highlight w:val="none"/>
              </w:rPr>
              <w:t>委托</w:t>
            </w:r>
            <w:r>
              <w:rPr>
                <w:rFonts w:hint="default" w:ascii="Times New Roman" w:hAnsi="Times New Roman" w:eastAsia="宋体" w:cs="Times New Roman"/>
                <w:color w:val="auto"/>
                <w:sz w:val="24"/>
                <w:highlight w:val="none"/>
                <w:lang w:val="en-US" w:eastAsia="zh-CN"/>
              </w:rPr>
              <w:t>，我公司承担了该项目的</w:t>
            </w:r>
            <w:r>
              <w:rPr>
                <w:rFonts w:hint="eastAsia" w:cs="Times New Roman"/>
                <w:color w:val="auto"/>
                <w:sz w:val="24"/>
                <w:highlight w:val="none"/>
                <w:lang w:val="en-US" w:eastAsia="zh-CN"/>
              </w:rPr>
              <w:t>生态</w:t>
            </w:r>
            <w:r>
              <w:rPr>
                <w:rFonts w:hint="default" w:ascii="Times New Roman" w:hAnsi="Times New Roman" w:eastAsia="宋体" w:cs="Times New Roman"/>
                <w:color w:val="auto"/>
                <w:sz w:val="24"/>
                <w:highlight w:val="none"/>
                <w:lang w:val="en-US" w:eastAsia="zh-CN"/>
              </w:rPr>
              <w:t>环境影响评价工作。接受委托后，在现场踏勘和资料收集等的基础上，根据环境影响评价技术导则</w:t>
            </w:r>
            <w:r>
              <w:rPr>
                <w:rFonts w:hint="eastAsia" w:ascii="Times New Roman" w:hAnsi="Times New Roman" w:eastAsia="宋体" w:cs="Times New Roman"/>
                <w:color w:val="auto"/>
                <w:sz w:val="24"/>
                <w:highlight w:val="none"/>
                <w:lang w:val="en-US" w:eastAsia="zh-CN"/>
              </w:rPr>
              <w:t>及其他有关</w:t>
            </w:r>
            <w:r>
              <w:rPr>
                <w:rFonts w:hint="default" w:ascii="Times New Roman" w:hAnsi="Times New Roman" w:eastAsia="宋体" w:cs="Times New Roman"/>
                <w:color w:val="auto"/>
                <w:sz w:val="24"/>
                <w:highlight w:val="none"/>
                <w:lang w:val="en-US" w:eastAsia="zh-CN"/>
              </w:rPr>
              <w:t>文件，编制了《</w:t>
            </w:r>
            <w:r>
              <w:rPr>
                <w:rFonts w:hint="eastAsia" w:ascii="Times New Roman" w:hAnsi="Times New Roman" w:eastAsia="宋体" w:cs="Times New Roman"/>
                <w:color w:val="auto"/>
                <w:sz w:val="24"/>
                <w:highlight w:val="none"/>
                <w:lang w:eastAsia="zh-CN"/>
              </w:rPr>
              <w:t>乐昌市三筑金属材料智造项目</w:t>
            </w:r>
            <w:r>
              <w:rPr>
                <w:rFonts w:hint="eastAsia" w:ascii="Times New Roman" w:hAnsi="Times New Roman" w:eastAsia="宋体" w:cs="Times New Roman"/>
                <w:color w:val="auto"/>
                <w:sz w:val="24"/>
                <w:highlight w:val="none"/>
                <w:lang w:val="en-US" w:eastAsia="zh-CN"/>
              </w:rPr>
              <w:t>（重新报批）</w:t>
            </w:r>
            <w:r>
              <w:rPr>
                <w:rFonts w:hint="eastAsia" w:cs="Times New Roman"/>
                <w:color w:val="auto"/>
                <w:sz w:val="24"/>
                <w:highlight w:val="none"/>
                <w:lang w:val="en-US" w:eastAsia="zh-CN"/>
              </w:rPr>
              <w:t>生态</w:t>
            </w:r>
            <w:r>
              <w:rPr>
                <w:rFonts w:hint="default" w:ascii="Times New Roman" w:hAnsi="Times New Roman" w:eastAsia="宋体" w:cs="Times New Roman"/>
                <w:color w:val="auto"/>
                <w:sz w:val="24"/>
                <w:highlight w:val="none"/>
                <w:lang w:val="en-US" w:eastAsia="zh-CN"/>
              </w:rPr>
              <w:t>环境影响报告表》</w:t>
            </w:r>
            <w:r>
              <w:rPr>
                <w:rFonts w:hint="default" w:ascii="Times New Roman" w:hAnsi="Times New Roman" w:eastAsia="宋体" w:cs="Times New Roman"/>
                <w:color w:val="auto"/>
                <w:sz w:val="24"/>
                <w:highlight w:val="none"/>
              </w:rPr>
              <w:t>。</w:t>
            </w:r>
          </w:p>
          <w:p w14:paraId="27224293">
            <w:pPr>
              <w:pStyle w:val="43"/>
              <w:spacing w:after="0" w:line="360" w:lineRule="auto"/>
              <w:ind w:firstLine="482" w:firstLineChars="200"/>
              <w:rPr>
                <w:rFonts w:hint="default" w:ascii="Times New Roman" w:hAnsi="Times New Roman" w:eastAsia="宋体" w:cs="Times New Roman"/>
                <w:b/>
                <w:bCs/>
                <w:color w:val="auto"/>
                <w:sz w:val="24"/>
                <w:highlight w:val="none"/>
              </w:rPr>
            </w:pPr>
            <w:r>
              <w:rPr>
                <w:rFonts w:hint="eastAsia" w:ascii="Times New Roman" w:hAnsi="Times New Roman" w:eastAsia="宋体" w:cs="Times New Roman"/>
                <w:b/>
                <w:bCs/>
                <w:color w:val="auto"/>
                <w:sz w:val="24"/>
                <w:highlight w:val="none"/>
                <w:lang w:val="en-US" w:eastAsia="zh-CN"/>
              </w:rPr>
              <w:t>二、</w:t>
            </w:r>
            <w:r>
              <w:rPr>
                <w:rFonts w:hint="default" w:ascii="Times New Roman" w:hAnsi="Times New Roman" w:eastAsia="宋体" w:cs="Times New Roman"/>
                <w:b/>
                <w:bCs/>
                <w:color w:val="auto"/>
                <w:sz w:val="24"/>
                <w:highlight w:val="none"/>
              </w:rPr>
              <w:t>项目内容及规模</w:t>
            </w:r>
          </w:p>
          <w:p w14:paraId="6B494F19">
            <w:pPr>
              <w:pStyle w:val="20"/>
              <w:numPr>
                <w:ilvl w:val="3"/>
                <w:numId w:val="0"/>
              </w:numPr>
              <w:suppressLineNumbers w:val="0"/>
              <w:tabs>
                <w:tab w:val="left" w:pos="420"/>
              </w:tabs>
              <w:spacing w:before="0" w:beforeAutospacing="0" w:after="0" w:afterAutospacing="0" w:line="360" w:lineRule="auto"/>
              <w:ind w:left="-960" w:right="0" w:firstLine="144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1、工程规模</w:t>
            </w:r>
          </w:p>
          <w:p w14:paraId="72E6E5E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zh-CN"/>
              </w:rPr>
            </w:pPr>
            <w:r>
              <w:rPr>
                <w:rFonts w:hint="eastAsia" w:cs="Times New Roman"/>
                <w:color w:val="auto"/>
                <w:sz w:val="24"/>
                <w:szCs w:val="24"/>
                <w:highlight w:val="none"/>
                <w:lang w:val="en-US" w:eastAsia="zh-CN"/>
              </w:rPr>
              <w:t>本项目位于</w:t>
            </w:r>
            <w:r>
              <w:rPr>
                <w:rFonts w:hint="eastAsia" w:cs="Times New Roman"/>
                <w:color w:val="auto"/>
                <w:sz w:val="24"/>
                <w:szCs w:val="24"/>
                <w:highlight w:val="none"/>
                <w:lang w:eastAsia="zh-CN"/>
              </w:rPr>
              <w:t>韶关市乐昌市乐昌产业转移工业园GL-02-02-01地块</w:t>
            </w:r>
            <w:r>
              <w:rPr>
                <w:rFonts w:hint="default" w:ascii="Times New Roman" w:hAnsi="Times New Roman" w:cs="Times New Roman"/>
                <w:color w:val="auto"/>
                <w:sz w:val="24"/>
                <w:szCs w:val="24"/>
                <w:highlight w:val="none"/>
              </w:rPr>
              <w:t>，建</w:t>
            </w:r>
            <w:r>
              <w:rPr>
                <w:rFonts w:hint="default" w:ascii="Times New Roman" w:hAnsi="Times New Roman" w:cs="Times New Roman"/>
                <w:color w:val="auto"/>
                <w:sz w:val="24"/>
                <w:szCs w:val="24"/>
                <w:highlight w:val="none"/>
                <w:lang w:val="en-US" w:eastAsia="zh-CN"/>
              </w:rPr>
              <w:t>设</w:t>
            </w:r>
            <w:r>
              <w:rPr>
                <w:rFonts w:hint="eastAsia"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栋单层厂房</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1栋</w:t>
            </w:r>
            <w:r>
              <w:rPr>
                <w:rFonts w:hint="eastAsia" w:cs="Times New Roman"/>
                <w:color w:val="auto"/>
                <w:sz w:val="24"/>
                <w:szCs w:val="24"/>
                <w:highlight w:val="none"/>
                <w:lang w:val="en-US" w:eastAsia="zh-CN"/>
              </w:rPr>
              <w:t>5层</w:t>
            </w:r>
            <w:r>
              <w:rPr>
                <w:rFonts w:hint="default" w:ascii="Times New Roman" w:hAnsi="Times New Roman" w:cs="Times New Roman"/>
                <w:color w:val="auto"/>
                <w:sz w:val="24"/>
                <w:szCs w:val="24"/>
                <w:highlight w:val="none"/>
              </w:rPr>
              <w:t>宿舍楼</w:t>
            </w:r>
            <w:r>
              <w:rPr>
                <w:rFonts w:hint="default" w:ascii="Times New Roman" w:hAnsi="Times New Roman" w:cs="Times New Roman"/>
                <w:color w:val="auto"/>
                <w:sz w:val="24"/>
                <w:szCs w:val="24"/>
                <w:highlight w:val="none"/>
                <w:lang w:val="en-US" w:eastAsia="zh-CN"/>
              </w:rPr>
              <w:t>和1栋</w:t>
            </w:r>
            <w:r>
              <w:rPr>
                <w:rFonts w:hint="eastAsia" w:cs="Times New Roman"/>
                <w:color w:val="auto"/>
                <w:sz w:val="24"/>
                <w:szCs w:val="24"/>
                <w:highlight w:val="none"/>
                <w:lang w:val="en-US" w:eastAsia="zh-CN"/>
              </w:rPr>
              <w:t>9</w:t>
            </w:r>
            <w:r>
              <w:rPr>
                <w:rFonts w:hint="default" w:ascii="Times New Roman" w:hAnsi="Times New Roman" w:cs="Times New Roman"/>
                <w:color w:val="auto"/>
                <w:sz w:val="24"/>
                <w:szCs w:val="24"/>
                <w:highlight w:val="none"/>
                <w:lang w:val="en-US" w:eastAsia="zh-CN"/>
              </w:rPr>
              <w:t>层综合楼</w:t>
            </w:r>
            <w:r>
              <w:rPr>
                <w:rFonts w:hint="default" w:ascii="Times New Roman" w:hAnsi="Times New Roman" w:cs="Times New Roman"/>
                <w:color w:val="auto"/>
                <w:sz w:val="24"/>
                <w:szCs w:val="24"/>
                <w:highlight w:val="none"/>
              </w:rPr>
              <w:t>，本项目总占地面积</w:t>
            </w:r>
            <w:r>
              <w:rPr>
                <w:rFonts w:hint="eastAsia" w:ascii="Times New Roman" w:hAnsi="Times New Roman" w:cs="Times New Roman"/>
                <w:color w:val="auto"/>
                <w:sz w:val="24"/>
                <w:szCs w:val="24"/>
                <w:highlight w:val="none"/>
                <w:lang w:val="en-US" w:eastAsia="zh-CN"/>
              </w:rPr>
              <w:t>54139.29</w:t>
            </w:r>
            <w:r>
              <w:rPr>
                <w:rFonts w:hint="default" w:ascii="Times New Roman" w:hAnsi="Times New Roman" w:cs="Times New Roman"/>
                <w:color w:val="auto"/>
                <w:sz w:val="24"/>
                <w:szCs w:val="24"/>
                <w:highlight w:val="none"/>
              </w:rPr>
              <w:t>m²，总建筑面积</w:t>
            </w:r>
            <w:r>
              <w:rPr>
                <w:rFonts w:hint="eastAsia" w:ascii="Times New Roman" w:hAnsi="Times New Roman" w:cs="Times New Roman"/>
                <w:color w:val="auto"/>
                <w:sz w:val="24"/>
                <w:szCs w:val="24"/>
                <w:highlight w:val="none"/>
                <w:lang w:val="en-US" w:eastAsia="zh-CN"/>
              </w:rPr>
              <w:t>43886.37</w:t>
            </w:r>
            <w:r>
              <w:rPr>
                <w:rFonts w:hint="default" w:ascii="Times New Roman" w:hAnsi="Times New Roman" w:cs="Times New Roman"/>
                <w:color w:val="auto"/>
                <w:sz w:val="24"/>
                <w:szCs w:val="24"/>
                <w:highlight w:val="none"/>
              </w:rPr>
              <w:t>m²。项目</w:t>
            </w:r>
            <w:r>
              <w:rPr>
                <w:rFonts w:hint="default" w:ascii="Times New Roman" w:hAnsi="Times New Roman" w:cs="Times New Roman"/>
                <w:color w:val="auto"/>
                <w:sz w:val="24"/>
                <w:szCs w:val="24"/>
                <w:highlight w:val="none"/>
                <w:lang w:val="en-US" w:eastAsia="zh-CN"/>
              </w:rPr>
              <w:t>主要</w:t>
            </w:r>
            <w:r>
              <w:rPr>
                <w:rFonts w:hint="default" w:ascii="Times New Roman" w:hAnsi="Times New Roman" w:cs="Times New Roman"/>
                <w:color w:val="auto"/>
                <w:sz w:val="24"/>
                <w:szCs w:val="24"/>
                <w:highlight w:val="none"/>
              </w:rPr>
              <w:t>经济技术指标</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bCs/>
                <w:color w:val="auto"/>
                <w:kern w:val="0"/>
                <w:sz w:val="24"/>
                <w:szCs w:val="24"/>
                <w:highlight w:val="none"/>
              </w:rPr>
              <w:t>建筑物情况</w:t>
            </w:r>
            <w:r>
              <w:rPr>
                <w:rFonts w:hint="eastAsia" w:ascii="Times New Roman" w:hAnsi="Times New Roman" w:cs="Times New Roman"/>
                <w:bCs/>
                <w:color w:val="auto"/>
                <w:kern w:val="0"/>
                <w:sz w:val="24"/>
                <w:szCs w:val="24"/>
                <w:highlight w:val="none"/>
                <w:lang w:val="en-US" w:eastAsia="zh-CN"/>
              </w:rPr>
              <w:t>及</w:t>
            </w:r>
            <w:r>
              <w:rPr>
                <w:rFonts w:hint="default" w:ascii="Times New Roman" w:hAnsi="Times New Roman" w:cs="Times New Roman"/>
                <w:color w:val="auto"/>
                <w:sz w:val="24"/>
                <w:szCs w:val="24"/>
                <w:highlight w:val="none"/>
              </w:rPr>
              <w:t>工程组成</w:t>
            </w:r>
            <w:r>
              <w:rPr>
                <w:rFonts w:hint="eastAsia" w:ascii="Times New Roman" w:hAnsi="Times New Roman" w:cs="Times New Roman"/>
                <w:color w:val="auto"/>
                <w:sz w:val="24"/>
                <w:szCs w:val="24"/>
                <w:highlight w:val="none"/>
                <w:lang w:val="en-US" w:eastAsia="zh-CN"/>
              </w:rPr>
              <w:t>等</w:t>
            </w:r>
            <w:r>
              <w:rPr>
                <w:rFonts w:hint="default" w:ascii="Times New Roman" w:hAnsi="Times New Roman" w:cs="Times New Roman"/>
                <w:color w:val="auto"/>
                <w:sz w:val="24"/>
                <w:szCs w:val="24"/>
                <w:highlight w:val="none"/>
              </w:rPr>
              <w:t>内容见</w:t>
            </w:r>
            <w:r>
              <w:rPr>
                <w:rFonts w:hint="eastAsia" w:ascii="Times New Roman" w:hAnsi="Times New Roman" w:cs="Times New Roman"/>
                <w:color w:val="auto"/>
                <w:sz w:val="24"/>
                <w:szCs w:val="24"/>
                <w:highlight w:val="none"/>
                <w:lang w:val="en-US" w:eastAsia="zh-CN"/>
              </w:rPr>
              <w:t>下表</w:t>
            </w:r>
            <w:r>
              <w:rPr>
                <w:rFonts w:hint="default" w:ascii="Times New Roman" w:hAnsi="Times New Roman" w:cs="Times New Roman"/>
                <w:color w:val="auto"/>
                <w:sz w:val="24"/>
                <w:szCs w:val="24"/>
                <w:highlight w:val="none"/>
                <w:lang w:val="zh-CN"/>
              </w:rPr>
              <w:t>。</w:t>
            </w:r>
          </w:p>
          <w:p w14:paraId="4436A3E3">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w:t>
            </w:r>
            <w:r>
              <w:rPr>
                <w:rFonts w:hint="eastAsia" w:ascii="Times New Roman" w:hAnsi="Times New Roman" w:eastAsia="宋体" w:cs="Times New Roman"/>
                <w:b/>
                <w:bCs/>
                <w:color w:val="auto"/>
                <w:sz w:val="21"/>
                <w:szCs w:val="21"/>
                <w:highlight w:val="none"/>
                <w:lang w:val="en-US" w:eastAsia="zh-CN"/>
              </w:rPr>
              <w:t>主要</w:t>
            </w:r>
            <w:r>
              <w:rPr>
                <w:rFonts w:hint="default" w:ascii="Times New Roman" w:hAnsi="Times New Roman" w:eastAsia="宋体" w:cs="Times New Roman"/>
                <w:b/>
                <w:bCs/>
                <w:color w:val="auto"/>
                <w:sz w:val="21"/>
                <w:szCs w:val="21"/>
                <w:highlight w:val="none"/>
              </w:rPr>
              <w:t>经济技术指标一览表</w:t>
            </w:r>
          </w:p>
          <w:tbl>
            <w:tblPr>
              <w:tblStyle w:val="132"/>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6"/>
              <w:gridCol w:w="468"/>
              <w:gridCol w:w="474"/>
              <w:gridCol w:w="3214"/>
              <w:gridCol w:w="1826"/>
              <w:gridCol w:w="1851"/>
            </w:tblGrid>
            <w:tr w14:paraId="59782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2805" w:type="pct"/>
                  <w:gridSpan w:val="4"/>
                  <w:noWrap w:val="0"/>
                  <w:vAlign w:val="center"/>
                </w:tcPr>
                <w:p w14:paraId="61CB39ED">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2"/>
                      <w:sz w:val="21"/>
                      <w:szCs w:val="21"/>
                      <w:highlight w:val="none"/>
                      <w:lang w:val="en-US" w:eastAsia="zh-CN" w:bidi="ar-SA"/>
                    </w:rPr>
                    <w:t>名称</w:t>
                  </w:r>
                </w:p>
              </w:tc>
              <w:tc>
                <w:tcPr>
                  <w:tcW w:w="1089" w:type="pct"/>
                  <w:noWrap w:val="0"/>
                  <w:vAlign w:val="center"/>
                </w:tcPr>
                <w:p w14:paraId="590399F6">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2"/>
                      <w:sz w:val="21"/>
                      <w:szCs w:val="21"/>
                      <w:highlight w:val="none"/>
                      <w:lang w:val="en-US" w:eastAsia="zh-CN" w:bidi="ar-SA"/>
                    </w:rPr>
                    <w:t>单位</w:t>
                  </w:r>
                </w:p>
              </w:tc>
              <w:tc>
                <w:tcPr>
                  <w:tcW w:w="1104" w:type="pct"/>
                  <w:noWrap w:val="0"/>
                  <w:vAlign w:val="center"/>
                </w:tcPr>
                <w:p w14:paraId="40F82B1F">
                  <w:pPr>
                    <w:widowControl w:val="0"/>
                    <w:kinsoku/>
                    <w:autoSpaceDE/>
                    <w:autoSpaceDN/>
                    <w:adjustRightInd/>
                    <w:snapToGrid/>
                    <w:spacing w:line="240" w:lineRule="auto"/>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2"/>
                      <w:sz w:val="21"/>
                      <w:szCs w:val="21"/>
                      <w:highlight w:val="none"/>
                      <w:lang w:val="en-US" w:eastAsia="zh-CN" w:bidi="ar-SA"/>
                    </w:rPr>
                    <w:t>数值</w:t>
                  </w:r>
                </w:p>
              </w:tc>
            </w:tr>
            <w:tr w14:paraId="293CC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1FE830E4">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2479" w:type="pct"/>
                  <w:gridSpan w:val="3"/>
                  <w:noWrap w:val="0"/>
                  <w:vAlign w:val="center"/>
                </w:tcPr>
                <w:p w14:paraId="0D596660">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规划总用地面积</w:t>
                  </w:r>
                </w:p>
              </w:tc>
              <w:tc>
                <w:tcPr>
                  <w:tcW w:w="1089" w:type="pct"/>
                  <w:noWrap w:val="0"/>
                  <w:vAlign w:val="center"/>
                </w:tcPr>
                <w:p w14:paraId="05D7BBC6">
                  <w:pPr>
                    <w:spacing w:line="240" w:lineRule="auto"/>
                    <w:jc w:val="center"/>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5DC5CBD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bidi="ar-SA"/>
                    </w:rPr>
                    <w:t>54139.29</w:t>
                  </w:r>
                </w:p>
              </w:tc>
            </w:tr>
            <w:tr w14:paraId="5CE544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071E50D1">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2479" w:type="pct"/>
                  <w:gridSpan w:val="3"/>
                  <w:noWrap w:val="0"/>
                  <w:vAlign w:val="center"/>
                </w:tcPr>
                <w:p w14:paraId="3FBA104C">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规划建设用地面积</w:t>
                  </w:r>
                </w:p>
              </w:tc>
              <w:tc>
                <w:tcPr>
                  <w:tcW w:w="1089" w:type="pct"/>
                  <w:noWrap w:val="0"/>
                  <w:vAlign w:val="center"/>
                </w:tcPr>
                <w:p w14:paraId="57B84916">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727523F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bidi="ar-SA"/>
                    </w:rPr>
                    <w:t>54139.29</w:t>
                  </w:r>
                </w:p>
              </w:tc>
            </w:tr>
            <w:tr w14:paraId="13964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000AC8B">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2479" w:type="pct"/>
                  <w:gridSpan w:val="3"/>
                  <w:noWrap w:val="0"/>
                  <w:vAlign w:val="center"/>
                </w:tcPr>
                <w:p w14:paraId="1EEEB765">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总建筑基底面积</w:t>
                  </w:r>
                </w:p>
              </w:tc>
              <w:tc>
                <w:tcPr>
                  <w:tcW w:w="1089" w:type="pct"/>
                  <w:noWrap w:val="0"/>
                  <w:vAlign w:val="center"/>
                </w:tcPr>
                <w:p w14:paraId="32AA9A89">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6C61A1F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bidi="ar-SA"/>
                    </w:rPr>
                    <w:t>32340.05</w:t>
                  </w:r>
                </w:p>
              </w:tc>
            </w:tr>
            <w:tr w14:paraId="4B1EE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58787ED4">
                  <w:pPr>
                    <w:keepNext w:val="0"/>
                    <w:keepLines w:val="0"/>
                    <w:widowControl/>
                    <w:suppressLineNumbers w:val="0"/>
                    <w:jc w:val="center"/>
                    <w:textAlignment w:val="center"/>
                    <w:rPr>
                      <w:rFonts w:hint="default"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2479" w:type="pct"/>
                  <w:gridSpan w:val="3"/>
                  <w:noWrap w:val="0"/>
                  <w:vAlign w:val="center"/>
                </w:tcPr>
                <w:p w14:paraId="1D2A39B8">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总建筑面积</w:t>
                  </w:r>
                </w:p>
              </w:tc>
              <w:tc>
                <w:tcPr>
                  <w:tcW w:w="1089" w:type="pct"/>
                  <w:noWrap w:val="0"/>
                  <w:vAlign w:val="center"/>
                </w:tcPr>
                <w:p w14:paraId="01921F45">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6A18847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bidi="ar-SA"/>
                    </w:rPr>
                    <w:t>43886.37</w:t>
                  </w:r>
                </w:p>
              </w:tc>
            </w:tr>
            <w:tr w14:paraId="572A8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5D494328">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279" w:type="pct"/>
                  <w:vMerge w:val="restart"/>
                  <w:noWrap w:val="0"/>
                  <w:vAlign w:val="center"/>
                </w:tcPr>
                <w:p w14:paraId="7ECBE1B9">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其中</w:t>
                  </w:r>
                </w:p>
              </w:tc>
              <w:tc>
                <w:tcPr>
                  <w:tcW w:w="2200" w:type="pct"/>
                  <w:gridSpan w:val="2"/>
                  <w:noWrap w:val="0"/>
                  <w:vAlign w:val="center"/>
                </w:tcPr>
                <w:p w14:paraId="2EFA7C03">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地上总建筑面积</w:t>
                  </w:r>
                </w:p>
              </w:tc>
              <w:tc>
                <w:tcPr>
                  <w:tcW w:w="1089" w:type="pct"/>
                  <w:noWrap w:val="0"/>
                  <w:vAlign w:val="center"/>
                </w:tcPr>
                <w:p w14:paraId="00D41BC6">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71BA8D0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43570.27</w:t>
                  </w:r>
                </w:p>
              </w:tc>
            </w:tr>
            <w:tr w14:paraId="7BFA4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1E87A0A">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279" w:type="pct"/>
                  <w:vMerge w:val="continue"/>
                  <w:noWrap w:val="0"/>
                  <w:vAlign w:val="center"/>
                </w:tcPr>
                <w:p w14:paraId="3782F292">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0579484C">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综合楼</w:t>
                  </w:r>
                </w:p>
              </w:tc>
              <w:tc>
                <w:tcPr>
                  <w:tcW w:w="1089" w:type="pct"/>
                  <w:noWrap w:val="0"/>
                  <w:vAlign w:val="center"/>
                </w:tcPr>
                <w:p w14:paraId="44AB1B4B">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18412BD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9376.38</w:t>
                  </w:r>
                </w:p>
              </w:tc>
            </w:tr>
            <w:tr w14:paraId="3D688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6B6E3FAE">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279" w:type="pct"/>
                  <w:vMerge w:val="continue"/>
                  <w:noWrap w:val="0"/>
                  <w:vAlign w:val="center"/>
                </w:tcPr>
                <w:p w14:paraId="569431C1">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6A0E7417">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宿舍楼</w:t>
                  </w:r>
                </w:p>
              </w:tc>
              <w:tc>
                <w:tcPr>
                  <w:tcW w:w="1089" w:type="pct"/>
                  <w:noWrap w:val="0"/>
                  <w:vAlign w:val="center"/>
                </w:tcPr>
                <w:p w14:paraId="56AF2D8D">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49B3173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3734.40</w:t>
                  </w:r>
                </w:p>
              </w:tc>
            </w:tr>
            <w:tr w14:paraId="17F64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4B831C26">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279" w:type="pct"/>
                  <w:vMerge w:val="continue"/>
                  <w:noWrap w:val="0"/>
                  <w:vAlign w:val="center"/>
                </w:tcPr>
                <w:p w14:paraId="15F071BC">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3FB5AF2C">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1#厂房</w:t>
                  </w:r>
                </w:p>
              </w:tc>
              <w:tc>
                <w:tcPr>
                  <w:tcW w:w="1089" w:type="pct"/>
                  <w:noWrap w:val="0"/>
                  <w:vAlign w:val="center"/>
                </w:tcPr>
                <w:p w14:paraId="54C97CC2">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6A4D607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6272.00</w:t>
                  </w:r>
                </w:p>
              </w:tc>
            </w:tr>
            <w:tr w14:paraId="4167A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7B01DA73">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279" w:type="pct"/>
                  <w:vMerge w:val="continue"/>
                  <w:noWrap w:val="0"/>
                  <w:vAlign w:val="center"/>
                </w:tcPr>
                <w:p w14:paraId="07D020DD">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1B20183D">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2#厂房</w:t>
                  </w:r>
                </w:p>
              </w:tc>
              <w:tc>
                <w:tcPr>
                  <w:tcW w:w="1089" w:type="pct"/>
                  <w:noWrap w:val="0"/>
                  <w:vAlign w:val="center"/>
                </w:tcPr>
                <w:p w14:paraId="7C9E83F3">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5EC3303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6272.00</w:t>
                  </w:r>
                </w:p>
              </w:tc>
            </w:tr>
            <w:tr w14:paraId="3339D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8" w:hRule="atLeast"/>
                <w:jc w:val="center"/>
              </w:trPr>
              <w:tc>
                <w:tcPr>
                  <w:tcW w:w="326" w:type="pct"/>
                  <w:noWrap w:val="0"/>
                  <w:vAlign w:val="center"/>
                </w:tcPr>
                <w:p w14:paraId="23B6608C">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279" w:type="pct"/>
                  <w:vMerge w:val="continue"/>
                  <w:noWrap w:val="0"/>
                  <w:vAlign w:val="center"/>
                </w:tcPr>
                <w:p w14:paraId="141FF55F">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393DAFF4">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3#厂房</w:t>
                  </w:r>
                </w:p>
              </w:tc>
              <w:tc>
                <w:tcPr>
                  <w:tcW w:w="1089" w:type="pct"/>
                  <w:noWrap w:val="0"/>
                  <w:vAlign w:val="center"/>
                </w:tcPr>
                <w:p w14:paraId="4CB3D729">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1E0A0926">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5311.49</w:t>
                  </w:r>
                </w:p>
              </w:tc>
            </w:tr>
            <w:tr w14:paraId="5929A4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jc w:val="center"/>
              </w:trPr>
              <w:tc>
                <w:tcPr>
                  <w:tcW w:w="326" w:type="pct"/>
                  <w:noWrap w:val="0"/>
                  <w:vAlign w:val="center"/>
                </w:tcPr>
                <w:p w14:paraId="54E40932">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279" w:type="pct"/>
                  <w:vMerge w:val="continue"/>
                  <w:noWrap w:val="0"/>
                  <w:vAlign w:val="center"/>
                </w:tcPr>
                <w:p w14:paraId="46F06B92">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3F1D485B">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4#厂房</w:t>
                  </w:r>
                </w:p>
              </w:tc>
              <w:tc>
                <w:tcPr>
                  <w:tcW w:w="1089" w:type="pct"/>
                  <w:noWrap w:val="0"/>
                  <w:vAlign w:val="center"/>
                </w:tcPr>
                <w:p w14:paraId="785D1CB0">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0234988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5824.00</w:t>
                  </w:r>
                </w:p>
              </w:tc>
            </w:tr>
            <w:tr w14:paraId="53FDF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4E4B1A4B">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279" w:type="pct"/>
                  <w:vMerge w:val="continue"/>
                  <w:noWrap w:val="0"/>
                  <w:vAlign w:val="center"/>
                </w:tcPr>
                <w:p w14:paraId="52E4804B">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16E109CA">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5#厂房</w:t>
                  </w:r>
                </w:p>
              </w:tc>
              <w:tc>
                <w:tcPr>
                  <w:tcW w:w="1089" w:type="pct"/>
                  <w:noWrap w:val="0"/>
                  <w:vAlign w:val="center"/>
                </w:tcPr>
                <w:p w14:paraId="61A0E52E">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43DE94B5">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6780.00</w:t>
                  </w:r>
                </w:p>
              </w:tc>
            </w:tr>
            <w:tr w14:paraId="43625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27773948">
                  <w:pPr>
                    <w:keepNext w:val="0"/>
                    <w:keepLines w:val="0"/>
                    <w:widowControl/>
                    <w:suppressLineNumbers w:val="0"/>
                    <w:jc w:val="center"/>
                    <w:textAlignment w:val="center"/>
                    <w:rPr>
                      <w:rFonts w:hint="eastAsia"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13</w:t>
                  </w:r>
                </w:p>
              </w:tc>
              <w:tc>
                <w:tcPr>
                  <w:tcW w:w="279" w:type="pct"/>
                  <w:vMerge w:val="continue"/>
                  <w:noWrap w:val="0"/>
                  <w:vAlign w:val="center"/>
                </w:tcPr>
                <w:p w14:paraId="12CA14FF">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74BF5B9B">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地下总建筑面积</w:t>
                  </w:r>
                </w:p>
              </w:tc>
              <w:tc>
                <w:tcPr>
                  <w:tcW w:w="1089" w:type="pct"/>
                  <w:noWrap w:val="0"/>
                  <w:vAlign w:val="center"/>
                </w:tcPr>
                <w:p w14:paraId="2BE25742">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4E179297">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316.10</w:t>
                  </w:r>
                </w:p>
              </w:tc>
            </w:tr>
            <w:tr w14:paraId="4AD1D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326" w:type="pct"/>
                  <w:noWrap w:val="0"/>
                  <w:vAlign w:val="center"/>
                </w:tcPr>
                <w:p w14:paraId="5C48DA7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279" w:type="pct"/>
                  <w:vMerge w:val="continue"/>
                  <w:noWrap w:val="0"/>
                  <w:vAlign w:val="center"/>
                </w:tcPr>
                <w:p w14:paraId="741F3098">
                  <w:pPr>
                    <w:adjustRightInd w:val="0"/>
                    <w:snapToGrid w:val="0"/>
                    <w:spacing w:line="240" w:lineRule="auto"/>
                    <w:jc w:val="center"/>
                    <w:rPr>
                      <w:rFonts w:hint="eastAsia" w:cs="Times New Roman"/>
                      <w:color w:val="auto"/>
                      <w:sz w:val="21"/>
                      <w:szCs w:val="21"/>
                      <w:highlight w:val="none"/>
                      <w:lang w:val="en-US" w:eastAsia="zh-CN"/>
                    </w:rPr>
                  </w:pPr>
                </w:p>
              </w:tc>
              <w:tc>
                <w:tcPr>
                  <w:tcW w:w="283" w:type="pct"/>
                  <w:noWrap w:val="0"/>
                  <w:vAlign w:val="center"/>
                </w:tcPr>
                <w:p w14:paraId="57B1694F">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其中</w:t>
                  </w:r>
                </w:p>
              </w:tc>
              <w:tc>
                <w:tcPr>
                  <w:tcW w:w="1916" w:type="pct"/>
                  <w:noWrap w:val="0"/>
                  <w:vAlign w:val="center"/>
                </w:tcPr>
                <w:p w14:paraId="6A34C220">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消防水池及泵房</w:t>
                  </w:r>
                </w:p>
              </w:tc>
              <w:tc>
                <w:tcPr>
                  <w:tcW w:w="1089" w:type="pct"/>
                  <w:noWrap w:val="0"/>
                  <w:vAlign w:val="center"/>
                </w:tcPr>
                <w:p w14:paraId="54CE2245">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3D1A049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316.10</w:t>
                  </w:r>
                </w:p>
              </w:tc>
            </w:tr>
            <w:tr w14:paraId="50AFC5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0349D02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2479" w:type="pct"/>
                  <w:gridSpan w:val="3"/>
                  <w:noWrap w:val="0"/>
                  <w:vAlign w:val="center"/>
                </w:tcPr>
                <w:p w14:paraId="087774ED">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计容建筑面积</w:t>
                  </w:r>
                </w:p>
              </w:tc>
              <w:tc>
                <w:tcPr>
                  <w:tcW w:w="1089" w:type="pct"/>
                  <w:noWrap w:val="0"/>
                  <w:vAlign w:val="center"/>
                </w:tcPr>
                <w:p w14:paraId="0ABE6113">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5D3D8F7A">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79225.15</w:t>
                  </w:r>
                </w:p>
              </w:tc>
            </w:tr>
            <w:tr w14:paraId="1AC90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4BA8DA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279" w:type="pct"/>
                  <w:vMerge w:val="restart"/>
                  <w:noWrap w:val="0"/>
                  <w:vAlign w:val="center"/>
                </w:tcPr>
                <w:p w14:paraId="552FB68E">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其中</w:t>
                  </w:r>
                </w:p>
              </w:tc>
              <w:tc>
                <w:tcPr>
                  <w:tcW w:w="2200" w:type="pct"/>
                  <w:gridSpan w:val="2"/>
                  <w:noWrap w:val="0"/>
                  <w:vAlign w:val="center"/>
                </w:tcPr>
                <w:p w14:paraId="3B4614F0">
                  <w:pPr>
                    <w:adjustRightInd w:val="0"/>
                    <w:snapToGrid w:val="0"/>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地上计容建筑面积</w:t>
                  </w:r>
                </w:p>
              </w:tc>
              <w:tc>
                <w:tcPr>
                  <w:tcW w:w="1089" w:type="pct"/>
                  <w:noWrap w:val="0"/>
                  <w:vAlign w:val="center"/>
                </w:tcPr>
                <w:p w14:paraId="6CD1E176">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6D87AA6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79225.15</w:t>
                  </w:r>
                </w:p>
              </w:tc>
            </w:tr>
            <w:tr w14:paraId="47BFA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8DDDE6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w:t>
                  </w:r>
                </w:p>
              </w:tc>
              <w:tc>
                <w:tcPr>
                  <w:tcW w:w="279" w:type="pct"/>
                  <w:vMerge w:val="continue"/>
                  <w:noWrap w:val="0"/>
                  <w:vAlign w:val="center"/>
                </w:tcPr>
                <w:p w14:paraId="5232710E">
                  <w:pPr>
                    <w:adjustRightInd w:val="0"/>
                    <w:snapToGrid w:val="0"/>
                    <w:spacing w:line="240" w:lineRule="auto"/>
                    <w:jc w:val="center"/>
                    <w:rPr>
                      <w:rFonts w:hint="default" w:cs="Times New Roman"/>
                      <w:color w:val="auto"/>
                      <w:sz w:val="21"/>
                      <w:szCs w:val="21"/>
                      <w:highlight w:val="none"/>
                      <w:lang w:val="en-US" w:eastAsia="zh-CN"/>
                    </w:rPr>
                  </w:pPr>
                </w:p>
              </w:tc>
              <w:tc>
                <w:tcPr>
                  <w:tcW w:w="2200" w:type="pct"/>
                  <w:gridSpan w:val="2"/>
                  <w:noWrap w:val="0"/>
                  <w:vAlign w:val="center"/>
                </w:tcPr>
                <w:p w14:paraId="145A3339">
                  <w:pPr>
                    <w:adjustRightInd w:val="0"/>
                    <w:snapToGrid w:val="0"/>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地下计容建筑面积</w:t>
                  </w:r>
                </w:p>
              </w:tc>
              <w:tc>
                <w:tcPr>
                  <w:tcW w:w="1089" w:type="pct"/>
                  <w:noWrap w:val="0"/>
                  <w:vAlign w:val="center"/>
                </w:tcPr>
                <w:p w14:paraId="0EBFB718">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4A91259E">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w:t>
                  </w:r>
                </w:p>
              </w:tc>
            </w:tr>
            <w:tr w14:paraId="48C387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251A8DF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18</w:t>
                  </w:r>
                </w:p>
              </w:tc>
              <w:tc>
                <w:tcPr>
                  <w:tcW w:w="2479" w:type="pct"/>
                  <w:gridSpan w:val="3"/>
                  <w:noWrap w:val="0"/>
                  <w:vAlign w:val="center"/>
                </w:tcPr>
                <w:p w14:paraId="2AF793F2">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不计容建筑面积</w:t>
                  </w:r>
                </w:p>
              </w:tc>
              <w:tc>
                <w:tcPr>
                  <w:tcW w:w="1089" w:type="pct"/>
                  <w:noWrap w:val="0"/>
                  <w:vAlign w:val="center"/>
                </w:tcPr>
                <w:p w14:paraId="1175D17C">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20D1396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372.20</w:t>
                  </w:r>
                </w:p>
              </w:tc>
            </w:tr>
            <w:tr w14:paraId="78C6A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37D1B06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19</w:t>
                  </w:r>
                </w:p>
              </w:tc>
              <w:tc>
                <w:tcPr>
                  <w:tcW w:w="279" w:type="pct"/>
                  <w:vMerge w:val="restart"/>
                  <w:noWrap w:val="0"/>
                  <w:vAlign w:val="center"/>
                </w:tcPr>
                <w:p w14:paraId="3EDDBE67">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其中</w:t>
                  </w:r>
                </w:p>
              </w:tc>
              <w:tc>
                <w:tcPr>
                  <w:tcW w:w="2200" w:type="pct"/>
                  <w:gridSpan w:val="2"/>
                  <w:noWrap w:val="0"/>
                  <w:vAlign w:val="center"/>
                </w:tcPr>
                <w:p w14:paraId="25C68571">
                  <w:pPr>
                    <w:adjustRightInd w:val="0"/>
                    <w:snapToGrid w:val="0"/>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地上计容建筑面积</w:t>
                  </w:r>
                </w:p>
              </w:tc>
              <w:tc>
                <w:tcPr>
                  <w:tcW w:w="1089" w:type="pct"/>
                  <w:noWrap w:val="0"/>
                  <w:vAlign w:val="center"/>
                </w:tcPr>
                <w:p w14:paraId="2FB394DE">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2D50D22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w:t>
                  </w:r>
                </w:p>
              </w:tc>
            </w:tr>
            <w:tr w14:paraId="1DB1C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68F3A38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279" w:type="pct"/>
                  <w:vMerge w:val="continue"/>
                  <w:noWrap w:val="0"/>
                  <w:vAlign w:val="center"/>
                </w:tcPr>
                <w:p w14:paraId="425D4854">
                  <w:pPr>
                    <w:adjustRightInd w:val="0"/>
                    <w:snapToGrid w:val="0"/>
                    <w:spacing w:line="240" w:lineRule="auto"/>
                    <w:jc w:val="center"/>
                    <w:rPr>
                      <w:rFonts w:hint="eastAsia" w:cs="Times New Roman"/>
                      <w:color w:val="auto"/>
                      <w:sz w:val="21"/>
                      <w:szCs w:val="21"/>
                      <w:highlight w:val="none"/>
                      <w:lang w:val="en-US" w:eastAsia="zh-CN"/>
                    </w:rPr>
                  </w:pPr>
                </w:p>
              </w:tc>
              <w:tc>
                <w:tcPr>
                  <w:tcW w:w="2200" w:type="pct"/>
                  <w:gridSpan w:val="2"/>
                  <w:noWrap w:val="0"/>
                  <w:vAlign w:val="center"/>
                </w:tcPr>
                <w:p w14:paraId="1607085B">
                  <w:pPr>
                    <w:adjustRightInd w:val="0"/>
                    <w:snapToGrid w:val="0"/>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地下计容建筑面积</w:t>
                  </w:r>
                </w:p>
              </w:tc>
              <w:tc>
                <w:tcPr>
                  <w:tcW w:w="1089" w:type="pct"/>
                  <w:noWrap w:val="0"/>
                  <w:vAlign w:val="center"/>
                </w:tcPr>
                <w:p w14:paraId="139C8409">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23798C3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372.20</w:t>
                  </w:r>
                </w:p>
              </w:tc>
            </w:tr>
            <w:tr w14:paraId="7D60F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601869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21</w:t>
                  </w:r>
                </w:p>
              </w:tc>
              <w:tc>
                <w:tcPr>
                  <w:tcW w:w="2479" w:type="pct"/>
                  <w:gridSpan w:val="3"/>
                  <w:noWrap w:val="0"/>
                  <w:vAlign w:val="center"/>
                </w:tcPr>
                <w:p w14:paraId="6864EBBC">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绿地面积</w:t>
                  </w:r>
                </w:p>
              </w:tc>
              <w:tc>
                <w:tcPr>
                  <w:tcW w:w="1089" w:type="pct"/>
                  <w:noWrap w:val="0"/>
                  <w:vAlign w:val="center"/>
                </w:tcPr>
                <w:p w14:paraId="20F9C857">
                  <w:pPr>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平方米</w:t>
                  </w:r>
                </w:p>
              </w:tc>
              <w:tc>
                <w:tcPr>
                  <w:tcW w:w="1104" w:type="pct"/>
                  <w:noWrap w:val="0"/>
                  <w:vAlign w:val="center"/>
                </w:tcPr>
                <w:p w14:paraId="10924CC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8130.90</w:t>
                  </w:r>
                </w:p>
              </w:tc>
            </w:tr>
            <w:tr w14:paraId="5EF7A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185945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22</w:t>
                  </w:r>
                </w:p>
              </w:tc>
              <w:tc>
                <w:tcPr>
                  <w:tcW w:w="2479" w:type="pct"/>
                  <w:gridSpan w:val="3"/>
                  <w:noWrap w:val="0"/>
                  <w:vAlign w:val="center"/>
                </w:tcPr>
                <w:p w14:paraId="37EAE506">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绿地率</w:t>
                  </w:r>
                </w:p>
              </w:tc>
              <w:tc>
                <w:tcPr>
                  <w:tcW w:w="1089" w:type="pct"/>
                  <w:noWrap w:val="0"/>
                  <w:vAlign w:val="center"/>
                </w:tcPr>
                <w:p w14:paraId="687D99B8">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104" w:type="pct"/>
                  <w:noWrap w:val="0"/>
                  <w:vAlign w:val="center"/>
                </w:tcPr>
                <w:p w14:paraId="1AF0054F">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15.02</w:t>
                  </w:r>
                </w:p>
              </w:tc>
            </w:tr>
            <w:tr w14:paraId="08BD4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2EC6B59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eastAsia" w:ascii="Times New Roman" w:hAnsi="Times New Roman" w:eastAsia="宋体" w:cs="Times New Roman"/>
                      <w:i w:val="0"/>
                      <w:iCs w:val="0"/>
                      <w:color w:val="auto"/>
                      <w:kern w:val="0"/>
                      <w:sz w:val="21"/>
                      <w:szCs w:val="21"/>
                      <w:highlight w:val="none"/>
                      <w:u w:val="none"/>
                      <w:lang w:val="en-US" w:eastAsia="zh-CN" w:bidi="ar"/>
                    </w:rPr>
                    <w:t>3</w:t>
                  </w:r>
                </w:p>
              </w:tc>
              <w:tc>
                <w:tcPr>
                  <w:tcW w:w="2479" w:type="pct"/>
                  <w:gridSpan w:val="3"/>
                  <w:noWrap w:val="0"/>
                  <w:vAlign w:val="center"/>
                </w:tcPr>
                <w:p w14:paraId="6741ACE5">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容积率</w:t>
                  </w:r>
                </w:p>
              </w:tc>
              <w:tc>
                <w:tcPr>
                  <w:tcW w:w="1089" w:type="pct"/>
                  <w:noWrap w:val="0"/>
                  <w:vAlign w:val="center"/>
                </w:tcPr>
                <w:p w14:paraId="3A45F6B8">
                  <w:pPr>
                    <w:spacing w:line="240" w:lineRule="auto"/>
                    <w:jc w:val="center"/>
                    <w:rPr>
                      <w:rFonts w:hint="default" w:ascii="Times New Roman" w:hAnsi="Times New Roman" w:eastAsia="宋体" w:cs="Times New Roman"/>
                      <w:color w:val="auto"/>
                      <w:sz w:val="21"/>
                      <w:szCs w:val="21"/>
                      <w:highlight w:val="none"/>
                    </w:rPr>
                  </w:pPr>
                  <w:r>
                    <w:rPr>
                      <w:rFonts w:hint="eastAsia" w:cs="Times New Roman"/>
                      <w:snapToGrid/>
                      <w:color w:val="auto"/>
                      <w:kern w:val="2"/>
                      <w:sz w:val="21"/>
                      <w:szCs w:val="21"/>
                      <w:highlight w:val="none"/>
                      <w:lang w:val="en-US" w:eastAsia="zh-CN" w:bidi="ar-SA"/>
                    </w:rPr>
                    <w:t>/</w:t>
                  </w:r>
                </w:p>
              </w:tc>
              <w:tc>
                <w:tcPr>
                  <w:tcW w:w="1104" w:type="pct"/>
                  <w:noWrap w:val="0"/>
                  <w:vAlign w:val="center"/>
                </w:tcPr>
                <w:p w14:paraId="1F97243C">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1.46</w:t>
                  </w:r>
                </w:p>
              </w:tc>
            </w:tr>
            <w:tr w14:paraId="718FC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61DBF21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24</w:t>
                  </w:r>
                </w:p>
              </w:tc>
              <w:tc>
                <w:tcPr>
                  <w:tcW w:w="2479" w:type="pct"/>
                  <w:gridSpan w:val="3"/>
                  <w:noWrap w:val="0"/>
                  <w:vAlign w:val="center"/>
                </w:tcPr>
                <w:p w14:paraId="389BB3E8">
                  <w:pPr>
                    <w:adjustRightInd w:val="0"/>
                    <w:snapToGrid w:val="0"/>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建筑密度</w:t>
                  </w:r>
                </w:p>
              </w:tc>
              <w:tc>
                <w:tcPr>
                  <w:tcW w:w="1089" w:type="pct"/>
                  <w:noWrap w:val="0"/>
                  <w:vAlign w:val="center"/>
                </w:tcPr>
                <w:p w14:paraId="465AABE2">
                  <w:pPr>
                    <w:spacing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w:t>
                  </w:r>
                </w:p>
              </w:tc>
              <w:tc>
                <w:tcPr>
                  <w:tcW w:w="1104" w:type="pct"/>
                  <w:noWrap w:val="0"/>
                  <w:vAlign w:val="center"/>
                </w:tcPr>
                <w:p w14:paraId="56DD7203">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59.73</w:t>
                  </w:r>
                </w:p>
              </w:tc>
            </w:tr>
            <w:tr w14:paraId="3227E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26" w:type="pct"/>
                  <w:noWrap w:val="0"/>
                  <w:vAlign w:val="center"/>
                </w:tcPr>
                <w:p w14:paraId="7194B8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25</w:t>
                  </w:r>
                </w:p>
              </w:tc>
              <w:tc>
                <w:tcPr>
                  <w:tcW w:w="2479" w:type="pct"/>
                  <w:gridSpan w:val="3"/>
                  <w:noWrap w:val="0"/>
                  <w:vAlign w:val="center"/>
                </w:tcPr>
                <w:p w14:paraId="180872D0">
                  <w:pPr>
                    <w:adjustRightInd w:val="0"/>
                    <w:snapToGrid w:val="0"/>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机动车停车位(小型汽车为标准当量)</w:t>
                  </w:r>
                </w:p>
              </w:tc>
              <w:tc>
                <w:tcPr>
                  <w:tcW w:w="1089" w:type="pct"/>
                  <w:noWrap w:val="0"/>
                  <w:vAlign w:val="center"/>
                </w:tcPr>
                <w:p w14:paraId="4A80E1FF">
                  <w:pPr>
                    <w:spacing w:line="240" w:lineRule="auto"/>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个</w:t>
                  </w:r>
                </w:p>
              </w:tc>
              <w:tc>
                <w:tcPr>
                  <w:tcW w:w="1104" w:type="pct"/>
                  <w:noWrap w:val="0"/>
                  <w:vAlign w:val="center"/>
                </w:tcPr>
                <w:p w14:paraId="7FAD78B2">
                  <w:pPr>
                    <w:widowControl w:val="0"/>
                    <w:kinsoku/>
                    <w:autoSpaceDE/>
                    <w:autoSpaceDN/>
                    <w:adjustRightInd/>
                    <w:snapToGrid/>
                    <w:spacing w:line="240" w:lineRule="auto"/>
                    <w:jc w:val="center"/>
                    <w:textAlignment w:val="auto"/>
                    <w:rPr>
                      <w:rFonts w:hint="default"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132</w:t>
                  </w:r>
                </w:p>
              </w:tc>
            </w:tr>
          </w:tbl>
          <w:p w14:paraId="6E19ECFC">
            <w:pPr>
              <w:keepNext w:val="0"/>
              <w:keepLines w:val="0"/>
              <w:pageBreakBefore w:val="0"/>
              <w:widowControl w:val="0"/>
              <w:kinsoku/>
              <w:wordWrap/>
              <w:overflowPunct/>
              <w:topLinePunct w:val="0"/>
              <w:autoSpaceDE/>
              <w:autoSpaceDN/>
              <w:bidi w:val="0"/>
              <w:adjustRightInd/>
              <w:snapToGrid/>
              <w:spacing w:line="120" w:lineRule="auto"/>
              <w:ind w:firstLine="361" w:firstLineChars="200"/>
              <w:textAlignment w:val="auto"/>
              <w:rPr>
                <w:rFonts w:hint="default" w:ascii="Times New Roman" w:hAnsi="Times New Roman" w:cs="Times New Roman"/>
                <w:b/>
                <w:color w:val="auto"/>
                <w:sz w:val="18"/>
                <w:szCs w:val="18"/>
                <w:highlight w:val="none"/>
              </w:rPr>
            </w:pPr>
          </w:p>
          <w:p w14:paraId="3BD816D4">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w:t>
            </w:r>
            <w:r>
              <w:rPr>
                <w:rFonts w:hint="eastAsia" w:ascii="Times New Roman" w:hAnsi="Times New Roman" w:eastAsia="宋体" w:cs="Times New Roman"/>
                <w:b/>
                <w:bCs/>
                <w:color w:val="auto"/>
                <w:sz w:val="21"/>
                <w:szCs w:val="21"/>
                <w:highlight w:val="none"/>
                <w:lang w:val="en-US" w:eastAsia="zh-CN"/>
              </w:rPr>
              <w:t>建筑物</w:t>
            </w:r>
            <w:r>
              <w:rPr>
                <w:rFonts w:hint="default" w:ascii="Times New Roman" w:hAnsi="Times New Roman" w:eastAsia="宋体" w:cs="Times New Roman"/>
                <w:b/>
                <w:bCs/>
                <w:color w:val="auto"/>
                <w:sz w:val="21"/>
                <w:szCs w:val="21"/>
                <w:highlight w:val="none"/>
              </w:rPr>
              <w:t>一览表</w:t>
            </w:r>
          </w:p>
          <w:tbl>
            <w:tblPr>
              <w:tblStyle w:val="48"/>
              <w:tblW w:w="848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97"/>
              <w:gridCol w:w="1275"/>
              <w:gridCol w:w="1909"/>
              <w:gridCol w:w="1350"/>
              <w:gridCol w:w="2756"/>
            </w:tblGrid>
            <w:tr w14:paraId="6D97C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6E1C08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建筑名称</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2B84AF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建筑层数</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565862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eastAsia" w:ascii="Times New Roman" w:hAnsi="Times New Roman" w:eastAsia="宋体" w:cs="Times New Roman"/>
                      <w:b/>
                      <w:bCs/>
                      <w:i w:val="0"/>
                      <w:iCs w:val="0"/>
                      <w:color w:val="auto"/>
                      <w:sz w:val="21"/>
                      <w:szCs w:val="21"/>
                      <w:highlight w:val="none"/>
                      <w:u w:val="none"/>
                      <w:lang w:val="en-US" w:eastAsia="zh-CN"/>
                    </w:rPr>
                    <w:t>总</w:t>
                  </w:r>
                  <w:r>
                    <w:rPr>
                      <w:rFonts w:hint="default" w:ascii="Times New Roman" w:hAnsi="Times New Roman" w:eastAsia="宋体" w:cs="Times New Roman"/>
                      <w:b/>
                      <w:bCs/>
                      <w:i w:val="0"/>
                      <w:iCs w:val="0"/>
                      <w:color w:val="auto"/>
                      <w:sz w:val="21"/>
                      <w:szCs w:val="21"/>
                      <w:highlight w:val="none"/>
                      <w:u w:val="none"/>
                      <w:lang w:val="en-US" w:eastAsia="zh-CN"/>
                    </w:rPr>
                    <w:t>建筑面积（m</w:t>
                  </w:r>
                  <w:r>
                    <w:rPr>
                      <w:rFonts w:hint="default" w:ascii="Times New Roman" w:hAnsi="Times New Roman" w:eastAsia="宋体" w:cs="Times New Roman"/>
                      <w:b/>
                      <w:bCs/>
                      <w:i w:val="0"/>
                      <w:iCs w:val="0"/>
                      <w:color w:val="auto"/>
                      <w:sz w:val="21"/>
                      <w:szCs w:val="21"/>
                      <w:highlight w:val="none"/>
                      <w:u w:val="none"/>
                      <w:vertAlign w:val="superscript"/>
                      <w:lang w:val="en-US" w:eastAsia="zh-CN"/>
                    </w:rPr>
                    <w:t>2</w:t>
                  </w:r>
                  <w:r>
                    <w:rPr>
                      <w:rFonts w:hint="default" w:ascii="Times New Roman" w:hAnsi="Times New Roman" w:eastAsia="宋体" w:cs="Times New Roman"/>
                      <w:b/>
                      <w:bCs/>
                      <w:i w:val="0"/>
                      <w:iCs w:val="0"/>
                      <w:color w:val="auto"/>
                      <w:sz w:val="21"/>
                      <w:szCs w:val="21"/>
                      <w:highlight w:val="none"/>
                      <w:u w:val="none"/>
                      <w:lang w:val="en-US" w:eastAsia="zh-CN"/>
                    </w:rPr>
                    <w:t>）</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0709C8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sz w:val="21"/>
                      <w:szCs w:val="21"/>
                      <w:highlight w:val="none"/>
                      <w:u w:val="none"/>
                      <w:lang w:val="en-US" w:eastAsia="zh-CN"/>
                    </w:rPr>
                    <w:t>高（m）</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67A280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eastAsia="宋体" w:cs="Times New Roman"/>
                      <w:b/>
                      <w:bCs/>
                      <w:i w:val="0"/>
                      <w:iCs w:val="0"/>
                      <w:color w:val="auto"/>
                      <w:sz w:val="21"/>
                      <w:szCs w:val="21"/>
                      <w:highlight w:val="none"/>
                      <w:u w:val="none"/>
                      <w:lang w:val="en-US" w:eastAsia="zh-CN"/>
                    </w:rPr>
                    <w:t>建筑功能</w:t>
                  </w:r>
                </w:p>
              </w:tc>
            </w:tr>
            <w:tr w14:paraId="36159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79EB8692">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综合楼</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49B2C8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kern w:val="2"/>
                      <w:sz w:val="21"/>
                      <w:szCs w:val="21"/>
                      <w:highlight w:val="none"/>
                      <w:u w:val="none"/>
                      <w:lang w:val="en-US" w:eastAsia="zh-CN" w:bidi="ar-SA"/>
                    </w:rPr>
                    <w:t>9F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0D908E0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9376.38</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3CDCB5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snapToGrid/>
                      <w:color w:val="auto"/>
                      <w:kern w:val="2"/>
                      <w:sz w:val="21"/>
                      <w:szCs w:val="21"/>
                      <w:highlight w:val="none"/>
                      <w:lang w:val="en-US" w:eastAsia="zh-CN" w:bidi="ar-SA"/>
                    </w:rPr>
                    <w:t>39.60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71D915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一至六层为研发车间，七至九层为办公室</w:t>
                  </w:r>
                </w:p>
              </w:tc>
            </w:tr>
            <w:tr w14:paraId="67811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2BCB6FBC">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宿舍楼</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693331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5</w:t>
                  </w:r>
                  <w:r>
                    <w:rPr>
                      <w:rFonts w:hint="eastAsia" w:ascii="Times New Roman" w:hAnsi="Times New Roman" w:eastAsia="宋体" w:cs="Times New Roman"/>
                      <w:i w:val="0"/>
                      <w:iCs w:val="0"/>
                      <w:color w:val="auto"/>
                      <w:kern w:val="2"/>
                      <w:sz w:val="21"/>
                      <w:szCs w:val="21"/>
                      <w:highlight w:val="none"/>
                      <w:u w:val="none"/>
                      <w:lang w:val="en-US" w:eastAsia="zh-CN" w:bidi="ar-SA"/>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66DA004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3734.40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078F6B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20.10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665D6F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宿舍</w:t>
                  </w:r>
                </w:p>
              </w:tc>
            </w:tr>
            <w:tr w14:paraId="2FFC9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5468F9E4">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519DAB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r>
                    <w:rPr>
                      <w:rFonts w:hint="eastAsia" w:ascii="Times New Roman" w:hAnsi="Times New Roman" w:eastAsia="宋体" w:cs="Times New Roman"/>
                      <w:i w:val="0"/>
                      <w:iCs w:val="0"/>
                      <w:color w:val="auto"/>
                      <w:kern w:val="2"/>
                      <w:sz w:val="21"/>
                      <w:szCs w:val="21"/>
                      <w:highlight w:val="none"/>
                      <w:u w:val="none"/>
                      <w:lang w:val="en-US" w:eastAsia="zh-CN" w:bidi="ar-SA"/>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7C0535D2">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6272.00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354208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snapToGrid/>
                      <w:color w:val="auto"/>
                      <w:kern w:val="2"/>
                      <w:sz w:val="21"/>
                      <w:szCs w:val="21"/>
                      <w:highlight w:val="none"/>
                      <w:lang w:val="en-US" w:eastAsia="zh-CN" w:bidi="ar-SA"/>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16C647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开料、冲压车间</w:t>
                  </w:r>
                </w:p>
              </w:tc>
            </w:tr>
            <w:tr w14:paraId="0D9AC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052D86B3">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6EB5F4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r>
                    <w:rPr>
                      <w:rFonts w:hint="eastAsia" w:ascii="Times New Roman" w:hAnsi="Times New Roman" w:eastAsia="宋体" w:cs="Times New Roman"/>
                      <w:i w:val="0"/>
                      <w:iCs w:val="0"/>
                      <w:color w:val="auto"/>
                      <w:kern w:val="2"/>
                      <w:sz w:val="21"/>
                      <w:szCs w:val="21"/>
                      <w:highlight w:val="none"/>
                      <w:u w:val="none"/>
                      <w:lang w:val="en-US" w:eastAsia="zh-CN" w:bidi="ar-SA"/>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568010F9">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6272.00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6A9FB6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62F1C9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折弯车间</w:t>
                  </w:r>
                </w:p>
              </w:tc>
            </w:tr>
            <w:tr w14:paraId="5447C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6A806284">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7A2C7B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r>
                    <w:rPr>
                      <w:rFonts w:hint="eastAsia" w:ascii="Times New Roman" w:hAnsi="Times New Roman" w:eastAsia="宋体" w:cs="Times New Roman"/>
                      <w:i w:val="0"/>
                      <w:iCs w:val="0"/>
                      <w:color w:val="auto"/>
                      <w:kern w:val="2"/>
                      <w:sz w:val="21"/>
                      <w:szCs w:val="21"/>
                      <w:highlight w:val="none"/>
                      <w:u w:val="none"/>
                      <w:lang w:val="en-US" w:eastAsia="zh-CN" w:bidi="ar-SA"/>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0D980B44">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5311.49</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09963C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7B543E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焊接、抛光打磨车间</w:t>
                  </w:r>
                </w:p>
              </w:tc>
            </w:tr>
            <w:tr w14:paraId="5F5B3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53EE9241">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4#厂房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296826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r>
                    <w:rPr>
                      <w:rFonts w:hint="eastAsia" w:ascii="Times New Roman" w:hAnsi="Times New Roman" w:eastAsia="宋体" w:cs="Times New Roman"/>
                      <w:i w:val="0"/>
                      <w:iCs w:val="0"/>
                      <w:color w:val="auto"/>
                      <w:kern w:val="2"/>
                      <w:sz w:val="21"/>
                      <w:szCs w:val="21"/>
                      <w:highlight w:val="none"/>
                      <w:u w:val="none"/>
                      <w:lang w:val="en-US" w:eastAsia="zh-CN" w:bidi="ar-SA"/>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32968F18">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5824.00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77E58D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29C12C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喷漆、喷粉、固化</w:t>
                  </w:r>
                  <w:r>
                    <w:rPr>
                      <w:rFonts w:hint="eastAsia" w:ascii="Times New Roman" w:hAnsi="Times New Roman" w:eastAsia="宋体" w:cs="Times New Roman"/>
                      <w:i w:val="0"/>
                      <w:iCs w:val="0"/>
                      <w:color w:val="auto"/>
                      <w:kern w:val="0"/>
                      <w:sz w:val="21"/>
                      <w:szCs w:val="21"/>
                      <w:highlight w:val="none"/>
                      <w:u w:val="none"/>
                      <w:lang w:val="en-US" w:eastAsia="zh-CN" w:bidi="ar"/>
                    </w:rPr>
                    <w:t>组装车间</w:t>
                  </w:r>
                </w:p>
              </w:tc>
            </w:tr>
            <w:tr w14:paraId="33B7D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5" w:type="pct"/>
                  <w:tcBorders>
                    <w:top w:val="single" w:color="000000" w:sz="4" w:space="0"/>
                    <w:left w:val="single" w:color="000000" w:sz="4" w:space="0"/>
                    <w:bottom w:val="single" w:color="000000" w:sz="4" w:space="0"/>
                    <w:right w:val="single" w:color="000000" w:sz="4" w:space="0"/>
                  </w:tcBorders>
                  <w:noWrap/>
                  <w:vAlign w:val="center"/>
                </w:tcPr>
                <w:p w14:paraId="6B0BBB18">
                  <w:pPr>
                    <w:adjustRightInd w:val="0"/>
                    <w:snapToGrid w:val="0"/>
                    <w:spacing w:line="240" w:lineRule="auto"/>
                    <w:jc w:val="center"/>
                    <w:rPr>
                      <w:rFonts w:hint="default"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5#厂房</w:t>
                  </w:r>
                </w:p>
              </w:tc>
              <w:tc>
                <w:tcPr>
                  <w:tcW w:w="751" w:type="pct"/>
                  <w:tcBorders>
                    <w:top w:val="single" w:color="000000" w:sz="4" w:space="0"/>
                    <w:left w:val="single" w:color="000000" w:sz="4" w:space="0"/>
                    <w:bottom w:val="single" w:color="000000" w:sz="4" w:space="0"/>
                    <w:right w:val="single" w:color="000000" w:sz="4" w:space="0"/>
                  </w:tcBorders>
                  <w:noWrap/>
                  <w:vAlign w:val="center"/>
                </w:tcPr>
                <w:p w14:paraId="32CB97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1</w:t>
                  </w:r>
                  <w:r>
                    <w:rPr>
                      <w:rFonts w:hint="eastAsia" w:ascii="Times New Roman" w:hAnsi="Times New Roman" w:eastAsia="宋体" w:cs="Times New Roman"/>
                      <w:i w:val="0"/>
                      <w:iCs w:val="0"/>
                      <w:color w:val="auto"/>
                      <w:kern w:val="2"/>
                      <w:sz w:val="21"/>
                      <w:szCs w:val="21"/>
                      <w:highlight w:val="none"/>
                      <w:u w:val="none"/>
                      <w:lang w:val="en-US" w:eastAsia="zh-CN" w:bidi="ar-SA"/>
                    </w:rPr>
                    <w:t>F</w:t>
                  </w:r>
                </w:p>
              </w:tc>
              <w:tc>
                <w:tcPr>
                  <w:tcW w:w="1124" w:type="pct"/>
                  <w:tcBorders>
                    <w:top w:val="single" w:color="000000" w:sz="4" w:space="0"/>
                    <w:left w:val="single" w:color="000000" w:sz="4" w:space="0"/>
                    <w:bottom w:val="single" w:color="000000" w:sz="4" w:space="0"/>
                    <w:right w:val="single" w:color="000000" w:sz="4" w:space="0"/>
                  </w:tcBorders>
                  <w:noWrap/>
                  <w:vAlign w:val="center"/>
                </w:tcPr>
                <w:p w14:paraId="15E06B0B">
                  <w:pPr>
                    <w:widowControl w:val="0"/>
                    <w:kinsoku/>
                    <w:autoSpaceDE/>
                    <w:autoSpaceDN/>
                    <w:adjustRightInd/>
                    <w:snapToGrid/>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olor w:val="auto"/>
                      <w:highlight w:val="none"/>
                    </w:rPr>
                    <w:t>6780.00</w:t>
                  </w:r>
                </w:p>
              </w:tc>
              <w:tc>
                <w:tcPr>
                  <w:tcW w:w="795" w:type="pct"/>
                  <w:tcBorders>
                    <w:top w:val="single" w:color="000000" w:sz="4" w:space="0"/>
                    <w:left w:val="single" w:color="000000" w:sz="4" w:space="0"/>
                    <w:bottom w:val="single" w:color="000000" w:sz="4" w:space="0"/>
                    <w:right w:val="single" w:color="000000" w:sz="4" w:space="0"/>
                  </w:tcBorders>
                  <w:noWrap/>
                  <w:vAlign w:val="center"/>
                </w:tcPr>
                <w:p w14:paraId="079938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12.00</w:t>
                  </w:r>
                </w:p>
              </w:tc>
              <w:tc>
                <w:tcPr>
                  <w:tcW w:w="1623" w:type="pct"/>
                  <w:tcBorders>
                    <w:top w:val="single" w:color="000000" w:sz="4" w:space="0"/>
                    <w:left w:val="single" w:color="000000" w:sz="4" w:space="0"/>
                    <w:bottom w:val="single" w:color="000000" w:sz="4" w:space="0"/>
                    <w:right w:val="single" w:color="000000" w:sz="4" w:space="0"/>
                  </w:tcBorders>
                  <w:noWrap/>
                  <w:vAlign w:val="center"/>
                </w:tcPr>
                <w:p w14:paraId="45B9F0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工件表面预处理</w:t>
                  </w:r>
                  <w:r>
                    <w:rPr>
                      <w:rFonts w:hint="default" w:ascii="Times New Roman" w:hAnsi="Times New Roman" w:eastAsia="宋体" w:cs="Times New Roman"/>
                      <w:i w:val="0"/>
                      <w:iCs w:val="0"/>
                      <w:color w:val="auto"/>
                      <w:kern w:val="0"/>
                      <w:sz w:val="21"/>
                      <w:szCs w:val="21"/>
                      <w:highlight w:val="none"/>
                      <w:u w:val="none"/>
                      <w:lang w:val="en-US" w:eastAsia="zh-CN" w:bidi="ar"/>
                    </w:rPr>
                    <w:t>车间</w:t>
                  </w:r>
                </w:p>
              </w:tc>
            </w:tr>
          </w:tbl>
          <w:p w14:paraId="33B201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auto"/>
                <w:sz w:val="24"/>
                <w:szCs w:val="24"/>
                <w:highlight w:val="none"/>
                <w:lang w:val="zh-CN"/>
              </w:rPr>
            </w:pPr>
          </w:p>
          <w:p w14:paraId="19F8B4A2">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工程组成一览表</w:t>
            </w:r>
          </w:p>
          <w:tbl>
            <w:tblPr>
              <w:tblStyle w:val="48"/>
              <w:tblW w:w="503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1"/>
              <w:gridCol w:w="1074"/>
              <w:gridCol w:w="1228"/>
              <w:gridCol w:w="5513"/>
            </w:tblGrid>
            <w:tr w14:paraId="0F4B5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tcBorders>
                    <w:top w:val="single" w:color="000000" w:sz="4" w:space="0"/>
                    <w:left w:val="single" w:color="000000" w:sz="4" w:space="0"/>
                    <w:bottom w:val="single" w:color="000000" w:sz="4" w:space="0"/>
                    <w:right w:val="single" w:color="000000" w:sz="4" w:space="0"/>
                  </w:tcBorders>
                  <w:noWrap w:val="0"/>
                  <w:vAlign w:val="center"/>
                </w:tcPr>
                <w:p w14:paraId="7662C7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序号</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635CBB1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项目类别</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007A7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建设内容</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452878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位置、用途、占地面积</w:t>
                  </w:r>
                </w:p>
              </w:tc>
            </w:tr>
            <w:tr w14:paraId="2EDC6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restart"/>
                  <w:tcBorders>
                    <w:top w:val="single" w:color="000000" w:sz="4" w:space="0"/>
                    <w:left w:val="single" w:color="000000" w:sz="4" w:space="0"/>
                    <w:right w:val="single" w:color="000000" w:sz="4" w:space="0"/>
                  </w:tcBorders>
                  <w:noWrap w:val="0"/>
                  <w:vAlign w:val="center"/>
                </w:tcPr>
                <w:p w14:paraId="37DE46A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635" w:type="pct"/>
                  <w:vMerge w:val="restart"/>
                  <w:tcBorders>
                    <w:top w:val="single" w:color="000000" w:sz="4" w:space="0"/>
                    <w:left w:val="single" w:color="000000" w:sz="4" w:space="0"/>
                    <w:right w:val="single" w:color="000000" w:sz="4" w:space="0"/>
                  </w:tcBorders>
                  <w:noWrap w:val="0"/>
                  <w:vAlign w:val="center"/>
                </w:tcPr>
                <w:p w14:paraId="5A67DC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主体工程</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44FAF5ED">
                  <w:pPr>
                    <w:adjustRightInd w:val="0"/>
                    <w:snapToGrid w:val="0"/>
                    <w:spacing w:line="240" w:lineRule="auto"/>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color w:val="auto"/>
                      <w:sz w:val="21"/>
                      <w:szCs w:val="21"/>
                      <w:highlight w:val="none"/>
                      <w:lang w:val="en-US" w:eastAsia="zh-CN"/>
                    </w:rPr>
                    <w:t>1#厂房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2F5237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位于</w:t>
                  </w:r>
                  <w:r>
                    <w:rPr>
                      <w:rFonts w:hint="eastAsia"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#厂房，为1层建筑，建筑面积</w:t>
                  </w:r>
                  <w:r>
                    <w:rPr>
                      <w:rFonts w:hint="eastAsia"/>
                      <w:color w:val="auto"/>
                      <w:highlight w:val="none"/>
                    </w:rPr>
                    <w:t>6272.00</w:t>
                  </w: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，设置在项目</w:t>
                  </w:r>
                  <w:r>
                    <w:rPr>
                      <w:rFonts w:hint="eastAsia" w:cs="Times New Roman"/>
                      <w:i w:val="0"/>
                      <w:iCs w:val="0"/>
                      <w:color w:val="auto"/>
                      <w:kern w:val="0"/>
                      <w:sz w:val="21"/>
                      <w:szCs w:val="21"/>
                      <w:highlight w:val="none"/>
                      <w:u w:val="none"/>
                      <w:lang w:val="en-US" w:eastAsia="zh-CN" w:bidi="ar"/>
                    </w:rPr>
                    <w:t>中心以西南处</w:t>
                  </w:r>
                  <w:r>
                    <w:rPr>
                      <w:rFonts w:hint="default" w:ascii="Times New Roman" w:hAnsi="Times New Roman" w:eastAsia="宋体" w:cs="Times New Roman"/>
                      <w:i w:val="0"/>
                      <w:iCs w:val="0"/>
                      <w:color w:val="auto"/>
                      <w:kern w:val="0"/>
                      <w:sz w:val="21"/>
                      <w:szCs w:val="21"/>
                      <w:highlight w:val="none"/>
                      <w:u w:val="none"/>
                      <w:lang w:val="en-US" w:eastAsia="zh-CN" w:bidi="ar"/>
                    </w:rPr>
                    <w:t>，主要工序为：</w:t>
                  </w:r>
                  <w:r>
                    <w:rPr>
                      <w:rFonts w:hint="eastAsia" w:ascii="Times New Roman" w:hAnsi="Times New Roman" w:eastAsia="宋体" w:cs="Times New Roman"/>
                      <w:i w:val="0"/>
                      <w:iCs w:val="0"/>
                      <w:color w:val="auto"/>
                      <w:kern w:val="0"/>
                      <w:sz w:val="21"/>
                      <w:szCs w:val="21"/>
                      <w:highlight w:val="none"/>
                      <w:u w:val="none"/>
                      <w:lang w:val="en-US" w:eastAsia="zh-CN" w:bidi="ar"/>
                    </w:rPr>
                    <w:t>开料、</w:t>
                  </w:r>
                  <w:r>
                    <w:rPr>
                      <w:rFonts w:hint="default" w:ascii="Times New Roman" w:hAnsi="Times New Roman" w:eastAsia="宋体" w:cs="Times New Roman"/>
                      <w:i w:val="0"/>
                      <w:iCs w:val="0"/>
                      <w:color w:val="auto"/>
                      <w:kern w:val="0"/>
                      <w:sz w:val="21"/>
                      <w:szCs w:val="21"/>
                      <w:highlight w:val="none"/>
                      <w:u w:val="none"/>
                      <w:lang w:val="en-US" w:eastAsia="zh-CN" w:bidi="ar"/>
                    </w:rPr>
                    <w:t>冲压等工序</w:t>
                  </w:r>
                </w:p>
              </w:tc>
            </w:tr>
            <w:tr w14:paraId="70B7D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79" w:type="pct"/>
                  <w:vMerge w:val="continue"/>
                  <w:tcBorders>
                    <w:left w:val="single" w:color="000000" w:sz="4" w:space="0"/>
                    <w:right w:val="single" w:color="000000" w:sz="4" w:space="0"/>
                  </w:tcBorders>
                  <w:noWrap w:val="0"/>
                  <w:vAlign w:val="center"/>
                </w:tcPr>
                <w:p w14:paraId="6EA10FD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6D87D07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DD1B49C">
                  <w:pPr>
                    <w:adjustRightInd w:val="0"/>
                    <w:snapToGrid w:val="0"/>
                    <w:spacing w:line="240" w:lineRule="auto"/>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color w:val="auto"/>
                      <w:sz w:val="21"/>
                      <w:szCs w:val="21"/>
                      <w:highlight w:val="none"/>
                      <w:lang w:val="en-US" w:eastAsia="zh-CN"/>
                    </w:rPr>
                    <w:t>2#厂房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4828D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位于</w:t>
                  </w:r>
                  <w:r>
                    <w:rPr>
                      <w:rFonts w:hint="eastAsia"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#厂房，为1层建筑，建筑面积6272.00</w:t>
                  </w: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，设置在项目</w:t>
                  </w:r>
                  <w:r>
                    <w:rPr>
                      <w:rFonts w:hint="eastAsia" w:cs="Times New Roman"/>
                      <w:i w:val="0"/>
                      <w:iCs w:val="0"/>
                      <w:color w:val="auto"/>
                      <w:kern w:val="0"/>
                      <w:sz w:val="21"/>
                      <w:szCs w:val="21"/>
                      <w:highlight w:val="none"/>
                      <w:u w:val="none"/>
                      <w:lang w:val="en-US" w:eastAsia="zh-CN" w:bidi="ar"/>
                    </w:rPr>
                    <w:t>中心以西处</w:t>
                  </w:r>
                  <w:r>
                    <w:rPr>
                      <w:rFonts w:hint="default" w:ascii="Times New Roman" w:hAnsi="Times New Roman" w:eastAsia="宋体" w:cs="Times New Roman"/>
                      <w:i w:val="0"/>
                      <w:iCs w:val="0"/>
                      <w:color w:val="auto"/>
                      <w:kern w:val="0"/>
                      <w:sz w:val="21"/>
                      <w:szCs w:val="21"/>
                      <w:highlight w:val="none"/>
                      <w:u w:val="none"/>
                      <w:lang w:val="en-US" w:eastAsia="zh-CN" w:bidi="ar"/>
                    </w:rPr>
                    <w:t>，主要工序为：折弯工序</w:t>
                  </w:r>
                </w:p>
              </w:tc>
            </w:tr>
            <w:tr w14:paraId="6CE11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710BCC4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767EAE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D4A2B25">
                  <w:pPr>
                    <w:adjustRightInd w:val="0"/>
                    <w:snapToGrid w:val="0"/>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color w:val="auto"/>
                      <w:sz w:val="21"/>
                      <w:szCs w:val="21"/>
                      <w:highlight w:val="none"/>
                      <w:lang w:val="en-US" w:eastAsia="zh-CN"/>
                    </w:rPr>
                    <w:t>3#厂房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4BA821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位于</w:t>
                  </w:r>
                  <w:r>
                    <w:rPr>
                      <w:rFonts w:hint="eastAsia" w:cs="Times New Roman"/>
                      <w:i w:val="0"/>
                      <w:iCs w:val="0"/>
                      <w:color w:val="auto"/>
                      <w:kern w:val="0"/>
                      <w:sz w:val="21"/>
                      <w:szCs w:val="21"/>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#厂房，为1层建筑，建筑面积5311.49</w:t>
                  </w: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，设置在项目</w:t>
                  </w:r>
                  <w:r>
                    <w:rPr>
                      <w:rFonts w:hint="eastAsia" w:cs="Times New Roman"/>
                      <w:i w:val="0"/>
                      <w:iCs w:val="0"/>
                      <w:color w:val="auto"/>
                      <w:kern w:val="0"/>
                      <w:sz w:val="21"/>
                      <w:szCs w:val="21"/>
                      <w:highlight w:val="none"/>
                      <w:u w:val="none"/>
                      <w:lang w:val="en-US" w:eastAsia="zh-CN" w:bidi="ar"/>
                    </w:rPr>
                    <w:t>中心以南处</w:t>
                  </w:r>
                  <w:r>
                    <w:rPr>
                      <w:rFonts w:hint="default" w:ascii="Times New Roman" w:hAnsi="Times New Roman" w:eastAsia="宋体" w:cs="Times New Roman"/>
                      <w:i w:val="0"/>
                      <w:iCs w:val="0"/>
                      <w:color w:val="auto"/>
                      <w:kern w:val="0"/>
                      <w:sz w:val="21"/>
                      <w:szCs w:val="21"/>
                      <w:highlight w:val="none"/>
                      <w:u w:val="none"/>
                      <w:lang w:val="en-US" w:eastAsia="zh-CN" w:bidi="ar"/>
                    </w:rPr>
                    <w:t>，主要工序为：焊接、抛光打磨工序</w:t>
                  </w:r>
                </w:p>
              </w:tc>
            </w:tr>
            <w:tr w14:paraId="7905C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79" w:type="pct"/>
                  <w:vMerge w:val="continue"/>
                  <w:tcBorders>
                    <w:left w:val="single" w:color="000000" w:sz="4" w:space="0"/>
                    <w:right w:val="single" w:color="000000" w:sz="4" w:space="0"/>
                  </w:tcBorders>
                  <w:noWrap w:val="0"/>
                  <w:vAlign w:val="center"/>
                </w:tcPr>
                <w:p w14:paraId="05540E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7C1558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624CBF3">
                  <w:pPr>
                    <w:adjustRightInd w:val="0"/>
                    <w:snapToGrid w:val="0"/>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color w:val="auto"/>
                      <w:sz w:val="21"/>
                      <w:szCs w:val="21"/>
                      <w:highlight w:val="none"/>
                      <w:lang w:val="en-US" w:eastAsia="zh-CN"/>
                    </w:rPr>
                    <w:t>4#厂房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374CB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位于</w:t>
                  </w:r>
                  <w:r>
                    <w:rPr>
                      <w:rFonts w:hint="eastAsia"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i w:val="0"/>
                      <w:iCs w:val="0"/>
                      <w:color w:val="auto"/>
                      <w:kern w:val="0"/>
                      <w:sz w:val="21"/>
                      <w:szCs w:val="21"/>
                      <w:highlight w:val="none"/>
                      <w:u w:val="none"/>
                      <w:lang w:val="en-US" w:eastAsia="zh-CN" w:bidi="ar"/>
                    </w:rPr>
                    <w:t>#厂房，为1层建筑，建筑面积5824.00</w:t>
                  </w: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，设置在项目</w:t>
                  </w:r>
                  <w:r>
                    <w:rPr>
                      <w:rFonts w:hint="eastAsia" w:cs="Times New Roman"/>
                      <w:i w:val="0"/>
                      <w:iCs w:val="0"/>
                      <w:color w:val="auto"/>
                      <w:kern w:val="0"/>
                      <w:sz w:val="21"/>
                      <w:szCs w:val="21"/>
                      <w:highlight w:val="none"/>
                      <w:u w:val="none"/>
                      <w:lang w:val="en-US" w:eastAsia="zh-CN" w:bidi="ar"/>
                    </w:rPr>
                    <w:t>中心处</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设置1条油粉共线，1条静电喷粉线。</w:t>
                  </w:r>
                  <w:r>
                    <w:rPr>
                      <w:rFonts w:hint="default" w:ascii="Times New Roman" w:hAnsi="Times New Roman" w:eastAsia="宋体" w:cs="Times New Roman"/>
                      <w:i w:val="0"/>
                      <w:iCs w:val="0"/>
                      <w:color w:val="auto"/>
                      <w:kern w:val="0"/>
                      <w:sz w:val="21"/>
                      <w:szCs w:val="21"/>
                      <w:highlight w:val="none"/>
                      <w:u w:val="none"/>
                      <w:lang w:val="en-US" w:eastAsia="zh-CN" w:bidi="ar"/>
                    </w:rPr>
                    <w:t>主要工序为：</w:t>
                  </w:r>
                  <w:r>
                    <w:rPr>
                      <w:rFonts w:hint="eastAsia" w:cs="Times New Roman"/>
                      <w:i w:val="0"/>
                      <w:iCs w:val="0"/>
                      <w:color w:val="auto"/>
                      <w:kern w:val="0"/>
                      <w:sz w:val="21"/>
                      <w:szCs w:val="21"/>
                      <w:highlight w:val="none"/>
                      <w:u w:val="none"/>
                      <w:lang w:val="en-US" w:eastAsia="zh-CN" w:bidi="ar"/>
                    </w:rPr>
                    <w:t>喷漆、喷粉、固化、</w:t>
                  </w:r>
                  <w:r>
                    <w:rPr>
                      <w:rFonts w:hint="eastAsia" w:ascii="Times New Roman" w:hAnsi="Times New Roman" w:eastAsia="宋体" w:cs="Times New Roman"/>
                      <w:i w:val="0"/>
                      <w:iCs w:val="0"/>
                      <w:color w:val="auto"/>
                      <w:kern w:val="0"/>
                      <w:sz w:val="21"/>
                      <w:szCs w:val="21"/>
                      <w:highlight w:val="none"/>
                      <w:u w:val="none"/>
                      <w:lang w:val="en-US" w:eastAsia="zh-CN" w:bidi="ar"/>
                    </w:rPr>
                    <w:t>组装</w:t>
                  </w:r>
                  <w:r>
                    <w:rPr>
                      <w:rFonts w:hint="default" w:ascii="Times New Roman" w:hAnsi="Times New Roman" w:eastAsia="宋体" w:cs="Times New Roman"/>
                      <w:i w:val="0"/>
                      <w:iCs w:val="0"/>
                      <w:color w:val="auto"/>
                      <w:kern w:val="0"/>
                      <w:sz w:val="21"/>
                      <w:szCs w:val="21"/>
                      <w:highlight w:val="none"/>
                      <w:u w:val="none"/>
                      <w:lang w:val="en-US" w:eastAsia="zh-CN" w:bidi="ar"/>
                    </w:rPr>
                    <w:t>工序</w:t>
                  </w:r>
                </w:p>
              </w:tc>
            </w:tr>
            <w:tr w14:paraId="27C65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bottom w:val="single" w:color="000000" w:sz="4" w:space="0"/>
                    <w:right w:val="single" w:color="000000" w:sz="4" w:space="0"/>
                  </w:tcBorders>
                  <w:noWrap w:val="0"/>
                  <w:vAlign w:val="center"/>
                </w:tcPr>
                <w:p w14:paraId="4C91FF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bottom w:val="single" w:color="000000" w:sz="4" w:space="0"/>
                    <w:right w:val="single" w:color="000000" w:sz="4" w:space="0"/>
                  </w:tcBorders>
                  <w:noWrap w:val="0"/>
                  <w:vAlign w:val="center"/>
                </w:tcPr>
                <w:p w14:paraId="773F8A2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EA9E6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color w:val="auto"/>
                      <w:sz w:val="21"/>
                      <w:szCs w:val="21"/>
                      <w:highlight w:val="none"/>
                      <w:lang w:val="en-US" w:eastAsia="zh-CN"/>
                    </w:rPr>
                    <w:t>5#厂房</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7ADC16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位于</w:t>
                  </w:r>
                  <w:r>
                    <w:rPr>
                      <w:rFonts w:hint="eastAsia"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#厂房，为</w:t>
                  </w:r>
                  <w:r>
                    <w:rPr>
                      <w:rFonts w:hint="eastAsia"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层建筑，建筑面积6780.00</w:t>
                  </w: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，设置在项目</w:t>
                  </w:r>
                  <w:r>
                    <w:rPr>
                      <w:rFonts w:hint="eastAsia" w:ascii="Times New Roman" w:hAnsi="Times New Roman" w:eastAsia="宋体" w:cs="Times New Roman"/>
                      <w:i w:val="0"/>
                      <w:iCs w:val="0"/>
                      <w:color w:val="auto"/>
                      <w:kern w:val="0"/>
                      <w:sz w:val="21"/>
                      <w:szCs w:val="21"/>
                      <w:highlight w:val="none"/>
                      <w:u w:val="none"/>
                      <w:lang w:val="en-US" w:eastAsia="zh-CN" w:bidi="ar"/>
                    </w:rPr>
                    <w:t>北面</w:t>
                  </w:r>
                  <w:r>
                    <w:rPr>
                      <w:rFonts w:hint="default" w:ascii="Times New Roman" w:hAnsi="Times New Roman" w:eastAsia="宋体" w:cs="Times New Roman"/>
                      <w:i w:val="0"/>
                      <w:iCs w:val="0"/>
                      <w:color w:val="auto"/>
                      <w:kern w:val="0"/>
                      <w:sz w:val="21"/>
                      <w:szCs w:val="21"/>
                      <w:highlight w:val="none"/>
                      <w:u w:val="none"/>
                      <w:lang w:val="en-US" w:eastAsia="zh-CN" w:bidi="ar"/>
                    </w:rPr>
                    <w:t>。项目设有</w:t>
                  </w:r>
                  <w:r>
                    <w:rPr>
                      <w:rFonts w:hint="eastAsia"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条</w:t>
                  </w:r>
                  <w:r>
                    <w:rPr>
                      <w:rFonts w:hint="eastAsia" w:cs="Times New Roman"/>
                      <w:i w:val="0"/>
                      <w:iCs w:val="0"/>
                      <w:color w:val="auto"/>
                      <w:kern w:val="0"/>
                      <w:sz w:val="21"/>
                      <w:szCs w:val="21"/>
                      <w:highlight w:val="none"/>
                      <w:u w:val="none"/>
                      <w:lang w:val="en-US" w:eastAsia="zh-CN" w:bidi="ar"/>
                    </w:rPr>
                    <w:t>工件</w:t>
                  </w:r>
                  <w:r>
                    <w:rPr>
                      <w:rFonts w:hint="default" w:ascii="Times New Roman" w:hAnsi="Times New Roman" w:eastAsia="宋体" w:cs="Times New Roman"/>
                      <w:i w:val="0"/>
                      <w:iCs w:val="0"/>
                      <w:color w:val="auto"/>
                      <w:kern w:val="0"/>
                      <w:sz w:val="21"/>
                      <w:szCs w:val="21"/>
                      <w:highlight w:val="none"/>
                      <w:u w:val="none"/>
                      <w:lang w:val="en-US" w:eastAsia="zh-CN" w:bidi="ar"/>
                    </w:rPr>
                    <w:t>表面预处理生产线，主要工序为：对</w:t>
                  </w:r>
                  <w:r>
                    <w:rPr>
                      <w:rFonts w:hint="eastAsia" w:cs="Times New Roman"/>
                      <w:i w:val="0"/>
                      <w:iCs w:val="0"/>
                      <w:color w:val="auto"/>
                      <w:kern w:val="0"/>
                      <w:sz w:val="21"/>
                      <w:szCs w:val="21"/>
                      <w:highlight w:val="none"/>
                      <w:u w:val="none"/>
                      <w:lang w:val="en-US" w:eastAsia="zh-CN" w:bidi="ar"/>
                    </w:rPr>
                    <w:t>工件</w:t>
                  </w:r>
                  <w:r>
                    <w:rPr>
                      <w:rFonts w:hint="default" w:ascii="Times New Roman" w:hAnsi="Times New Roman" w:eastAsia="宋体" w:cs="Times New Roman"/>
                      <w:i w:val="0"/>
                      <w:iCs w:val="0"/>
                      <w:color w:val="auto"/>
                      <w:kern w:val="0"/>
                      <w:sz w:val="21"/>
                      <w:szCs w:val="21"/>
                      <w:highlight w:val="none"/>
                      <w:u w:val="none"/>
                      <w:lang w:val="en-US" w:eastAsia="zh-CN" w:bidi="ar"/>
                    </w:rPr>
                    <w:t>进行</w:t>
                  </w:r>
                  <w:r>
                    <w:rPr>
                      <w:rFonts w:hint="eastAsia" w:ascii="Times New Roman" w:hAnsi="Times New Roman" w:eastAsia="宋体" w:cs="Times New Roman"/>
                      <w:i w:val="0"/>
                      <w:iCs w:val="0"/>
                      <w:color w:val="auto"/>
                      <w:kern w:val="0"/>
                      <w:sz w:val="21"/>
                      <w:szCs w:val="21"/>
                      <w:highlight w:val="none"/>
                      <w:u w:val="none"/>
                      <w:lang w:val="en-US" w:eastAsia="zh-CN" w:bidi="ar"/>
                    </w:rPr>
                    <w:t>脱脂</w:t>
                  </w:r>
                  <w:r>
                    <w:rPr>
                      <w:rFonts w:hint="default" w:ascii="Times New Roman" w:hAnsi="Times New Roman" w:eastAsia="宋体" w:cs="Times New Roman"/>
                      <w:i w:val="0"/>
                      <w:iCs w:val="0"/>
                      <w:color w:val="auto"/>
                      <w:kern w:val="0"/>
                      <w:sz w:val="21"/>
                      <w:szCs w:val="21"/>
                      <w:highlight w:val="none"/>
                      <w:u w:val="none"/>
                      <w:lang w:val="en-US" w:eastAsia="zh-CN" w:bidi="ar"/>
                    </w:rPr>
                    <w:t>除油、清水喷淋、钝化、烘干</w:t>
                  </w:r>
                  <w:r>
                    <w:rPr>
                      <w:rFonts w:hint="eastAsia" w:ascii="Times New Roman" w:hAnsi="Times New Roman" w:eastAsia="宋体" w:cs="Times New Roman"/>
                      <w:i w:val="0"/>
                      <w:iCs w:val="0"/>
                      <w:color w:val="auto"/>
                      <w:kern w:val="0"/>
                      <w:sz w:val="21"/>
                      <w:szCs w:val="21"/>
                      <w:highlight w:val="none"/>
                      <w:u w:val="none"/>
                      <w:lang w:val="en-US" w:eastAsia="zh-CN" w:bidi="ar"/>
                    </w:rPr>
                    <w:t>；设储存物料、产品</w:t>
                  </w:r>
                  <w:r>
                    <w:rPr>
                      <w:rFonts w:hint="default" w:ascii="Times New Roman" w:hAnsi="Times New Roman" w:eastAsia="宋体" w:cs="Times New Roman"/>
                      <w:i w:val="0"/>
                      <w:iCs w:val="0"/>
                      <w:color w:val="auto"/>
                      <w:kern w:val="0"/>
                      <w:sz w:val="21"/>
                      <w:szCs w:val="21"/>
                      <w:highlight w:val="none"/>
                      <w:u w:val="none"/>
                      <w:lang w:val="en-US" w:eastAsia="zh-CN" w:bidi="ar"/>
                    </w:rPr>
                    <w:t>仓库</w:t>
                  </w:r>
                </w:p>
              </w:tc>
            </w:tr>
            <w:tr w14:paraId="5FDED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restart"/>
                  <w:tcBorders>
                    <w:top w:val="single" w:color="000000" w:sz="4" w:space="0"/>
                    <w:left w:val="single" w:color="000000" w:sz="4" w:space="0"/>
                    <w:bottom w:val="single" w:color="000000" w:sz="4" w:space="0"/>
                    <w:right w:val="single" w:color="000000" w:sz="4" w:space="0"/>
                  </w:tcBorders>
                  <w:noWrap w:val="0"/>
                  <w:vAlign w:val="center"/>
                </w:tcPr>
                <w:p w14:paraId="3B379D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635" w:type="pct"/>
                  <w:vMerge w:val="restart"/>
                  <w:tcBorders>
                    <w:top w:val="single" w:color="000000" w:sz="4" w:space="0"/>
                    <w:left w:val="single" w:color="000000" w:sz="4" w:space="0"/>
                    <w:bottom w:val="single" w:color="000000" w:sz="4" w:space="0"/>
                    <w:right w:val="single" w:color="000000" w:sz="4" w:space="0"/>
                  </w:tcBorders>
                  <w:noWrap w:val="0"/>
                  <w:vAlign w:val="center"/>
                </w:tcPr>
                <w:p w14:paraId="1066E4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辅助工程</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55124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宿舍楼</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AA7CA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为</w:t>
                  </w:r>
                  <w:r>
                    <w:rPr>
                      <w:rFonts w:hint="eastAsia" w:ascii="Times New Roman" w:hAnsi="Times New Roman" w:eastAsia="宋体"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层建筑，建筑面积</w:t>
                  </w:r>
                  <w:r>
                    <w:rPr>
                      <w:rFonts w:hint="eastAsia" w:ascii="Times New Roman" w:hAnsi="Times New Roman" w:eastAsia="宋体" w:cs="Times New Roman"/>
                      <w:i w:val="0"/>
                      <w:iCs w:val="0"/>
                      <w:color w:val="auto"/>
                      <w:kern w:val="0"/>
                      <w:sz w:val="21"/>
                      <w:szCs w:val="21"/>
                      <w:highlight w:val="none"/>
                      <w:u w:val="none"/>
                      <w:lang w:val="en-US" w:eastAsia="zh-CN" w:bidi="ar"/>
                    </w:rPr>
                    <w:t>为3734.40m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，设置在项目厂区</w:t>
                  </w:r>
                  <w:r>
                    <w:rPr>
                      <w:rFonts w:hint="eastAsia" w:cs="Times New Roman"/>
                      <w:i w:val="0"/>
                      <w:iCs w:val="0"/>
                      <w:color w:val="auto"/>
                      <w:kern w:val="0"/>
                      <w:sz w:val="21"/>
                      <w:szCs w:val="21"/>
                      <w:highlight w:val="none"/>
                      <w:u w:val="none"/>
                      <w:lang w:val="en-US" w:eastAsia="zh-CN" w:bidi="ar"/>
                    </w:rPr>
                    <w:t>东南面</w:t>
                  </w:r>
                  <w:r>
                    <w:rPr>
                      <w:rFonts w:hint="default" w:ascii="Times New Roman" w:hAnsi="Times New Roman" w:eastAsia="宋体" w:cs="Times New Roman"/>
                      <w:i w:val="0"/>
                      <w:iCs w:val="0"/>
                      <w:color w:val="auto"/>
                      <w:kern w:val="0"/>
                      <w:sz w:val="21"/>
                      <w:szCs w:val="21"/>
                      <w:highlight w:val="none"/>
                      <w:u w:val="none"/>
                      <w:lang w:val="en-US" w:eastAsia="zh-CN" w:bidi="ar"/>
                    </w:rPr>
                    <w:t>，为员工提供</w:t>
                  </w:r>
                  <w:r>
                    <w:rPr>
                      <w:rFonts w:hint="eastAsia" w:ascii="Times New Roman" w:hAnsi="Times New Roman" w:eastAsia="宋体" w:cs="Times New Roman"/>
                      <w:i w:val="0"/>
                      <w:iCs w:val="0"/>
                      <w:color w:val="auto"/>
                      <w:kern w:val="0"/>
                      <w:sz w:val="21"/>
                      <w:szCs w:val="21"/>
                      <w:highlight w:val="none"/>
                      <w:u w:val="none"/>
                      <w:lang w:val="en-US" w:eastAsia="zh-CN" w:bidi="ar"/>
                    </w:rPr>
                    <w:t>食</w:t>
                  </w:r>
                  <w:r>
                    <w:rPr>
                      <w:rFonts w:hint="default" w:ascii="Times New Roman" w:hAnsi="Times New Roman" w:eastAsia="宋体" w:cs="Times New Roman"/>
                      <w:i w:val="0"/>
                      <w:iCs w:val="0"/>
                      <w:color w:val="auto"/>
                      <w:kern w:val="0"/>
                      <w:sz w:val="21"/>
                      <w:szCs w:val="21"/>
                      <w:highlight w:val="none"/>
                      <w:u w:val="none"/>
                      <w:lang w:val="en-US" w:eastAsia="zh-CN" w:bidi="ar"/>
                    </w:rPr>
                    <w:t>宿</w:t>
                  </w:r>
                </w:p>
              </w:tc>
            </w:tr>
            <w:tr w14:paraId="2221C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9F36A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BE67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2CB534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综合楼</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E49C4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为</w:t>
                  </w:r>
                  <w:r>
                    <w:rPr>
                      <w:rFonts w:hint="eastAsia" w:cs="Times New Roman"/>
                      <w:i w:val="0"/>
                      <w:iCs w:val="0"/>
                      <w:color w:val="auto"/>
                      <w:kern w:val="0"/>
                      <w:sz w:val="21"/>
                      <w:szCs w:val="21"/>
                      <w:highlight w:val="none"/>
                      <w:u w:val="none"/>
                      <w:lang w:val="en-US" w:eastAsia="zh-CN" w:bidi="ar"/>
                    </w:rPr>
                    <w:t>9</w:t>
                  </w:r>
                  <w:r>
                    <w:rPr>
                      <w:rFonts w:hint="default" w:ascii="Times New Roman" w:hAnsi="Times New Roman" w:eastAsia="宋体" w:cs="Times New Roman"/>
                      <w:i w:val="0"/>
                      <w:iCs w:val="0"/>
                      <w:color w:val="auto"/>
                      <w:kern w:val="0"/>
                      <w:sz w:val="21"/>
                      <w:szCs w:val="21"/>
                      <w:highlight w:val="none"/>
                      <w:u w:val="none"/>
                      <w:lang w:val="en-US" w:eastAsia="zh-CN" w:bidi="ar"/>
                    </w:rPr>
                    <w:t>层建筑，建筑面积为9376.38</w:t>
                  </w:r>
                  <w:r>
                    <w:rPr>
                      <w:rFonts w:hint="eastAsia" w:ascii="Times New Roman" w:hAnsi="Times New Roman" w:eastAsia="宋体" w:cs="Times New Roman"/>
                      <w:i w:val="0"/>
                      <w:iCs w:val="0"/>
                      <w:color w:val="auto"/>
                      <w:kern w:val="0"/>
                      <w:sz w:val="21"/>
                      <w:szCs w:val="21"/>
                      <w:highlight w:val="none"/>
                      <w:u w:val="none"/>
                      <w:lang w:val="en-US" w:eastAsia="zh-CN" w:bidi="ar"/>
                    </w:rPr>
                    <w:t>m</w:t>
                  </w:r>
                  <w:r>
                    <w:rPr>
                      <w:rFonts w:hint="eastAsia"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Times New Roman" w:hAnsi="Times New Roman" w:eastAsia="宋体" w:cs="Times New Roman"/>
                      <w:i w:val="0"/>
                      <w:iCs w:val="0"/>
                      <w:color w:val="auto"/>
                      <w:kern w:val="0"/>
                      <w:sz w:val="21"/>
                      <w:szCs w:val="21"/>
                      <w:highlight w:val="none"/>
                      <w:u w:val="none"/>
                      <w:lang w:val="en-US" w:eastAsia="zh-CN" w:bidi="ar"/>
                    </w:rPr>
                    <w:t>设置在</w:t>
                  </w:r>
                  <w:r>
                    <w:rPr>
                      <w:rFonts w:hint="default" w:ascii="Times New Roman" w:hAnsi="Times New Roman" w:eastAsia="宋体" w:cs="Times New Roman"/>
                      <w:i w:val="0"/>
                      <w:iCs w:val="0"/>
                      <w:color w:val="auto"/>
                      <w:kern w:val="0"/>
                      <w:sz w:val="21"/>
                      <w:szCs w:val="21"/>
                      <w:highlight w:val="none"/>
                      <w:u w:val="none"/>
                      <w:lang w:val="en-US" w:eastAsia="zh-CN" w:bidi="ar"/>
                    </w:rPr>
                    <w:t>项目厂区东</w:t>
                  </w:r>
                  <w:r>
                    <w:rPr>
                      <w:rFonts w:hint="eastAsia" w:ascii="Times New Roman" w:hAnsi="Times New Roman" w:eastAsia="宋体" w:cs="Times New Roman"/>
                      <w:i w:val="0"/>
                      <w:iCs w:val="0"/>
                      <w:color w:val="auto"/>
                      <w:kern w:val="0"/>
                      <w:sz w:val="21"/>
                      <w:szCs w:val="21"/>
                      <w:highlight w:val="none"/>
                      <w:u w:val="none"/>
                      <w:lang w:val="en-US" w:eastAsia="zh-CN" w:bidi="ar"/>
                    </w:rPr>
                    <w:t>北</w:t>
                  </w:r>
                  <w:r>
                    <w:rPr>
                      <w:rFonts w:hint="default" w:ascii="Times New Roman" w:hAnsi="Times New Roman" w:eastAsia="宋体" w:cs="Times New Roman"/>
                      <w:i w:val="0"/>
                      <w:iCs w:val="0"/>
                      <w:color w:val="auto"/>
                      <w:kern w:val="0"/>
                      <w:sz w:val="21"/>
                      <w:szCs w:val="21"/>
                      <w:highlight w:val="none"/>
                      <w:u w:val="none"/>
                      <w:lang w:val="en-US" w:eastAsia="zh-CN" w:bidi="ar"/>
                    </w:rPr>
                    <w:t>侧，主要用于</w:t>
                  </w:r>
                  <w:r>
                    <w:rPr>
                      <w:rFonts w:hint="eastAsia" w:ascii="Times New Roman" w:hAnsi="Times New Roman" w:eastAsia="宋体" w:cs="Times New Roman"/>
                      <w:i w:val="0"/>
                      <w:iCs w:val="0"/>
                      <w:color w:val="auto"/>
                      <w:kern w:val="0"/>
                      <w:sz w:val="21"/>
                      <w:szCs w:val="21"/>
                      <w:highlight w:val="none"/>
                      <w:u w:val="none"/>
                      <w:lang w:val="en-US" w:eastAsia="zh-CN" w:bidi="ar"/>
                    </w:rPr>
                    <w:t>产品研发及</w:t>
                  </w:r>
                  <w:r>
                    <w:rPr>
                      <w:rFonts w:hint="default" w:ascii="Times New Roman" w:hAnsi="Times New Roman" w:eastAsia="宋体" w:cs="Times New Roman"/>
                      <w:i w:val="0"/>
                      <w:iCs w:val="0"/>
                      <w:color w:val="auto"/>
                      <w:kern w:val="0"/>
                      <w:sz w:val="21"/>
                      <w:szCs w:val="21"/>
                      <w:highlight w:val="none"/>
                      <w:u w:val="none"/>
                      <w:lang w:val="en-US" w:eastAsia="zh-CN" w:bidi="ar"/>
                    </w:rPr>
                    <w:t>员工办公</w:t>
                  </w:r>
                </w:p>
              </w:tc>
            </w:tr>
            <w:tr w14:paraId="50F40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tcBorders>
                    <w:top w:val="single" w:color="000000" w:sz="4" w:space="0"/>
                    <w:left w:val="single" w:color="000000" w:sz="4" w:space="0"/>
                    <w:bottom w:val="single" w:color="000000" w:sz="4" w:space="0"/>
                    <w:right w:val="single" w:color="000000" w:sz="4" w:space="0"/>
                  </w:tcBorders>
                  <w:noWrap w:val="0"/>
                  <w:vAlign w:val="center"/>
                </w:tcPr>
                <w:p w14:paraId="10164F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635" w:type="pct"/>
                  <w:tcBorders>
                    <w:top w:val="single" w:color="000000" w:sz="4" w:space="0"/>
                    <w:left w:val="single" w:color="000000" w:sz="4" w:space="0"/>
                    <w:bottom w:val="single" w:color="000000" w:sz="4" w:space="0"/>
                    <w:right w:val="single" w:color="000000" w:sz="4" w:space="0"/>
                  </w:tcBorders>
                  <w:noWrap w:val="0"/>
                  <w:vAlign w:val="center"/>
                </w:tcPr>
                <w:p w14:paraId="53CAFF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储运工程</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6989B8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仓库</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41D364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依托</w:t>
                  </w:r>
                  <w:r>
                    <w:rPr>
                      <w:rFonts w:hint="eastAsia"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#厂房，</w:t>
                  </w:r>
                  <w:r>
                    <w:rPr>
                      <w:rFonts w:hint="eastAsia" w:ascii="Times New Roman" w:hAnsi="Times New Roman" w:eastAsia="宋体" w:cs="Times New Roman"/>
                      <w:i w:val="0"/>
                      <w:iCs w:val="0"/>
                      <w:color w:val="auto"/>
                      <w:kern w:val="0"/>
                      <w:sz w:val="21"/>
                      <w:szCs w:val="21"/>
                      <w:highlight w:val="none"/>
                      <w:u w:val="none"/>
                      <w:lang w:val="en-US" w:eastAsia="zh-CN" w:bidi="ar"/>
                    </w:rPr>
                    <w:t>位于5#厂房东南面</w:t>
                  </w:r>
                  <w:r>
                    <w:rPr>
                      <w:rFonts w:hint="default" w:ascii="Times New Roman" w:hAnsi="Times New Roman" w:eastAsia="宋体" w:cs="Times New Roman"/>
                      <w:i w:val="0"/>
                      <w:iCs w:val="0"/>
                      <w:color w:val="auto"/>
                      <w:kern w:val="0"/>
                      <w:sz w:val="21"/>
                      <w:szCs w:val="21"/>
                      <w:highlight w:val="none"/>
                      <w:u w:val="none"/>
                      <w:lang w:val="en-US" w:eastAsia="zh-CN" w:bidi="ar"/>
                    </w:rPr>
                    <w:t>，用于储存物料、产品</w:t>
                  </w:r>
                </w:p>
              </w:tc>
            </w:tr>
            <w:tr w14:paraId="02364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restart"/>
                  <w:tcBorders>
                    <w:top w:val="single" w:color="000000" w:sz="4" w:space="0"/>
                    <w:left w:val="single" w:color="000000" w:sz="4" w:space="0"/>
                    <w:bottom w:val="single" w:color="000000" w:sz="4" w:space="0"/>
                    <w:right w:val="single" w:color="000000" w:sz="4" w:space="0"/>
                  </w:tcBorders>
                  <w:noWrap w:val="0"/>
                  <w:vAlign w:val="center"/>
                </w:tcPr>
                <w:p w14:paraId="4E216A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635" w:type="pct"/>
                  <w:vMerge w:val="restart"/>
                  <w:tcBorders>
                    <w:top w:val="single" w:color="000000" w:sz="4" w:space="0"/>
                    <w:left w:val="single" w:color="000000" w:sz="4" w:space="0"/>
                    <w:bottom w:val="single" w:color="000000" w:sz="4" w:space="0"/>
                    <w:right w:val="single" w:color="000000" w:sz="4" w:space="0"/>
                  </w:tcBorders>
                  <w:noWrap w:val="0"/>
                  <w:vAlign w:val="center"/>
                </w:tcPr>
                <w:p w14:paraId="0012F82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公用工程</w:t>
                  </w: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235A497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供电</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6A39292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由市政电网供给，不设备用发电机</w:t>
                  </w:r>
                </w:p>
              </w:tc>
            </w:tr>
            <w:tr w14:paraId="47FC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0426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722D1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3D9F03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供水</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58C7ED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由当地自来水管网供给</w:t>
                  </w:r>
                </w:p>
              </w:tc>
            </w:tr>
            <w:tr w14:paraId="26346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09E4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2D17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7A709F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供气</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788633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天然气为当地管道天然气供给</w:t>
                  </w:r>
                </w:p>
              </w:tc>
            </w:tr>
            <w:tr w14:paraId="2C750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restart"/>
                  <w:tcBorders>
                    <w:top w:val="single" w:color="000000" w:sz="4" w:space="0"/>
                    <w:left w:val="single" w:color="000000" w:sz="4" w:space="0"/>
                    <w:right w:val="single" w:color="000000" w:sz="4" w:space="0"/>
                  </w:tcBorders>
                  <w:noWrap w:val="0"/>
                  <w:vAlign w:val="center"/>
                </w:tcPr>
                <w:p w14:paraId="44FAA4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635" w:type="pct"/>
                  <w:vMerge w:val="restart"/>
                  <w:tcBorders>
                    <w:top w:val="single" w:color="000000" w:sz="4" w:space="0"/>
                    <w:left w:val="single" w:color="000000" w:sz="4" w:space="0"/>
                    <w:right w:val="single" w:color="000000" w:sz="4" w:space="0"/>
                  </w:tcBorders>
                  <w:noWrap w:val="0"/>
                  <w:vAlign w:val="center"/>
                </w:tcPr>
                <w:p w14:paraId="36808F6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环保工程</w:t>
                  </w:r>
                </w:p>
              </w:tc>
              <w:tc>
                <w:tcPr>
                  <w:tcW w:w="726" w:type="pct"/>
                  <w:vMerge w:val="restart"/>
                  <w:tcBorders>
                    <w:top w:val="single" w:color="000000" w:sz="4" w:space="0"/>
                    <w:left w:val="single" w:color="000000" w:sz="4" w:space="0"/>
                    <w:right w:val="single" w:color="000000" w:sz="4" w:space="0"/>
                  </w:tcBorders>
                  <w:noWrap w:val="0"/>
                  <w:vAlign w:val="center"/>
                </w:tcPr>
                <w:p w14:paraId="5F78719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废气</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784511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cs="Times New Roman"/>
                      <w:color w:val="auto"/>
                      <w:sz w:val="21"/>
                      <w:szCs w:val="21"/>
                      <w:highlight w:val="none"/>
                      <w:lang w:val="en-US" w:eastAsia="zh-CN"/>
                    </w:rPr>
                    <w:t>切割粉尘、</w:t>
                  </w:r>
                  <w:r>
                    <w:rPr>
                      <w:rFonts w:hint="default" w:ascii="Times New Roman" w:hAnsi="Times New Roman" w:eastAsia="宋体" w:cs="Times New Roman"/>
                      <w:i w:val="0"/>
                      <w:iCs w:val="0"/>
                      <w:color w:val="auto"/>
                      <w:kern w:val="0"/>
                      <w:sz w:val="21"/>
                      <w:szCs w:val="21"/>
                      <w:highlight w:val="none"/>
                      <w:u w:val="none"/>
                      <w:lang w:val="en-US" w:eastAsia="zh-CN" w:bidi="ar"/>
                    </w:rPr>
                    <w:t>焊接烟尘</w:t>
                  </w:r>
                  <w:r>
                    <w:rPr>
                      <w:rFonts w:hint="eastAsia" w:ascii="Times New Roman" w:hAnsi="Times New Roman" w:cs="Times New Roman"/>
                      <w:color w:val="auto"/>
                      <w:sz w:val="21"/>
                      <w:szCs w:val="21"/>
                      <w:highlight w:val="none"/>
                      <w:lang w:val="en-US" w:eastAsia="zh-CN"/>
                    </w:rPr>
                    <w:t>在车间无组织排放，经加强车间通风处理</w:t>
                  </w:r>
                  <w:r>
                    <w:rPr>
                      <w:rFonts w:hint="eastAsia" w:cs="Times New Roman"/>
                      <w:color w:val="auto"/>
                      <w:sz w:val="21"/>
                      <w:szCs w:val="21"/>
                      <w:highlight w:val="none"/>
                      <w:lang w:val="en-US" w:eastAsia="zh-CN"/>
                    </w:rPr>
                    <w:t>；</w:t>
                  </w:r>
                  <w:r>
                    <w:rPr>
                      <w:rFonts w:hint="eastAsia"/>
                      <w:b w:val="0"/>
                      <w:color w:val="auto"/>
                      <w:szCs w:val="24"/>
                      <w:lang w:val="en-US" w:eastAsia="zh-CN"/>
                    </w:rPr>
                    <w:t>喷粉线粉尘经“</w:t>
                  </w:r>
                  <w:r>
                    <w:rPr>
                      <w:b w:val="0"/>
                      <w:color w:val="auto"/>
                      <w:szCs w:val="24"/>
                    </w:rPr>
                    <w:t>密闭车间负压收集+大旋风+滤芯式二级回收系统</w:t>
                  </w:r>
                  <w:r>
                    <w:rPr>
                      <w:rFonts w:hint="eastAsia"/>
                      <w:b w:val="0"/>
                      <w:color w:val="auto"/>
                      <w:szCs w:val="24"/>
                      <w:lang w:eastAsia="zh-CN"/>
                    </w:rPr>
                    <w:t>”</w:t>
                  </w:r>
                  <w:r>
                    <w:rPr>
                      <w:rFonts w:hint="eastAsia"/>
                      <w:b w:val="0"/>
                      <w:color w:val="auto"/>
                      <w:szCs w:val="24"/>
                      <w:lang w:val="en-US" w:eastAsia="zh-CN"/>
                    </w:rPr>
                    <w:t>处理后无组织排放</w:t>
                  </w:r>
                </w:p>
              </w:tc>
            </w:tr>
            <w:tr w14:paraId="34BEE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5B91214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0B4BDF8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continue"/>
                  <w:tcBorders>
                    <w:left w:val="single" w:color="000000" w:sz="4" w:space="0"/>
                    <w:right w:val="single" w:color="000000" w:sz="4" w:space="0"/>
                  </w:tcBorders>
                  <w:noWrap w:val="0"/>
                  <w:vAlign w:val="center"/>
                </w:tcPr>
                <w:p w14:paraId="538BC8B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6BE5EDE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抛光</w:t>
                  </w:r>
                  <w:r>
                    <w:rPr>
                      <w:rFonts w:hint="eastAsia" w:ascii="Times New Roman" w:hAnsi="Times New Roman" w:eastAsia="宋体" w:cs="Times New Roman"/>
                      <w:i w:val="0"/>
                      <w:iCs w:val="0"/>
                      <w:color w:val="auto"/>
                      <w:kern w:val="0"/>
                      <w:sz w:val="21"/>
                      <w:szCs w:val="21"/>
                      <w:highlight w:val="none"/>
                      <w:u w:val="none"/>
                      <w:lang w:val="en-US" w:eastAsia="zh-CN" w:bidi="ar"/>
                    </w:rPr>
                    <w:t>打磨</w:t>
                  </w:r>
                  <w:r>
                    <w:rPr>
                      <w:rFonts w:hint="default" w:ascii="Times New Roman" w:hAnsi="Times New Roman" w:eastAsia="宋体" w:cs="Times New Roman"/>
                      <w:i w:val="0"/>
                      <w:iCs w:val="0"/>
                      <w:color w:val="auto"/>
                      <w:kern w:val="0"/>
                      <w:sz w:val="21"/>
                      <w:szCs w:val="21"/>
                      <w:highlight w:val="none"/>
                      <w:u w:val="none"/>
                      <w:lang w:val="en-US" w:eastAsia="zh-CN" w:bidi="ar"/>
                    </w:rPr>
                    <w:t>粉尘</w:t>
                  </w:r>
                  <w:r>
                    <w:rPr>
                      <w:rFonts w:hint="eastAsia" w:cs="Times New Roman"/>
                      <w:i w:val="0"/>
                      <w:iCs w:val="0"/>
                      <w:color w:val="auto"/>
                      <w:kern w:val="0"/>
                      <w:sz w:val="21"/>
                      <w:szCs w:val="21"/>
                      <w:highlight w:val="none"/>
                      <w:u w:val="none"/>
                      <w:lang w:val="en-US" w:eastAsia="zh-CN" w:bidi="ar"/>
                    </w:rPr>
                    <w:t>经自然沉降后无组织排放于车间</w:t>
                  </w:r>
                </w:p>
              </w:tc>
            </w:tr>
            <w:tr w14:paraId="650C0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5A42BB8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2513BCF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continue"/>
                  <w:tcBorders>
                    <w:left w:val="single" w:color="000000" w:sz="4" w:space="0"/>
                    <w:bottom w:val="single" w:color="000000" w:sz="4" w:space="0"/>
                    <w:right w:val="single" w:color="000000" w:sz="4" w:space="0"/>
                  </w:tcBorders>
                  <w:noWrap w:val="0"/>
                  <w:vAlign w:val="center"/>
                </w:tcPr>
                <w:p w14:paraId="5A3DB8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3551AD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喷漆废气通过水帘柜+</w:t>
                  </w: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sz w:val="21"/>
                      <w:szCs w:val="21"/>
                      <w:highlight w:val="none"/>
                      <w:lang w:eastAsia="zh-CN"/>
                    </w:rPr>
                    <w:t>活性炭吸脱附+催化燃烧+活性炭吸附</w:t>
                  </w:r>
                  <w:r>
                    <w:rPr>
                      <w:rFonts w:hint="eastAsia" w:ascii="Times New Roman" w:hAnsi="Times New Roman" w:eastAsia="宋体" w:cs="Times New Roman"/>
                      <w:color w:val="auto"/>
                      <w:sz w:val="21"/>
                      <w:szCs w:val="21"/>
                      <w:highlight w:val="none"/>
                      <w:lang w:val="en-US" w:eastAsia="zh-CN"/>
                    </w:rPr>
                    <w:t>处理后，</w:t>
                  </w:r>
                  <w:r>
                    <w:rPr>
                      <w:rFonts w:hint="default" w:ascii="Times New Roman" w:hAnsi="Times New Roman" w:eastAsia="宋体" w:cs="Times New Roman"/>
                      <w:color w:val="auto"/>
                      <w:sz w:val="21"/>
                      <w:szCs w:val="21"/>
                      <w:highlight w:val="none"/>
                      <w:lang w:val="en-US" w:eastAsia="zh-CN"/>
                    </w:rPr>
                    <w:t>引至15</w:t>
                  </w:r>
                  <w:r>
                    <w:rPr>
                      <w:rFonts w:hint="default" w:ascii="Times New Roman" w:hAnsi="Times New Roman" w:eastAsia="宋体" w:cs="Times New Roman"/>
                      <w:color w:val="auto"/>
                      <w:sz w:val="21"/>
                      <w:szCs w:val="21"/>
                      <w:highlight w:val="none"/>
                    </w:rPr>
                    <w:t>m高</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排气筒</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排放</w:t>
                  </w:r>
                </w:p>
              </w:tc>
            </w:tr>
            <w:tr w14:paraId="2617B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39DF6D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2B964E0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continue"/>
                  <w:tcBorders>
                    <w:left w:val="single" w:color="000000" w:sz="4" w:space="0"/>
                    <w:bottom w:val="single" w:color="000000" w:sz="4" w:space="0"/>
                    <w:right w:val="single" w:color="000000" w:sz="4" w:space="0"/>
                  </w:tcBorders>
                  <w:noWrap w:val="0"/>
                  <w:vAlign w:val="center"/>
                </w:tcPr>
                <w:p w14:paraId="2B4293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66674F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固化废气</w:t>
                  </w:r>
                  <w:r>
                    <w:rPr>
                      <w:rFonts w:hint="eastAsia"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sz w:val="21"/>
                      <w:szCs w:val="21"/>
                      <w:highlight w:val="none"/>
                      <w:lang w:val="en-US" w:eastAsia="zh-CN"/>
                    </w:rPr>
                    <w:t>二级</w:t>
                  </w:r>
                  <w:r>
                    <w:rPr>
                      <w:rFonts w:hint="default" w:ascii="Times New Roman" w:hAnsi="Times New Roman" w:eastAsia="宋体" w:cs="Times New Roman"/>
                      <w:color w:val="auto"/>
                      <w:sz w:val="21"/>
                      <w:szCs w:val="21"/>
                      <w:highlight w:val="none"/>
                    </w:rPr>
                    <w:t>活性炭</w:t>
                  </w:r>
                  <w:r>
                    <w:rPr>
                      <w:rFonts w:hint="eastAsia" w:cs="Times New Roman"/>
                      <w:color w:val="auto"/>
                      <w:sz w:val="21"/>
                      <w:szCs w:val="21"/>
                      <w:highlight w:val="none"/>
                      <w:lang w:val="en-US" w:eastAsia="zh-CN"/>
                    </w:rPr>
                    <w:t>吸附</w:t>
                  </w:r>
                  <w:r>
                    <w:rPr>
                      <w:rFonts w:hint="eastAsia" w:ascii="Times New Roman" w:hAnsi="Times New Roman" w:eastAsia="宋体" w:cs="Times New Roman"/>
                      <w:color w:val="auto"/>
                      <w:sz w:val="21"/>
                      <w:szCs w:val="21"/>
                      <w:highlight w:val="none"/>
                      <w:lang w:val="en-US" w:eastAsia="zh-CN"/>
                    </w:rPr>
                    <w:t>处理后，</w:t>
                  </w:r>
                  <w:r>
                    <w:rPr>
                      <w:rFonts w:hint="default" w:ascii="Times New Roman" w:hAnsi="Times New Roman" w:eastAsia="宋体" w:cs="Times New Roman"/>
                      <w:color w:val="auto"/>
                      <w:sz w:val="21"/>
                      <w:szCs w:val="21"/>
                      <w:highlight w:val="none"/>
                      <w:lang w:val="en-US" w:eastAsia="zh-CN"/>
                    </w:rPr>
                    <w:t>引至15</w:t>
                  </w:r>
                  <w:r>
                    <w:rPr>
                      <w:rFonts w:hint="default" w:ascii="Times New Roman" w:hAnsi="Times New Roman" w:eastAsia="宋体" w:cs="Times New Roman"/>
                      <w:color w:val="auto"/>
                      <w:sz w:val="21"/>
                      <w:szCs w:val="21"/>
                      <w:highlight w:val="none"/>
                    </w:rPr>
                    <w:t>m高</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排气筒</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排放</w:t>
                  </w:r>
                </w:p>
              </w:tc>
            </w:tr>
            <w:tr w14:paraId="76FE5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634E87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19DCA45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continue"/>
                  <w:tcBorders>
                    <w:left w:val="single" w:color="000000" w:sz="4" w:space="0"/>
                    <w:bottom w:val="single" w:color="000000" w:sz="4" w:space="0"/>
                    <w:right w:val="single" w:color="000000" w:sz="4" w:space="0"/>
                  </w:tcBorders>
                  <w:noWrap w:val="0"/>
                  <w:vAlign w:val="center"/>
                </w:tcPr>
                <w:p w14:paraId="363F9BF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25732B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工件表面预处理废气经碱液喷淋处理后，通过15m排气筒DA003排放</w:t>
                  </w:r>
                </w:p>
              </w:tc>
            </w:tr>
            <w:tr w14:paraId="1E191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79" w:type="pct"/>
                  <w:vMerge w:val="continue"/>
                  <w:tcBorders>
                    <w:left w:val="single" w:color="000000" w:sz="4" w:space="0"/>
                    <w:right w:val="single" w:color="000000" w:sz="4" w:space="0"/>
                  </w:tcBorders>
                  <w:noWrap w:val="0"/>
                  <w:vAlign w:val="center"/>
                </w:tcPr>
                <w:p w14:paraId="3358754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4C41A75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continue"/>
                  <w:tcBorders>
                    <w:left w:val="single" w:color="000000" w:sz="4" w:space="0"/>
                    <w:bottom w:val="single" w:color="000000" w:sz="4" w:space="0"/>
                    <w:right w:val="single" w:color="000000" w:sz="4" w:space="0"/>
                  </w:tcBorders>
                  <w:noWrap w:val="0"/>
                  <w:vAlign w:val="center"/>
                </w:tcPr>
                <w:p w14:paraId="2D4D87C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4BB094C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食堂油烟</w:t>
                  </w:r>
                  <w:r>
                    <w:rPr>
                      <w:rFonts w:hint="eastAsia" w:cs="Times New Roman"/>
                      <w:color w:val="auto"/>
                      <w:sz w:val="21"/>
                      <w:szCs w:val="21"/>
                      <w:highlight w:val="none"/>
                      <w:vertAlign w:val="baseline"/>
                      <w:lang w:val="en-US" w:eastAsia="zh-CN"/>
                    </w:rPr>
                    <w:t>收集后经1套“高效静电油烟净化器”处理后引至宿舍楼一层天面的专用排烟管DA004进行排放</w:t>
                  </w:r>
                </w:p>
              </w:tc>
            </w:tr>
            <w:tr w14:paraId="16E5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580E134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7B53D9C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01F7F5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废水</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179932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外排生产废水经自建</w:t>
                  </w:r>
                  <w:r>
                    <w:rPr>
                      <w:rFonts w:hint="default" w:ascii="Times New Roman" w:hAnsi="Times New Roman" w:eastAsia="宋体" w:cs="Times New Roman"/>
                      <w:i w:val="0"/>
                      <w:iCs w:val="0"/>
                      <w:color w:val="auto"/>
                      <w:kern w:val="0"/>
                      <w:sz w:val="21"/>
                      <w:szCs w:val="21"/>
                      <w:highlight w:val="none"/>
                      <w:u w:val="none"/>
                      <w:lang w:val="en-US" w:eastAsia="zh-CN" w:bidi="ar"/>
                    </w:rPr>
                    <w:t>污水处理站</w:t>
                  </w:r>
                  <w:r>
                    <w:rPr>
                      <w:rFonts w:hint="eastAsia" w:cs="Times New Roman"/>
                      <w:i w:val="0"/>
                      <w:iCs w:val="0"/>
                      <w:color w:val="auto"/>
                      <w:kern w:val="0"/>
                      <w:sz w:val="21"/>
                      <w:szCs w:val="21"/>
                      <w:highlight w:val="none"/>
                      <w:u w:val="none"/>
                      <w:lang w:val="en-US" w:eastAsia="zh-CN" w:bidi="ar"/>
                    </w:rPr>
                    <w:t>（处理工艺：中和调节+混凝沉淀+气浮+化学除氟）</w:t>
                  </w:r>
                  <w:r>
                    <w:rPr>
                      <w:rFonts w:hint="default" w:ascii="Times New Roman" w:hAnsi="Times New Roman" w:eastAsia="宋体" w:cs="Times New Roman"/>
                      <w:i w:val="0"/>
                      <w:iCs w:val="0"/>
                      <w:color w:val="auto"/>
                      <w:kern w:val="0"/>
                      <w:sz w:val="21"/>
                      <w:szCs w:val="21"/>
                      <w:highlight w:val="none"/>
                      <w:u w:val="none"/>
                      <w:lang w:val="en-US" w:eastAsia="zh-CN" w:bidi="ar"/>
                    </w:rPr>
                    <w:t>处理</w:t>
                  </w:r>
                  <w:r>
                    <w:rPr>
                      <w:rFonts w:hint="eastAsia" w:cs="Times New Roman"/>
                      <w:i w:val="0"/>
                      <w:iCs w:val="0"/>
                      <w:color w:val="auto"/>
                      <w:kern w:val="0"/>
                      <w:sz w:val="21"/>
                      <w:szCs w:val="21"/>
                      <w:highlight w:val="none"/>
                      <w:u w:val="none"/>
                      <w:lang w:val="en-US" w:eastAsia="zh-CN" w:bidi="ar"/>
                    </w:rPr>
                    <w:t>后、</w:t>
                  </w:r>
                  <w:r>
                    <w:rPr>
                      <w:rFonts w:hint="default" w:ascii="Times New Roman" w:hAnsi="Times New Roman" w:eastAsia="宋体" w:cs="Times New Roman"/>
                      <w:i w:val="0"/>
                      <w:iCs w:val="0"/>
                      <w:color w:val="auto"/>
                      <w:kern w:val="0"/>
                      <w:sz w:val="21"/>
                      <w:szCs w:val="21"/>
                      <w:highlight w:val="none"/>
                      <w:u w:val="none"/>
                      <w:lang w:val="en-US" w:eastAsia="zh-CN" w:bidi="ar"/>
                    </w:rPr>
                    <w:t>生活污水</w:t>
                  </w:r>
                  <w:r>
                    <w:rPr>
                      <w:rFonts w:hint="eastAsia" w:cs="Times New Roman"/>
                      <w:i w:val="0"/>
                      <w:iCs w:val="0"/>
                      <w:color w:val="auto"/>
                      <w:kern w:val="0"/>
                      <w:sz w:val="21"/>
                      <w:szCs w:val="21"/>
                      <w:highlight w:val="none"/>
                      <w:u w:val="none"/>
                      <w:lang w:val="en-US" w:eastAsia="zh-CN" w:bidi="ar"/>
                    </w:rPr>
                    <w:t>经</w:t>
                  </w:r>
                  <w:r>
                    <w:rPr>
                      <w:rFonts w:hint="default" w:ascii="Times New Roman" w:hAnsi="Times New Roman" w:eastAsia="宋体" w:cs="Times New Roman"/>
                      <w:i w:val="0"/>
                      <w:iCs w:val="0"/>
                      <w:color w:val="auto"/>
                      <w:kern w:val="0"/>
                      <w:sz w:val="21"/>
                      <w:szCs w:val="21"/>
                      <w:highlight w:val="none"/>
                      <w:u w:val="none"/>
                      <w:lang w:val="en-US" w:eastAsia="zh-CN" w:bidi="ar"/>
                    </w:rPr>
                    <w:t>“三级化粪池</w:t>
                  </w:r>
                  <w:r>
                    <w:rPr>
                      <w:rFonts w:hint="eastAsia" w:ascii="Times New Roman" w:hAnsi="Times New Roman" w:eastAsia="宋体" w:cs="Times New Roman"/>
                      <w:bCs/>
                      <w:color w:val="auto"/>
                      <w:sz w:val="21"/>
                      <w:szCs w:val="21"/>
                      <w:highlight w:val="none"/>
                      <w:lang w:val="en-US" w:eastAsia="zh-CN"/>
                    </w:rPr>
                    <w:t>+隔油隔渣池</w:t>
                  </w:r>
                  <w:r>
                    <w:rPr>
                      <w:rFonts w:hint="default" w:ascii="Times New Roman" w:hAnsi="Times New Roman" w:eastAsia="宋体" w:cs="Times New Roman"/>
                      <w:i w:val="0"/>
                      <w:iCs w:val="0"/>
                      <w:color w:val="auto"/>
                      <w:kern w:val="0"/>
                      <w:sz w:val="21"/>
                      <w:szCs w:val="21"/>
                      <w:highlight w:val="none"/>
                      <w:u w:val="none"/>
                      <w:lang w:val="en-US" w:eastAsia="zh-CN" w:bidi="ar"/>
                    </w:rPr>
                    <w:t>”预处理后排入园区污水处理厂进一步处理，处理达标后通过出水管道输送尾水，经废水排放口（WS-LC005001）排放至榴村霜降坑河，最终流入武江</w:t>
                  </w:r>
                </w:p>
              </w:tc>
            </w:tr>
            <w:tr w14:paraId="7F012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3D77A7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774EAFB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restart"/>
                  <w:tcBorders>
                    <w:top w:val="single" w:color="000000" w:sz="4" w:space="0"/>
                    <w:left w:val="single" w:color="000000" w:sz="4" w:space="0"/>
                    <w:bottom w:val="single" w:color="000000" w:sz="4" w:space="0"/>
                    <w:right w:val="single" w:color="000000" w:sz="4" w:space="0"/>
                  </w:tcBorders>
                  <w:noWrap w:val="0"/>
                  <w:vAlign w:val="center"/>
                </w:tcPr>
                <w:p w14:paraId="03EC842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固废</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2206D8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ascii="Times New Roman" w:hAnsi="Times New Roman" w:eastAsia="宋体" w:cs="Times New Roman"/>
                      <w:i w:val="0"/>
                      <w:iCs w:val="0"/>
                      <w:color w:val="auto"/>
                      <w:kern w:val="0"/>
                      <w:sz w:val="21"/>
                      <w:szCs w:val="21"/>
                      <w:highlight w:val="none"/>
                      <w:u w:val="none"/>
                      <w:lang w:val="en-US" w:eastAsia="zh-CN" w:bidi="ar"/>
                    </w:rPr>
                    <w:t>设一个</w:t>
                  </w:r>
                  <w:r>
                    <w:rPr>
                      <w:rFonts w:hint="default" w:ascii="Times New Roman" w:hAnsi="Times New Roman" w:eastAsia="宋体" w:cs="Times New Roman"/>
                      <w:i w:val="0"/>
                      <w:iCs w:val="0"/>
                      <w:color w:val="auto"/>
                      <w:kern w:val="0"/>
                      <w:sz w:val="21"/>
                      <w:szCs w:val="21"/>
                      <w:highlight w:val="none"/>
                      <w:u w:val="none"/>
                      <w:lang w:val="en-US" w:eastAsia="zh-CN" w:bidi="ar"/>
                    </w:rPr>
                    <w:t>一般固体废物暂存间</w:t>
                  </w:r>
                  <w:r>
                    <w:rPr>
                      <w:rFonts w:hint="eastAsia" w:ascii="Times New Roman" w:hAnsi="Times New Roman" w:eastAsia="宋体" w:cs="Times New Roman"/>
                      <w:i w:val="0"/>
                      <w:iCs w:val="0"/>
                      <w:color w:val="auto"/>
                      <w:kern w:val="0"/>
                      <w:sz w:val="21"/>
                      <w:szCs w:val="21"/>
                      <w:highlight w:val="none"/>
                      <w:u w:val="none"/>
                      <w:lang w:val="en-US" w:eastAsia="zh-CN" w:bidi="ar"/>
                    </w:rPr>
                    <w:t>，建筑</w:t>
                  </w:r>
                  <w:r>
                    <w:rPr>
                      <w:rFonts w:hint="default" w:ascii="Times New Roman" w:hAnsi="Times New Roman" w:eastAsia="宋体" w:cs="Times New Roman"/>
                      <w:i w:val="0"/>
                      <w:iCs w:val="0"/>
                      <w:color w:val="auto"/>
                      <w:kern w:val="0"/>
                      <w:sz w:val="21"/>
                      <w:szCs w:val="21"/>
                      <w:highlight w:val="none"/>
                      <w:u w:val="none"/>
                      <w:lang w:val="en-US" w:eastAsia="zh-CN" w:bidi="ar"/>
                    </w:rPr>
                    <w:t>面积20</w:t>
                  </w:r>
                  <w:r>
                    <w:rPr>
                      <w:rFonts w:hint="default" w:ascii="Times New Roman" w:hAnsi="Times New Roman" w:cs="Times New Roman"/>
                      <w:i w:val="0"/>
                      <w:iCs w:val="0"/>
                      <w:color w:val="auto"/>
                      <w:kern w:val="0"/>
                      <w:sz w:val="21"/>
                      <w:szCs w:val="21"/>
                      <w:highlight w:val="none"/>
                      <w:u w:val="none"/>
                      <w:lang w:val="en-US" w:eastAsia="zh-CN" w:bidi="ar"/>
                    </w:rPr>
                    <w:t>平方米</w:t>
                  </w:r>
                  <w:r>
                    <w:rPr>
                      <w:rFonts w:hint="default" w:ascii="Times New Roman" w:hAnsi="Times New Roman" w:eastAsia="宋体" w:cs="Times New Roman"/>
                      <w:i w:val="0"/>
                      <w:iCs w:val="0"/>
                      <w:color w:val="auto"/>
                      <w:kern w:val="0"/>
                      <w:sz w:val="21"/>
                      <w:szCs w:val="21"/>
                      <w:highlight w:val="none"/>
                      <w:u w:val="none"/>
                      <w:lang w:val="en-US" w:eastAsia="zh-CN" w:bidi="ar"/>
                    </w:rPr>
                    <w:t>，设置于</w:t>
                  </w:r>
                  <w:r>
                    <w:rPr>
                      <w:rFonts w:hint="eastAsia"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#厂房内部</w:t>
                  </w:r>
                  <w:r>
                    <w:rPr>
                      <w:rFonts w:hint="eastAsia" w:cs="Times New Roman"/>
                      <w:i w:val="0"/>
                      <w:iCs w:val="0"/>
                      <w:color w:val="auto"/>
                      <w:kern w:val="0"/>
                      <w:sz w:val="21"/>
                      <w:szCs w:val="21"/>
                      <w:highlight w:val="none"/>
                      <w:u w:val="none"/>
                      <w:lang w:val="en-US" w:eastAsia="zh-CN" w:bidi="ar"/>
                    </w:rPr>
                    <w:t>东北</w:t>
                  </w:r>
                  <w:r>
                    <w:rPr>
                      <w:rFonts w:hint="default" w:ascii="Times New Roman" w:hAnsi="Times New Roman" w:eastAsia="宋体" w:cs="Times New Roman"/>
                      <w:i w:val="0"/>
                      <w:iCs w:val="0"/>
                      <w:color w:val="auto"/>
                      <w:kern w:val="0"/>
                      <w:sz w:val="21"/>
                      <w:szCs w:val="21"/>
                      <w:highlight w:val="none"/>
                      <w:u w:val="none"/>
                      <w:lang w:val="en-US" w:eastAsia="zh-CN" w:bidi="ar"/>
                    </w:rPr>
                    <w:t>侧，用于一般固废暂存</w:t>
                  </w: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经收集暂存后交专业单位回收处理</w:t>
                  </w:r>
                </w:p>
              </w:tc>
            </w:tr>
            <w:tr w14:paraId="01419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right w:val="single" w:color="000000" w:sz="4" w:space="0"/>
                  </w:tcBorders>
                  <w:noWrap w:val="0"/>
                  <w:vAlign w:val="center"/>
                </w:tcPr>
                <w:p w14:paraId="587AA51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right w:val="single" w:color="000000" w:sz="4" w:space="0"/>
                  </w:tcBorders>
                  <w:noWrap w:val="0"/>
                  <w:vAlign w:val="center"/>
                </w:tcPr>
                <w:p w14:paraId="1D12EF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9A958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1C98B87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设一个</w:t>
                  </w:r>
                  <w:r>
                    <w:rPr>
                      <w:rFonts w:hint="eastAsia" w:cs="Times New Roman"/>
                      <w:i w:val="0"/>
                      <w:iCs w:val="0"/>
                      <w:color w:val="auto"/>
                      <w:kern w:val="0"/>
                      <w:sz w:val="21"/>
                      <w:szCs w:val="21"/>
                      <w:highlight w:val="none"/>
                      <w:u w:val="none"/>
                      <w:lang w:val="en-US" w:eastAsia="zh-CN" w:bidi="ar"/>
                    </w:rPr>
                    <w:t>危险废物贮存间</w:t>
                  </w:r>
                  <w:r>
                    <w:rPr>
                      <w:rFonts w:hint="eastAsia" w:ascii="Times New Roman" w:hAnsi="Times New Roman" w:eastAsia="宋体" w:cs="Times New Roman"/>
                      <w:i w:val="0"/>
                      <w:iCs w:val="0"/>
                      <w:color w:val="auto"/>
                      <w:kern w:val="0"/>
                      <w:sz w:val="21"/>
                      <w:szCs w:val="21"/>
                      <w:highlight w:val="none"/>
                      <w:u w:val="none"/>
                      <w:lang w:val="en-US" w:eastAsia="zh-CN" w:bidi="ar"/>
                    </w:rPr>
                    <w:t>，建筑</w:t>
                  </w:r>
                  <w:r>
                    <w:rPr>
                      <w:rFonts w:hint="default" w:ascii="Times New Roman" w:hAnsi="Times New Roman" w:eastAsia="宋体" w:cs="Times New Roman"/>
                      <w:i w:val="0"/>
                      <w:iCs w:val="0"/>
                      <w:color w:val="auto"/>
                      <w:kern w:val="0"/>
                      <w:sz w:val="21"/>
                      <w:szCs w:val="21"/>
                      <w:highlight w:val="none"/>
                      <w:u w:val="none"/>
                      <w:lang w:val="en-US" w:eastAsia="zh-CN" w:bidi="ar"/>
                    </w:rPr>
                    <w:t>面积</w:t>
                  </w:r>
                  <w:r>
                    <w:rPr>
                      <w:rFonts w:hint="eastAsia" w:cs="Times New Roman"/>
                      <w:i w:val="0"/>
                      <w:iCs w:val="0"/>
                      <w:color w:val="auto"/>
                      <w:kern w:val="0"/>
                      <w:sz w:val="21"/>
                      <w:szCs w:val="21"/>
                      <w:highlight w:val="none"/>
                      <w:u w:val="none"/>
                      <w:lang w:val="en-US" w:eastAsia="zh-CN" w:bidi="ar"/>
                    </w:rPr>
                    <w:t>50</w:t>
                  </w:r>
                  <w:r>
                    <w:rPr>
                      <w:rFonts w:hint="default" w:ascii="Times New Roman" w:hAnsi="Times New Roman" w:cs="Times New Roman"/>
                      <w:i w:val="0"/>
                      <w:iCs w:val="0"/>
                      <w:color w:val="auto"/>
                      <w:kern w:val="0"/>
                      <w:sz w:val="21"/>
                      <w:szCs w:val="21"/>
                      <w:highlight w:val="none"/>
                      <w:u w:val="none"/>
                      <w:lang w:val="en-US" w:eastAsia="zh-CN" w:bidi="ar"/>
                    </w:rPr>
                    <w:t>平方米</w:t>
                  </w:r>
                  <w:r>
                    <w:rPr>
                      <w:rFonts w:hint="default" w:ascii="Times New Roman" w:hAnsi="Times New Roman" w:eastAsia="宋体" w:cs="Times New Roman"/>
                      <w:i w:val="0"/>
                      <w:iCs w:val="0"/>
                      <w:color w:val="auto"/>
                      <w:kern w:val="0"/>
                      <w:sz w:val="21"/>
                      <w:szCs w:val="21"/>
                      <w:highlight w:val="none"/>
                      <w:u w:val="none"/>
                      <w:lang w:val="en-US" w:eastAsia="zh-CN" w:bidi="ar"/>
                    </w:rPr>
                    <w:t>，设置于</w:t>
                  </w:r>
                  <w:r>
                    <w:rPr>
                      <w:rFonts w:hint="eastAsia"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#厂房内部</w:t>
                  </w:r>
                  <w:r>
                    <w:rPr>
                      <w:rFonts w:hint="eastAsia" w:cs="Times New Roman"/>
                      <w:i w:val="0"/>
                      <w:iCs w:val="0"/>
                      <w:color w:val="auto"/>
                      <w:kern w:val="0"/>
                      <w:sz w:val="21"/>
                      <w:szCs w:val="21"/>
                      <w:highlight w:val="none"/>
                      <w:u w:val="none"/>
                      <w:lang w:val="en-US" w:eastAsia="zh-CN" w:bidi="ar"/>
                    </w:rPr>
                    <w:t>东北</w:t>
                  </w:r>
                  <w:r>
                    <w:rPr>
                      <w:rFonts w:hint="default" w:ascii="Times New Roman" w:hAnsi="Times New Roman" w:eastAsia="宋体" w:cs="Times New Roman"/>
                      <w:i w:val="0"/>
                      <w:iCs w:val="0"/>
                      <w:color w:val="auto"/>
                      <w:kern w:val="0"/>
                      <w:sz w:val="21"/>
                      <w:szCs w:val="21"/>
                      <w:highlight w:val="none"/>
                      <w:u w:val="none"/>
                      <w:lang w:val="en-US" w:eastAsia="zh-CN" w:bidi="ar"/>
                    </w:rPr>
                    <w:t>侧，用于危险废物存放</w:t>
                  </w: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危险废物</w:t>
                  </w:r>
                  <w:r>
                    <w:rPr>
                      <w:rFonts w:hint="eastAsia" w:cs="Times New Roman"/>
                      <w:i w:val="0"/>
                      <w:iCs w:val="0"/>
                      <w:color w:val="auto"/>
                      <w:kern w:val="0"/>
                      <w:sz w:val="21"/>
                      <w:szCs w:val="21"/>
                      <w:highlight w:val="none"/>
                      <w:u w:val="none"/>
                      <w:lang w:val="en-US" w:eastAsia="zh-CN" w:bidi="ar"/>
                    </w:rPr>
                    <w:t>经收集暂存后交由有</w:t>
                  </w:r>
                  <w:r>
                    <w:rPr>
                      <w:rFonts w:hint="default" w:ascii="Times New Roman" w:hAnsi="Times New Roman" w:eastAsia="宋体" w:cs="Times New Roman"/>
                      <w:i w:val="0"/>
                      <w:iCs w:val="0"/>
                      <w:color w:val="auto"/>
                      <w:kern w:val="0"/>
                      <w:sz w:val="21"/>
                      <w:szCs w:val="21"/>
                      <w:highlight w:val="none"/>
                      <w:u w:val="none"/>
                      <w:lang w:val="en-US" w:eastAsia="zh-CN" w:bidi="ar"/>
                    </w:rPr>
                    <w:t>危险废物</w:t>
                  </w:r>
                  <w:r>
                    <w:rPr>
                      <w:rFonts w:hint="eastAsia" w:cs="Times New Roman"/>
                      <w:i w:val="0"/>
                      <w:iCs w:val="0"/>
                      <w:color w:val="auto"/>
                      <w:kern w:val="0"/>
                      <w:sz w:val="21"/>
                      <w:szCs w:val="21"/>
                      <w:highlight w:val="none"/>
                      <w:u w:val="none"/>
                      <w:lang w:val="en-US" w:eastAsia="zh-CN" w:bidi="ar"/>
                    </w:rPr>
                    <w:t>处理资质的单位处理</w:t>
                  </w:r>
                </w:p>
              </w:tc>
            </w:tr>
            <w:tr w14:paraId="13039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379" w:type="pct"/>
                  <w:vMerge w:val="continue"/>
                  <w:tcBorders>
                    <w:left w:val="single" w:color="000000" w:sz="4" w:space="0"/>
                    <w:bottom w:val="single" w:color="000000" w:sz="4" w:space="0"/>
                    <w:right w:val="single" w:color="000000" w:sz="4" w:space="0"/>
                  </w:tcBorders>
                  <w:noWrap w:val="0"/>
                  <w:vAlign w:val="center"/>
                </w:tcPr>
                <w:p w14:paraId="3FA02A0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35" w:type="pct"/>
                  <w:vMerge w:val="continue"/>
                  <w:tcBorders>
                    <w:left w:val="single" w:color="000000" w:sz="4" w:space="0"/>
                    <w:bottom w:val="single" w:color="000000" w:sz="4" w:space="0"/>
                    <w:right w:val="single" w:color="000000" w:sz="4" w:space="0"/>
                  </w:tcBorders>
                  <w:noWrap w:val="0"/>
                  <w:vAlign w:val="center"/>
                </w:tcPr>
                <w:p w14:paraId="1FCB7D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726" w:type="pct"/>
                  <w:tcBorders>
                    <w:top w:val="single" w:color="000000" w:sz="4" w:space="0"/>
                    <w:left w:val="single" w:color="000000" w:sz="4" w:space="0"/>
                    <w:bottom w:val="single" w:color="000000" w:sz="4" w:space="0"/>
                    <w:right w:val="single" w:color="000000" w:sz="4" w:space="0"/>
                  </w:tcBorders>
                  <w:noWrap w:val="0"/>
                  <w:vAlign w:val="center"/>
                </w:tcPr>
                <w:p w14:paraId="53FF0A0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风险防范措施</w:t>
                  </w:r>
                </w:p>
              </w:tc>
              <w:tc>
                <w:tcPr>
                  <w:tcW w:w="3259" w:type="pct"/>
                  <w:tcBorders>
                    <w:top w:val="single" w:color="000000" w:sz="4" w:space="0"/>
                    <w:left w:val="single" w:color="000000" w:sz="4" w:space="0"/>
                    <w:bottom w:val="single" w:color="000000" w:sz="4" w:space="0"/>
                    <w:right w:val="single" w:color="000000" w:sz="4" w:space="0"/>
                  </w:tcBorders>
                  <w:noWrap w:val="0"/>
                  <w:vAlign w:val="center"/>
                </w:tcPr>
                <w:p w14:paraId="0C74A09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both"/>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本项目设置</w:t>
                  </w:r>
                  <w:r>
                    <w:rPr>
                      <w:rFonts w:hint="default" w:ascii="Times New Roman" w:hAnsi="Times New Roman" w:cs="Times New Roman"/>
                      <w:b w:val="0"/>
                      <w:bCs w:val="0"/>
                      <w:color w:val="auto"/>
                      <w:sz w:val="21"/>
                      <w:szCs w:val="21"/>
                      <w:highlight w:val="none"/>
                    </w:rPr>
                    <w:t>1个有效容积为</w:t>
                  </w:r>
                  <w:r>
                    <w:rPr>
                      <w:rFonts w:hint="eastAsia" w:cs="Times New Roman"/>
                      <w:b w:val="0"/>
                      <w:bCs w:val="0"/>
                      <w:color w:val="auto"/>
                      <w:sz w:val="21"/>
                      <w:szCs w:val="21"/>
                      <w:highlight w:val="none"/>
                      <w:lang w:val="en-US" w:eastAsia="zh-CN"/>
                    </w:rPr>
                    <w:t>15</w:t>
                  </w:r>
                  <w:r>
                    <w:rPr>
                      <w:rFonts w:hint="default" w:ascii="Times New Roman" w:hAnsi="Times New Roman" w:cs="Times New Roman"/>
                      <w:b w:val="0"/>
                      <w:bCs w:val="0"/>
                      <w:color w:val="auto"/>
                      <w:sz w:val="21"/>
                      <w:szCs w:val="21"/>
                      <w:highlight w:val="none"/>
                      <w:lang w:val="en-US" w:eastAsia="zh-CN"/>
                    </w:rPr>
                    <w:t>0</w:t>
                  </w:r>
                  <w:r>
                    <w:rPr>
                      <w:rFonts w:hint="default" w:ascii="Times New Roman" w:hAnsi="Times New Roman" w:cs="Times New Roman"/>
                      <w:b w:val="0"/>
                      <w:bCs w:val="0"/>
                      <w:color w:val="auto"/>
                      <w:sz w:val="21"/>
                      <w:szCs w:val="21"/>
                      <w:highlight w:val="none"/>
                    </w:rPr>
                    <w:t>m</w:t>
                  </w:r>
                  <w:r>
                    <w:rPr>
                      <w:rFonts w:hint="default" w:ascii="Times New Roman" w:hAnsi="Times New Roman" w:cs="Times New Roman"/>
                      <w:b w:val="0"/>
                      <w:bCs w:val="0"/>
                      <w:color w:val="auto"/>
                      <w:sz w:val="21"/>
                      <w:szCs w:val="21"/>
                      <w:highlight w:val="none"/>
                      <w:vertAlign w:val="superscript"/>
                    </w:rPr>
                    <w:t>3</w:t>
                  </w:r>
                  <w:r>
                    <w:rPr>
                      <w:rFonts w:hint="default" w:ascii="Times New Roman" w:hAnsi="Times New Roman" w:cs="Times New Roman"/>
                      <w:b w:val="0"/>
                      <w:bCs w:val="0"/>
                      <w:color w:val="auto"/>
                      <w:sz w:val="21"/>
                      <w:szCs w:val="21"/>
                      <w:highlight w:val="none"/>
                    </w:rPr>
                    <w:t>的事故应急池</w:t>
                  </w:r>
                  <w:r>
                    <w:rPr>
                      <w:rFonts w:hint="eastAsia" w:ascii="Times New Roman" w:hAnsi="Times New Roman" w:cs="Times New Roman"/>
                      <w:b w:val="0"/>
                      <w:bCs w:val="0"/>
                      <w:color w:val="auto"/>
                      <w:sz w:val="21"/>
                      <w:szCs w:val="21"/>
                      <w:highlight w:val="none"/>
                      <w:lang w:eastAsia="zh-CN"/>
                    </w:rPr>
                    <w:t>，</w:t>
                  </w:r>
                  <w:r>
                    <w:rPr>
                      <w:rFonts w:hint="eastAsia" w:ascii="Times New Roman" w:hAnsi="Times New Roman" w:cs="Times New Roman"/>
                      <w:b w:val="0"/>
                      <w:bCs w:val="0"/>
                      <w:color w:val="auto"/>
                      <w:sz w:val="21"/>
                      <w:szCs w:val="21"/>
                      <w:highlight w:val="none"/>
                      <w:lang w:val="en-US" w:eastAsia="zh-CN"/>
                    </w:rPr>
                    <w:t>用于满足消防或其他事故时废水收集需要</w:t>
                  </w:r>
                </w:p>
              </w:tc>
            </w:tr>
          </w:tbl>
          <w:p w14:paraId="4A4942F6">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35C10F21">
            <w:pPr>
              <w:widowControl/>
              <w:kinsoku/>
              <w:autoSpaceDE/>
              <w:autoSpaceDN/>
              <w:adjustRightInd/>
              <w:snapToGrid/>
              <w:spacing w:line="360" w:lineRule="auto"/>
              <w:ind w:firstLine="466" w:firstLineChars="200"/>
              <w:jc w:val="left"/>
              <w:textAlignment w:val="auto"/>
              <w:rPr>
                <w:rFonts w:hint="default" w:ascii="Times New Roman" w:hAnsi="Times New Roman" w:cs="Times New Roman"/>
                <w:color w:val="auto"/>
                <w:sz w:val="24"/>
                <w:szCs w:val="24"/>
                <w:highlight w:val="none"/>
              </w:rPr>
            </w:pPr>
            <w:r>
              <w:rPr>
                <w:rFonts w:hint="eastAsia" w:ascii="Times New Roman" w:hAnsi="Times New Roman" w:eastAsia="宋体" w:cs="Times New Roman"/>
                <w:b/>
                <w:bCs/>
                <w:color w:val="auto"/>
                <w:spacing w:val="-4"/>
                <w:sz w:val="24"/>
                <w:szCs w:val="24"/>
                <w:highlight w:val="none"/>
                <w:lang w:val="en-US" w:eastAsia="zh-CN"/>
              </w:rPr>
              <w:t>2</w:t>
            </w:r>
            <w:r>
              <w:rPr>
                <w:rFonts w:hint="default" w:ascii="Times New Roman" w:hAnsi="Times New Roman" w:cs="Times New Roman"/>
                <w:b/>
                <w:bCs/>
                <w:color w:val="auto"/>
                <w:spacing w:val="-4"/>
                <w:sz w:val="24"/>
                <w:szCs w:val="24"/>
                <w:highlight w:val="none"/>
              </w:rPr>
              <w:t>、产品方案</w:t>
            </w:r>
          </w:p>
          <w:p w14:paraId="21DE8668">
            <w:pPr>
              <w:keepNext w:val="0"/>
              <w:keepLines w:val="0"/>
              <w:suppressLineNumbers w:val="0"/>
              <w:tabs>
                <w:tab w:val="left" w:pos="6960"/>
              </w:tabs>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eastAsia="zh-CN"/>
              </w:rPr>
              <w:t>（</w:t>
            </w:r>
            <w:r>
              <w:rPr>
                <w:rFonts w:hint="default" w:ascii="Times New Roman" w:hAnsi="Times New Roman" w:cs="Times New Roman"/>
                <w:b/>
                <w:bCs/>
                <w:color w:val="auto"/>
                <w:sz w:val="24"/>
                <w:szCs w:val="24"/>
                <w:highlight w:val="none"/>
                <w:lang w:val="en-US" w:eastAsia="zh-CN"/>
              </w:rPr>
              <w:t>1</w:t>
            </w:r>
            <w:r>
              <w:rPr>
                <w:rFonts w:hint="default" w:ascii="Times New Roman" w:hAnsi="Times New Roman" w:cs="Times New Roman"/>
                <w:b/>
                <w:bCs/>
                <w:color w:val="auto"/>
                <w:sz w:val="24"/>
                <w:szCs w:val="24"/>
                <w:highlight w:val="none"/>
                <w:lang w:eastAsia="zh-CN"/>
              </w:rPr>
              <w:t>）</w:t>
            </w:r>
            <w:r>
              <w:rPr>
                <w:rFonts w:hint="default" w:ascii="Times New Roman" w:hAnsi="Times New Roman" w:cs="Times New Roman"/>
                <w:b/>
                <w:bCs/>
                <w:color w:val="auto"/>
                <w:sz w:val="24"/>
                <w:szCs w:val="24"/>
                <w:highlight w:val="none"/>
                <w:lang w:val="en-US" w:eastAsia="zh-CN"/>
              </w:rPr>
              <w:t>产品方案</w:t>
            </w:r>
          </w:p>
          <w:p w14:paraId="75B26249">
            <w:pPr>
              <w:keepNext w:val="0"/>
              <w:keepLines w:val="0"/>
              <w:suppressLineNumbers w:val="0"/>
              <w:tabs>
                <w:tab w:val="left" w:pos="6960"/>
              </w:tabs>
              <w:spacing w:before="0" w:beforeAutospacing="0" w:after="0" w:afterAutospacing="0"/>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本项目生产产品见下表。</w:t>
            </w:r>
          </w:p>
          <w:p w14:paraId="524ED81E">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产品产量一览表</w:t>
            </w:r>
          </w:p>
          <w:tbl>
            <w:tblPr>
              <w:tblStyle w:val="4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72"/>
              <w:gridCol w:w="894"/>
              <w:gridCol w:w="1054"/>
              <w:gridCol w:w="1015"/>
              <w:gridCol w:w="4844"/>
            </w:tblGrid>
            <w:tr w14:paraId="41C2E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69" w:hRule="atLeast"/>
                <w:jc w:val="center"/>
              </w:trPr>
              <w:tc>
                <w:tcPr>
                  <w:tcW w:w="341" w:type="pct"/>
                  <w:noWrap w:val="0"/>
                  <w:vAlign w:val="center"/>
                </w:tcPr>
                <w:p w14:paraId="15C9F7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序号</w:t>
                  </w:r>
                </w:p>
              </w:tc>
              <w:tc>
                <w:tcPr>
                  <w:tcW w:w="533" w:type="pct"/>
                  <w:noWrap w:val="0"/>
                  <w:vAlign w:val="center"/>
                </w:tcPr>
                <w:p w14:paraId="26B0DC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产品名称</w:t>
                  </w:r>
                </w:p>
              </w:tc>
              <w:tc>
                <w:tcPr>
                  <w:tcW w:w="628" w:type="pct"/>
                  <w:noWrap w:val="0"/>
                  <w:vAlign w:val="center"/>
                </w:tcPr>
                <w:p w14:paraId="4F9522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color w:val="auto"/>
                      <w:sz w:val="21"/>
                      <w:szCs w:val="21"/>
                      <w:highlight w:val="none"/>
                      <w:lang w:val="en-US" w:eastAsia="zh-CN"/>
                    </w:rPr>
                  </w:pPr>
                  <w:r>
                    <w:rPr>
                      <w:rFonts w:hint="eastAsia" w:cs="Times New Roman"/>
                      <w:b/>
                      <w:color w:val="auto"/>
                      <w:sz w:val="21"/>
                      <w:szCs w:val="21"/>
                      <w:highlight w:val="none"/>
                      <w:lang w:val="en-US" w:eastAsia="zh-CN"/>
                    </w:rPr>
                    <w:t>单位</w:t>
                  </w:r>
                </w:p>
              </w:tc>
              <w:tc>
                <w:tcPr>
                  <w:tcW w:w="605" w:type="pct"/>
                  <w:noWrap w:val="0"/>
                  <w:vAlign w:val="center"/>
                </w:tcPr>
                <w:p w14:paraId="472FA7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数量</w:t>
                  </w:r>
                </w:p>
              </w:tc>
              <w:tc>
                <w:tcPr>
                  <w:tcW w:w="2890" w:type="pct"/>
                  <w:noWrap w:val="0"/>
                  <w:vAlign w:val="center"/>
                </w:tcPr>
                <w:p w14:paraId="2DF218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备注说明</w:t>
                  </w:r>
                </w:p>
              </w:tc>
            </w:tr>
            <w:tr w14:paraId="22AD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369" w:hRule="atLeast"/>
                <w:jc w:val="center"/>
              </w:trPr>
              <w:tc>
                <w:tcPr>
                  <w:tcW w:w="341" w:type="pct"/>
                  <w:noWrap w:val="0"/>
                  <w:vAlign w:val="center"/>
                </w:tcPr>
                <w:p w14:paraId="22E7F0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533" w:type="pct"/>
                  <w:noWrap w:val="0"/>
                  <w:vAlign w:val="center"/>
                </w:tcPr>
                <w:p w14:paraId="237FD8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铝单板</w:t>
                  </w:r>
                </w:p>
              </w:tc>
              <w:tc>
                <w:tcPr>
                  <w:tcW w:w="628" w:type="pct"/>
                  <w:noWrap w:val="0"/>
                  <w:vAlign w:val="center"/>
                </w:tcPr>
                <w:p w14:paraId="3A436033">
                  <w:pPr>
                    <w:keepNext w:val="0"/>
                    <w:keepLines w:val="0"/>
                    <w:pageBreakBefore w:val="0"/>
                    <w:widowControl w:val="0"/>
                    <w:suppressLineNumbers w:val="0"/>
                    <w:tabs>
                      <w:tab w:val="left" w:pos="1305"/>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cs="Times New Roman"/>
                      <w:b w:val="0"/>
                      <w:bCs w:val="0"/>
                      <w:color w:val="auto"/>
                      <w:kern w:val="0"/>
                      <w:sz w:val="21"/>
                      <w:szCs w:val="21"/>
                      <w:highlight w:val="none"/>
                      <w:lang w:val="en-US" w:eastAsia="zh-CN"/>
                    </w:rPr>
                  </w:pPr>
                  <w:r>
                    <w:rPr>
                      <w:rFonts w:hint="default" w:ascii="Times New Roman" w:hAnsi="Times New Roman" w:cs="Times New Roman"/>
                      <w:b w:val="0"/>
                      <w:bCs w:val="0"/>
                      <w:color w:val="auto"/>
                      <w:sz w:val="21"/>
                      <w:szCs w:val="21"/>
                      <w:highlight w:val="none"/>
                      <w:lang w:val="en-US" w:eastAsia="zh-CN"/>
                    </w:rPr>
                    <w:t>万m</w:t>
                  </w:r>
                  <w:r>
                    <w:rPr>
                      <w:rFonts w:hint="default" w:ascii="Times New Roman" w:hAnsi="Times New Roman" w:cs="Times New Roman"/>
                      <w:b w:val="0"/>
                      <w:bCs w:val="0"/>
                      <w:color w:val="auto"/>
                      <w:sz w:val="21"/>
                      <w:szCs w:val="21"/>
                      <w:highlight w:val="none"/>
                      <w:vertAlign w:val="superscript"/>
                      <w:lang w:val="en-US" w:eastAsia="zh-CN"/>
                    </w:rPr>
                    <w:t>2</w:t>
                  </w:r>
                </w:p>
              </w:tc>
              <w:tc>
                <w:tcPr>
                  <w:tcW w:w="605" w:type="pct"/>
                  <w:noWrap w:val="0"/>
                  <w:vAlign w:val="center"/>
                </w:tcPr>
                <w:p w14:paraId="4D4C86C0">
                  <w:pPr>
                    <w:keepNext w:val="0"/>
                    <w:keepLines w:val="0"/>
                    <w:pageBreakBefore w:val="0"/>
                    <w:widowControl w:val="0"/>
                    <w:suppressLineNumbers w:val="0"/>
                    <w:tabs>
                      <w:tab w:val="left" w:pos="1305"/>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kern w:val="0"/>
                      <w:sz w:val="21"/>
                      <w:szCs w:val="21"/>
                      <w:highlight w:val="none"/>
                      <w:vertAlign w:val="baseline"/>
                    </w:rPr>
                  </w:pPr>
                  <w:r>
                    <w:rPr>
                      <w:rFonts w:hint="eastAsia" w:cs="Times New Roman"/>
                      <w:b w:val="0"/>
                      <w:bCs w:val="0"/>
                      <w:color w:val="auto"/>
                      <w:kern w:val="0"/>
                      <w:sz w:val="21"/>
                      <w:szCs w:val="21"/>
                      <w:highlight w:val="none"/>
                      <w:lang w:val="en-US" w:eastAsia="zh-CN"/>
                    </w:rPr>
                    <w:t>11</w:t>
                  </w:r>
                  <w:r>
                    <w:rPr>
                      <w:rFonts w:hint="default" w:ascii="Times New Roman" w:hAnsi="Times New Roman" w:cs="Times New Roman"/>
                      <w:b w:val="0"/>
                      <w:bCs w:val="0"/>
                      <w:color w:val="auto"/>
                      <w:kern w:val="0"/>
                      <w:sz w:val="21"/>
                      <w:szCs w:val="21"/>
                      <w:highlight w:val="none"/>
                      <w:lang w:val="en-US" w:eastAsia="zh-CN"/>
                    </w:rPr>
                    <w:t>0</w:t>
                  </w:r>
                </w:p>
              </w:tc>
              <w:tc>
                <w:tcPr>
                  <w:tcW w:w="2890" w:type="pct"/>
                  <w:noWrap w:val="0"/>
                  <w:vAlign w:val="center"/>
                </w:tcPr>
                <w:p w14:paraId="26BBBDDE">
                  <w:pPr>
                    <w:keepNext w:val="0"/>
                    <w:keepLines w:val="0"/>
                    <w:pageBreakBefore w:val="0"/>
                    <w:widowControl w:val="0"/>
                    <w:suppressLineNumbers w:val="0"/>
                    <w:tabs>
                      <w:tab w:val="left" w:pos="1305"/>
                    </w:tab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rPr>
                    <w:t>外购铝卷经机加工、</w:t>
                  </w:r>
                  <w:r>
                    <w:rPr>
                      <w:rFonts w:hint="default" w:ascii="Times New Roman" w:hAnsi="Times New Roman" w:cs="Times New Roman"/>
                      <w:color w:val="auto"/>
                      <w:kern w:val="0"/>
                      <w:sz w:val="21"/>
                      <w:szCs w:val="21"/>
                      <w:highlight w:val="none"/>
                      <w:lang w:eastAsia="zh-CN"/>
                    </w:rPr>
                    <w:t>表面处理</w:t>
                  </w:r>
                  <w:r>
                    <w:rPr>
                      <w:rFonts w:hint="default" w:ascii="Times New Roman" w:hAnsi="Times New Roman" w:cs="Times New Roman"/>
                      <w:color w:val="auto"/>
                      <w:kern w:val="0"/>
                      <w:sz w:val="21"/>
                      <w:szCs w:val="21"/>
                      <w:highlight w:val="none"/>
                    </w:rPr>
                    <w:t>后为</w:t>
                  </w:r>
                  <w:r>
                    <w:rPr>
                      <w:rFonts w:hint="eastAsia" w:cs="Times New Roman"/>
                      <w:color w:val="auto"/>
                      <w:kern w:val="0"/>
                      <w:sz w:val="21"/>
                      <w:szCs w:val="21"/>
                      <w:highlight w:val="none"/>
                      <w:lang w:val="en-US" w:eastAsia="zh-CN"/>
                    </w:rPr>
                    <w:t>成品</w:t>
                  </w:r>
                  <w:r>
                    <w:rPr>
                      <w:rFonts w:hint="default" w:ascii="Times New Roman" w:hAnsi="Times New Roman" w:cs="Times New Roman"/>
                      <w:color w:val="auto"/>
                      <w:kern w:val="0"/>
                      <w:sz w:val="21"/>
                      <w:szCs w:val="21"/>
                      <w:highlight w:val="none"/>
                    </w:rPr>
                    <w:t>钣金件，厚度控制在3.0mm左右，</w:t>
                  </w:r>
                  <w:r>
                    <w:rPr>
                      <w:rFonts w:hint="default" w:ascii="Times New Roman" w:hAnsi="Times New Roman" w:eastAsia="宋体" w:cs="Times New Roman"/>
                      <w:i w:val="0"/>
                      <w:iCs w:val="0"/>
                      <w:color w:val="auto"/>
                      <w:kern w:val="0"/>
                      <w:sz w:val="21"/>
                      <w:szCs w:val="21"/>
                      <w:highlight w:val="none"/>
                      <w:u w:val="none"/>
                      <w:lang w:val="en-US" w:eastAsia="zh-CN" w:bidi="ar"/>
                    </w:rPr>
                    <w:t>铝</w:t>
                  </w:r>
                  <w:r>
                    <w:rPr>
                      <w:rFonts w:hint="eastAsia" w:cs="Times New Roman"/>
                      <w:i w:val="0"/>
                      <w:iCs w:val="0"/>
                      <w:color w:val="auto"/>
                      <w:kern w:val="0"/>
                      <w:sz w:val="21"/>
                      <w:szCs w:val="21"/>
                      <w:highlight w:val="none"/>
                      <w:u w:val="none"/>
                      <w:lang w:val="en-US" w:eastAsia="zh-CN" w:bidi="ar"/>
                    </w:rPr>
                    <w:t>卷</w:t>
                  </w:r>
                  <w:r>
                    <w:rPr>
                      <w:rFonts w:hint="default" w:ascii="Times New Roman" w:hAnsi="Times New Roman" w:eastAsia="宋体" w:cs="Times New Roman"/>
                      <w:i w:val="0"/>
                      <w:iCs w:val="0"/>
                      <w:color w:val="auto"/>
                      <w:kern w:val="0"/>
                      <w:sz w:val="21"/>
                      <w:szCs w:val="21"/>
                      <w:highlight w:val="none"/>
                      <w:u w:val="none"/>
                      <w:lang w:val="en-US" w:eastAsia="zh-CN" w:bidi="ar"/>
                    </w:rPr>
                    <w:t>的密度为按2.7×10</w:t>
                  </w:r>
                  <w:r>
                    <w:rPr>
                      <w:rFonts w:hint="default" w:ascii="Times New Roman" w:hAnsi="Times New Roman" w:cs="Times New Roman"/>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千克/m</w:t>
                  </w:r>
                  <w:r>
                    <w:rPr>
                      <w:rFonts w:hint="default" w:ascii="Times New Roman" w:hAnsi="Times New Roman" w:cs="Times New Roman"/>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计算</w:t>
                  </w:r>
                  <w:r>
                    <w:rPr>
                      <w:rFonts w:hint="eastAsia" w:cs="Times New Roman"/>
                      <w:i w:val="0"/>
                      <w:iCs w:val="0"/>
                      <w:color w:val="auto"/>
                      <w:kern w:val="0"/>
                      <w:sz w:val="21"/>
                      <w:szCs w:val="21"/>
                      <w:highlight w:val="none"/>
                      <w:u w:val="none"/>
                      <w:lang w:val="en-US" w:eastAsia="zh-CN" w:bidi="ar"/>
                    </w:rPr>
                    <w:t>。</w:t>
                  </w:r>
                  <w:r>
                    <w:rPr>
                      <w:rFonts w:hint="default" w:ascii="Times New Roman" w:hAnsi="Times New Roman" w:cs="Times New Roman"/>
                      <w:color w:val="auto"/>
                      <w:kern w:val="0"/>
                      <w:sz w:val="21"/>
                      <w:szCs w:val="21"/>
                      <w:highlight w:val="none"/>
                    </w:rPr>
                    <w:t>钣金件</w:t>
                  </w:r>
                  <w:r>
                    <w:rPr>
                      <w:rFonts w:hint="eastAsia" w:cs="Times New Roman"/>
                      <w:color w:val="auto"/>
                      <w:kern w:val="0"/>
                      <w:sz w:val="21"/>
                      <w:szCs w:val="21"/>
                      <w:highlight w:val="none"/>
                      <w:lang w:val="en-US" w:eastAsia="zh-CN"/>
                    </w:rPr>
                    <w:t>经喷涂后固化成铝单板</w:t>
                  </w:r>
                  <w:r>
                    <w:rPr>
                      <w:rFonts w:hint="default" w:ascii="Times New Roman" w:hAnsi="Times New Roman" w:cs="Times New Roman"/>
                      <w:color w:val="auto"/>
                      <w:kern w:val="0"/>
                      <w:sz w:val="21"/>
                      <w:szCs w:val="21"/>
                      <w:highlight w:val="none"/>
                      <w:lang w:eastAsia="zh-CN"/>
                    </w:rPr>
                    <w:t>。</w:t>
                  </w:r>
                  <w:r>
                    <w:rPr>
                      <w:rFonts w:hint="eastAsia" w:cs="Times New Roman"/>
                      <w:color w:val="auto"/>
                      <w:kern w:val="0"/>
                      <w:sz w:val="21"/>
                      <w:szCs w:val="21"/>
                      <w:highlight w:val="none"/>
                      <w:lang w:val="en-US" w:eastAsia="zh-CN"/>
                    </w:rPr>
                    <w:t>年设计加工110万m</w:t>
                  </w:r>
                  <w:r>
                    <w:rPr>
                      <w:rFonts w:hint="eastAsia" w:cs="Times New Roman"/>
                      <w:color w:val="auto"/>
                      <w:kern w:val="0"/>
                      <w:sz w:val="21"/>
                      <w:szCs w:val="21"/>
                      <w:highlight w:val="none"/>
                      <w:vertAlign w:val="superscript"/>
                      <w:lang w:val="en-US" w:eastAsia="zh-CN"/>
                    </w:rPr>
                    <w:t>2</w:t>
                  </w:r>
                  <w:r>
                    <w:rPr>
                      <w:rFonts w:hint="eastAsia" w:cs="Times New Roman"/>
                      <w:color w:val="auto"/>
                      <w:kern w:val="0"/>
                      <w:sz w:val="21"/>
                      <w:szCs w:val="21"/>
                      <w:highlight w:val="none"/>
                      <w:vertAlign w:val="baseline"/>
                      <w:lang w:val="en-US" w:eastAsia="zh-CN"/>
                    </w:rPr>
                    <w:t>铝卷（单面计），前处理工序为双面喷淋，则前处理加工面积为220</w:t>
                  </w:r>
                  <w:r>
                    <w:rPr>
                      <w:rFonts w:hint="eastAsia" w:cs="Times New Roman"/>
                      <w:color w:val="auto"/>
                      <w:kern w:val="0"/>
                      <w:sz w:val="21"/>
                      <w:szCs w:val="21"/>
                      <w:highlight w:val="none"/>
                      <w:lang w:val="en-US" w:eastAsia="zh-CN"/>
                    </w:rPr>
                    <w:t>万m</w:t>
                  </w:r>
                  <w:r>
                    <w:rPr>
                      <w:rFonts w:hint="eastAsia" w:cs="Times New Roman"/>
                      <w:color w:val="auto"/>
                      <w:kern w:val="0"/>
                      <w:sz w:val="21"/>
                      <w:szCs w:val="21"/>
                      <w:highlight w:val="none"/>
                      <w:vertAlign w:val="superscript"/>
                      <w:lang w:val="en-US" w:eastAsia="zh-CN"/>
                    </w:rPr>
                    <w:t>2</w:t>
                  </w:r>
                  <w:r>
                    <w:rPr>
                      <w:rFonts w:hint="eastAsia" w:cs="Times New Roman"/>
                      <w:color w:val="auto"/>
                      <w:kern w:val="0"/>
                      <w:sz w:val="21"/>
                      <w:szCs w:val="21"/>
                      <w:highlight w:val="none"/>
                      <w:vertAlign w:val="baseline"/>
                      <w:lang w:val="en-US" w:eastAsia="zh-CN"/>
                    </w:rPr>
                    <w:t>，喷漆、喷粉工序为单面喷涂，分别为6.8万</w:t>
                  </w:r>
                  <w:r>
                    <w:rPr>
                      <w:rFonts w:hint="eastAsia" w:cs="Times New Roman"/>
                      <w:color w:val="auto"/>
                      <w:kern w:val="0"/>
                      <w:sz w:val="21"/>
                      <w:szCs w:val="21"/>
                      <w:highlight w:val="none"/>
                      <w:lang w:val="en-US" w:eastAsia="zh-CN"/>
                    </w:rPr>
                    <w:t>m</w:t>
                  </w:r>
                  <w:r>
                    <w:rPr>
                      <w:rFonts w:hint="eastAsia" w:cs="Times New Roman"/>
                      <w:color w:val="auto"/>
                      <w:kern w:val="0"/>
                      <w:sz w:val="21"/>
                      <w:szCs w:val="21"/>
                      <w:highlight w:val="none"/>
                      <w:vertAlign w:val="superscript"/>
                      <w:lang w:val="en-US" w:eastAsia="zh-CN"/>
                    </w:rPr>
                    <w:t>2</w:t>
                  </w:r>
                  <w:r>
                    <w:rPr>
                      <w:rFonts w:hint="eastAsia" w:cs="Times New Roman"/>
                      <w:color w:val="auto"/>
                      <w:kern w:val="0"/>
                      <w:sz w:val="21"/>
                      <w:szCs w:val="21"/>
                      <w:highlight w:val="none"/>
                      <w:vertAlign w:val="baseline"/>
                      <w:lang w:val="en-US" w:eastAsia="zh-CN"/>
                    </w:rPr>
                    <w:t>和</w:t>
                  </w:r>
                  <w:r>
                    <w:rPr>
                      <w:rFonts w:hint="eastAsia" w:cs="Times New Roman"/>
                      <w:color w:val="auto"/>
                      <w:kern w:val="0"/>
                      <w:sz w:val="21"/>
                      <w:szCs w:val="21"/>
                      <w:highlight w:val="none"/>
                      <w:lang w:val="en-US" w:eastAsia="zh-CN"/>
                    </w:rPr>
                    <w:t>103.2万m</w:t>
                  </w:r>
                  <w:r>
                    <w:rPr>
                      <w:rFonts w:hint="eastAsia" w:cs="Times New Roman"/>
                      <w:color w:val="auto"/>
                      <w:kern w:val="0"/>
                      <w:sz w:val="21"/>
                      <w:szCs w:val="21"/>
                      <w:highlight w:val="none"/>
                      <w:vertAlign w:val="superscript"/>
                      <w:lang w:val="en-US" w:eastAsia="zh-CN"/>
                    </w:rPr>
                    <w:t>2</w:t>
                  </w:r>
                </w:p>
              </w:tc>
            </w:tr>
          </w:tbl>
          <w:p w14:paraId="32742407">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248D4343">
            <w:pPr>
              <w:pStyle w:val="20"/>
              <w:numPr>
                <w:ilvl w:val="3"/>
                <w:numId w:val="0"/>
              </w:numPr>
              <w:suppressLineNumbers w:val="0"/>
              <w:tabs>
                <w:tab w:val="left" w:pos="420"/>
              </w:tabs>
              <w:spacing w:before="0" w:beforeAutospacing="0" w:after="0" w:afterAutospacing="0" w:line="360" w:lineRule="auto"/>
              <w:ind w:right="0" w:firstLine="482" w:firstLineChars="200"/>
              <w:rPr>
                <w:rFonts w:hint="default" w:ascii="Times New Roman" w:hAnsi="Times New Roman" w:cs="Times New Roman"/>
                <w:color w:val="auto"/>
                <w:szCs w:val="24"/>
                <w:highlight w:val="none"/>
                <w:lang w:val="en-US" w:eastAsia="zh-CN"/>
              </w:rPr>
            </w:pP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lang w:val="en-US" w:eastAsia="zh-CN"/>
              </w:rPr>
              <w:t>2</w:t>
            </w: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lang w:val="en-US" w:eastAsia="zh-CN"/>
              </w:rPr>
              <w:t>项目产品产能匹配性分析</w:t>
            </w:r>
          </w:p>
          <w:p w14:paraId="39F4324C">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bidi="ar-SA"/>
              </w:rPr>
              <w:t>本项目的</w:t>
            </w:r>
            <w:r>
              <w:rPr>
                <w:rFonts w:hint="default" w:ascii="Times New Roman" w:hAnsi="Times New Roman" w:eastAsia="宋体" w:cs="Times New Roman"/>
                <w:color w:val="auto"/>
                <w:kern w:val="2"/>
                <w:sz w:val="24"/>
                <w:szCs w:val="24"/>
                <w:highlight w:val="none"/>
                <w:lang w:val="en-US" w:eastAsia="zh-CN" w:bidi="ar-SA"/>
              </w:rPr>
              <w:t>产品</w:t>
            </w:r>
            <w:r>
              <w:rPr>
                <w:rFonts w:hint="default" w:ascii="Times New Roman" w:hAnsi="Times New Roman" w:eastAsia="宋体" w:cs="Times New Roman"/>
                <w:color w:val="auto"/>
                <w:kern w:val="2"/>
                <w:sz w:val="24"/>
                <w:szCs w:val="24"/>
                <w:highlight w:val="none"/>
                <w:lang w:bidi="ar-SA"/>
              </w:rPr>
              <w:t>生产主要受制于</w:t>
            </w:r>
            <w:r>
              <w:rPr>
                <w:rFonts w:hint="eastAsia" w:cs="Times New Roman"/>
                <w:color w:val="auto"/>
                <w:kern w:val="2"/>
                <w:sz w:val="24"/>
                <w:szCs w:val="24"/>
                <w:highlight w:val="none"/>
                <w:lang w:eastAsia="zh-CN" w:bidi="ar-SA"/>
              </w:rPr>
              <w:t>工件表面预处理</w:t>
            </w:r>
            <w:r>
              <w:rPr>
                <w:rFonts w:hint="default" w:ascii="Times New Roman" w:hAnsi="Times New Roman" w:eastAsia="宋体" w:cs="Times New Roman"/>
                <w:color w:val="auto"/>
                <w:kern w:val="2"/>
                <w:sz w:val="24"/>
                <w:szCs w:val="24"/>
                <w:highlight w:val="none"/>
                <w:lang w:bidi="ar-SA"/>
              </w:rPr>
              <w:t>生产线（以下简称“预处理线”）的产能。预处理线采用隧道式挂具输送系统，并</w:t>
            </w:r>
            <w:r>
              <w:rPr>
                <w:rFonts w:hint="default" w:ascii="Times New Roman" w:hAnsi="Times New Roman" w:eastAsia="宋体" w:cs="Times New Roman"/>
                <w:color w:val="auto"/>
                <w:kern w:val="2"/>
                <w:sz w:val="24"/>
                <w:szCs w:val="24"/>
                <w:highlight w:val="none"/>
                <w:lang w:val="en-US" w:eastAsia="zh-CN" w:bidi="ar-SA"/>
              </w:rPr>
              <w:t>全程</w:t>
            </w:r>
            <w:r>
              <w:rPr>
                <w:rFonts w:hint="default" w:ascii="Times New Roman" w:hAnsi="Times New Roman" w:eastAsia="宋体" w:cs="Times New Roman"/>
                <w:color w:val="auto"/>
                <w:kern w:val="2"/>
                <w:sz w:val="24"/>
                <w:szCs w:val="24"/>
                <w:highlight w:val="none"/>
                <w:lang w:bidi="ar-SA"/>
              </w:rPr>
              <w:t>通过喷淋方式进行预处理作业。预处理线的长度为</w:t>
            </w:r>
            <w:r>
              <w:rPr>
                <w:rFonts w:hint="default" w:ascii="Times New Roman" w:hAnsi="Times New Roman" w:cs="Times New Roman"/>
                <w:color w:val="auto"/>
                <w:kern w:val="2"/>
                <w:sz w:val="24"/>
                <w:szCs w:val="24"/>
                <w:highlight w:val="none"/>
                <w:lang w:val="en-US" w:eastAsia="zh-CN" w:bidi="ar-SA"/>
              </w:rPr>
              <w:t>7</w:t>
            </w:r>
            <w:r>
              <w:rPr>
                <w:rFonts w:hint="eastAsia" w:ascii="Times New Roman" w:hAnsi="Times New Roman" w:cs="Times New Roman"/>
                <w:color w:val="auto"/>
                <w:kern w:val="2"/>
                <w:sz w:val="24"/>
                <w:szCs w:val="24"/>
                <w:highlight w:val="none"/>
                <w:lang w:val="en-US" w:eastAsia="zh-CN" w:bidi="ar-SA"/>
              </w:rPr>
              <w:t>9.5</w:t>
            </w:r>
            <w:r>
              <w:rPr>
                <w:rFonts w:hint="default" w:ascii="Times New Roman" w:hAnsi="Times New Roman" w:eastAsia="宋体" w:cs="Times New Roman"/>
                <w:color w:val="auto"/>
                <w:kern w:val="2"/>
                <w:sz w:val="24"/>
                <w:szCs w:val="24"/>
                <w:highlight w:val="none"/>
                <w:lang w:bidi="ar-SA"/>
              </w:rPr>
              <w:t>米。</w:t>
            </w:r>
            <w:r>
              <w:rPr>
                <w:rFonts w:hint="default" w:ascii="Times New Roman" w:hAnsi="Times New Roman" w:eastAsia="宋体" w:cs="Times New Roman"/>
                <w:color w:val="auto"/>
                <w:kern w:val="2"/>
                <w:sz w:val="24"/>
                <w:szCs w:val="24"/>
                <w:highlight w:val="none"/>
                <w:lang w:val="en-US" w:eastAsia="zh-CN" w:bidi="ar-SA"/>
              </w:rPr>
              <w:t>本项目预处理线设计参数如下表所示。</w:t>
            </w:r>
          </w:p>
          <w:p w14:paraId="2AB7BA51">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highlight w:val="none"/>
                <w:lang w:val="en-US" w:eastAsia="zh-CN" w:bidi="ar-SA"/>
              </w:rPr>
              <w:t>预处理线设计参数</w:t>
            </w:r>
          </w:p>
          <w:tbl>
            <w:tblPr>
              <w:tblStyle w:val="48"/>
              <w:tblW w:w="835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5"/>
              <w:gridCol w:w="1031"/>
              <w:gridCol w:w="1025"/>
              <w:gridCol w:w="1086"/>
              <w:gridCol w:w="926"/>
              <w:gridCol w:w="1086"/>
              <w:gridCol w:w="1045"/>
              <w:gridCol w:w="1053"/>
            </w:tblGrid>
            <w:tr w14:paraId="7026A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7" w:hRule="atLeast"/>
              </w:trPr>
              <w:tc>
                <w:tcPr>
                  <w:tcW w:w="661" w:type="pct"/>
                  <w:tcBorders>
                    <w:top w:val="single" w:color="000000" w:sz="4" w:space="0"/>
                    <w:left w:val="single" w:color="000000" w:sz="4" w:space="0"/>
                    <w:bottom w:val="single" w:color="000000" w:sz="4" w:space="0"/>
                    <w:right w:val="single" w:color="000000" w:sz="4" w:space="0"/>
                  </w:tcBorders>
                  <w:noWrap w:val="0"/>
                  <w:vAlign w:val="center"/>
                </w:tcPr>
                <w:p w14:paraId="7E226D87">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color w:val="auto"/>
                      <w:sz w:val="21"/>
                      <w:szCs w:val="21"/>
                      <w:highlight w:val="none"/>
                      <w:lang w:val="en-US" w:eastAsia="zh-CN"/>
                    </w:rPr>
                    <w:t>处理</w:t>
                  </w:r>
                  <w:r>
                    <w:rPr>
                      <w:rFonts w:hint="default" w:ascii="Times New Roman" w:hAnsi="Times New Roman" w:eastAsia="宋体" w:cs="Times New Roman"/>
                      <w:b/>
                      <w:bCs/>
                      <w:i w:val="0"/>
                      <w:iCs w:val="0"/>
                      <w:color w:val="auto"/>
                      <w:kern w:val="0"/>
                      <w:sz w:val="21"/>
                      <w:szCs w:val="21"/>
                      <w:highlight w:val="none"/>
                      <w:u w:val="none"/>
                      <w:lang w:val="en-US" w:eastAsia="zh-CN" w:bidi="ar"/>
                    </w:rPr>
                    <w:t>线长度（m）</w:t>
                  </w:r>
                </w:p>
              </w:tc>
              <w:tc>
                <w:tcPr>
                  <w:tcW w:w="617" w:type="pct"/>
                  <w:tcBorders>
                    <w:top w:val="single" w:color="000000" w:sz="4" w:space="0"/>
                    <w:left w:val="single" w:color="000000" w:sz="4" w:space="0"/>
                    <w:bottom w:val="single" w:color="000000" w:sz="4" w:space="0"/>
                    <w:right w:val="single" w:color="000000" w:sz="4" w:space="0"/>
                  </w:tcBorders>
                  <w:noWrap w:val="0"/>
                  <w:vAlign w:val="center"/>
                </w:tcPr>
                <w:p w14:paraId="045BABB6">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单个工件长度（m）</w:t>
                  </w:r>
                </w:p>
              </w:tc>
              <w:tc>
                <w:tcPr>
                  <w:tcW w:w="613" w:type="pct"/>
                  <w:tcBorders>
                    <w:top w:val="single" w:color="000000" w:sz="4" w:space="0"/>
                    <w:left w:val="single" w:color="000000" w:sz="4" w:space="0"/>
                    <w:bottom w:val="single" w:color="000000" w:sz="4" w:space="0"/>
                    <w:right w:val="single" w:color="000000" w:sz="4" w:space="0"/>
                  </w:tcBorders>
                  <w:noWrap w:val="0"/>
                  <w:vAlign w:val="center"/>
                </w:tcPr>
                <w:p w14:paraId="12F323F4">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移动速度（m/min）</w:t>
                  </w:r>
                </w:p>
              </w:tc>
              <w:tc>
                <w:tcPr>
                  <w:tcW w:w="650" w:type="pct"/>
                  <w:tcBorders>
                    <w:top w:val="single" w:color="000000" w:sz="4" w:space="0"/>
                    <w:left w:val="single" w:color="000000" w:sz="4" w:space="0"/>
                    <w:bottom w:val="single" w:color="000000" w:sz="4" w:space="0"/>
                    <w:right w:val="single" w:color="000000" w:sz="4" w:space="0"/>
                  </w:tcBorders>
                  <w:noWrap w:val="0"/>
                  <w:vAlign w:val="center"/>
                </w:tcPr>
                <w:p w14:paraId="7FED2638">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每个工件间隔（mm）</w:t>
                  </w:r>
                </w:p>
              </w:tc>
              <w:tc>
                <w:tcPr>
                  <w:tcW w:w="554" w:type="pct"/>
                  <w:tcBorders>
                    <w:top w:val="single" w:color="000000" w:sz="4" w:space="0"/>
                    <w:left w:val="single" w:color="000000" w:sz="4" w:space="0"/>
                    <w:bottom w:val="single" w:color="000000" w:sz="4" w:space="0"/>
                    <w:right w:val="single" w:color="000000" w:sz="4" w:space="0"/>
                  </w:tcBorders>
                  <w:noWrap w:val="0"/>
                  <w:vAlign w:val="center"/>
                </w:tcPr>
                <w:p w14:paraId="51FE3AF4">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每批次处理时间（min）</w:t>
                  </w:r>
                </w:p>
              </w:tc>
              <w:tc>
                <w:tcPr>
                  <w:tcW w:w="650" w:type="pct"/>
                  <w:tcBorders>
                    <w:top w:val="single" w:color="000000" w:sz="4" w:space="0"/>
                    <w:left w:val="single" w:color="000000" w:sz="4" w:space="0"/>
                    <w:bottom w:val="single" w:color="000000" w:sz="4" w:space="0"/>
                    <w:right w:val="single" w:color="000000" w:sz="4" w:space="0"/>
                  </w:tcBorders>
                  <w:noWrap w:val="0"/>
                  <w:vAlign w:val="center"/>
                </w:tcPr>
                <w:p w14:paraId="6B6020B8">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每批次可容纳挂具数（个）</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51D17AF4">
                  <w:pPr>
                    <w:adjustRightInd w:val="0"/>
                    <w:snapToGrid w:val="0"/>
                    <w:spacing w:line="240" w:lineRule="auto"/>
                    <w:jc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每个挂具挂件数（件）</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62970423">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lang w:val="en-US" w:eastAsia="zh-CN"/>
                    </w:rPr>
                  </w:pPr>
                  <w:r>
                    <w:rPr>
                      <w:rFonts w:hint="eastAsia" w:cs="Times New Roman"/>
                      <w:b/>
                      <w:bCs/>
                      <w:i w:val="0"/>
                      <w:iCs w:val="0"/>
                      <w:color w:val="auto"/>
                      <w:sz w:val="21"/>
                      <w:szCs w:val="21"/>
                      <w:highlight w:val="none"/>
                      <w:u w:val="none"/>
                      <w:lang w:val="en-US" w:eastAsia="zh-CN"/>
                    </w:rPr>
                    <w:t>生产线条数</w:t>
                  </w:r>
                </w:p>
              </w:tc>
            </w:tr>
            <w:tr w14:paraId="02FD3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61" w:type="pct"/>
                  <w:tcBorders>
                    <w:top w:val="single" w:color="000000" w:sz="4" w:space="0"/>
                    <w:left w:val="single" w:color="000000" w:sz="4" w:space="0"/>
                    <w:bottom w:val="single" w:color="000000" w:sz="4" w:space="0"/>
                    <w:right w:val="single" w:color="000000" w:sz="4" w:space="0"/>
                  </w:tcBorders>
                  <w:noWrap/>
                  <w:vAlign w:val="center"/>
                </w:tcPr>
                <w:p w14:paraId="2EE069F8">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79.5</w:t>
                  </w:r>
                </w:p>
              </w:tc>
              <w:tc>
                <w:tcPr>
                  <w:tcW w:w="617" w:type="pct"/>
                  <w:tcBorders>
                    <w:top w:val="single" w:color="000000" w:sz="4" w:space="0"/>
                    <w:left w:val="single" w:color="000000" w:sz="4" w:space="0"/>
                    <w:bottom w:val="single" w:color="000000" w:sz="4" w:space="0"/>
                    <w:right w:val="single" w:color="000000" w:sz="4" w:space="0"/>
                  </w:tcBorders>
                  <w:noWrap/>
                  <w:vAlign w:val="center"/>
                </w:tcPr>
                <w:p w14:paraId="6E758ABF">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0.6</w:t>
                  </w:r>
                </w:p>
              </w:tc>
              <w:tc>
                <w:tcPr>
                  <w:tcW w:w="613" w:type="pct"/>
                  <w:tcBorders>
                    <w:top w:val="single" w:color="000000" w:sz="4" w:space="0"/>
                    <w:left w:val="single" w:color="000000" w:sz="4" w:space="0"/>
                    <w:bottom w:val="single" w:color="000000" w:sz="4" w:space="0"/>
                    <w:right w:val="single" w:color="000000" w:sz="4" w:space="0"/>
                  </w:tcBorders>
                  <w:noWrap/>
                  <w:vAlign w:val="center"/>
                </w:tcPr>
                <w:p w14:paraId="0BEA5695">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w:t>
                  </w:r>
                </w:p>
              </w:tc>
              <w:tc>
                <w:tcPr>
                  <w:tcW w:w="650" w:type="pct"/>
                  <w:tcBorders>
                    <w:top w:val="single" w:color="000000" w:sz="4" w:space="0"/>
                    <w:left w:val="single" w:color="000000" w:sz="4" w:space="0"/>
                    <w:bottom w:val="single" w:color="000000" w:sz="4" w:space="0"/>
                    <w:right w:val="single" w:color="000000" w:sz="4" w:space="0"/>
                  </w:tcBorders>
                  <w:noWrap/>
                  <w:vAlign w:val="center"/>
                </w:tcPr>
                <w:p w14:paraId="6D1006A1">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150</w:t>
                  </w:r>
                </w:p>
              </w:tc>
              <w:tc>
                <w:tcPr>
                  <w:tcW w:w="554" w:type="pct"/>
                  <w:tcBorders>
                    <w:top w:val="single" w:color="000000" w:sz="4" w:space="0"/>
                    <w:left w:val="single" w:color="000000" w:sz="4" w:space="0"/>
                    <w:bottom w:val="single" w:color="000000" w:sz="4" w:space="0"/>
                    <w:right w:val="single" w:color="000000" w:sz="4" w:space="0"/>
                  </w:tcBorders>
                  <w:noWrap/>
                  <w:vAlign w:val="center"/>
                </w:tcPr>
                <w:p w14:paraId="2D1FADFD">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650" w:type="pct"/>
                  <w:tcBorders>
                    <w:top w:val="single" w:color="000000" w:sz="4" w:space="0"/>
                    <w:left w:val="single" w:color="000000" w:sz="4" w:space="0"/>
                    <w:bottom w:val="single" w:color="000000" w:sz="4" w:space="0"/>
                    <w:right w:val="single" w:color="000000" w:sz="4" w:space="0"/>
                  </w:tcBorders>
                  <w:noWrap/>
                  <w:vAlign w:val="center"/>
                </w:tcPr>
                <w:p w14:paraId="7CDC02CE">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106</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F72FCDE">
                  <w:pPr>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291EFDA9">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r>
            <w:tr w14:paraId="50395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7" w:hRule="atLeast"/>
              </w:trPr>
              <w:tc>
                <w:tcPr>
                  <w:tcW w:w="5000" w:type="pct"/>
                  <w:gridSpan w:val="8"/>
                  <w:tcBorders>
                    <w:top w:val="single" w:color="000000" w:sz="4" w:space="0"/>
                    <w:left w:val="single" w:color="000000" w:sz="4" w:space="0"/>
                    <w:bottom w:val="single" w:color="000000" w:sz="4" w:space="0"/>
                    <w:right w:val="single" w:color="000000" w:sz="4" w:space="0"/>
                  </w:tcBorders>
                  <w:noWrap/>
                  <w:vAlign w:val="center"/>
                </w:tcPr>
                <w:p w14:paraId="563B1355">
                  <w:pPr>
                    <w:adjustRightInd w:val="0"/>
                    <w:snapToGrid w:val="0"/>
                    <w:spacing w:line="24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备注：</w:t>
                  </w:r>
                </w:p>
                <w:p w14:paraId="6BF7E7FD">
                  <w:pPr>
                    <w:adjustRightInd w:val="0"/>
                    <w:snapToGrid w:val="0"/>
                    <w:spacing w:line="24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①本环评取项目产量最大、最为常见的产品尺寸作为本项目产量核算，单个</w:t>
                  </w:r>
                  <w:r>
                    <w:rPr>
                      <w:rFonts w:hint="eastAsia" w:cs="Times New Roman"/>
                      <w:color w:val="auto"/>
                      <w:sz w:val="21"/>
                      <w:szCs w:val="21"/>
                      <w:highlight w:val="none"/>
                      <w:lang w:val="en-US" w:eastAsia="zh-CN"/>
                    </w:rPr>
                    <w:t>工件</w:t>
                  </w:r>
                  <w:r>
                    <w:rPr>
                      <w:rFonts w:hint="default" w:ascii="Times New Roman" w:hAnsi="Times New Roman" w:eastAsia="宋体" w:cs="Times New Roman"/>
                      <w:color w:val="auto"/>
                      <w:sz w:val="21"/>
                      <w:szCs w:val="21"/>
                      <w:highlight w:val="none"/>
                      <w:lang w:val="en-US" w:eastAsia="zh-CN"/>
                    </w:rPr>
                    <w:t>尺寸为</w:t>
                  </w:r>
                  <w:r>
                    <w:rPr>
                      <w:rFonts w:hint="eastAsia"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lang w:val="en-US" w:eastAsia="zh-CN"/>
                    </w:rPr>
                    <w:t>00mm×</w:t>
                  </w:r>
                  <w:r>
                    <w:rPr>
                      <w:rFonts w:hint="eastAsia"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00mm，厚度为3mm；</w:t>
                  </w:r>
                </w:p>
                <w:p w14:paraId="26FA03BE">
                  <w:pPr>
                    <w:adjustRightInd w:val="0"/>
                    <w:snapToGrid w:val="0"/>
                    <w:spacing w:line="24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②每批次处理时间=处理线长度÷移动速度；</w:t>
                  </w:r>
                </w:p>
                <w:p w14:paraId="696B609A">
                  <w:pPr>
                    <w:adjustRightInd w:val="0"/>
                    <w:snapToGrid w:val="0"/>
                    <w:spacing w:line="240" w:lineRule="auto"/>
                    <w:jc w:val="left"/>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③每批次可容纳挂具数=处理线长度÷（单个工件长度+每个工件间隔）</w:t>
                  </w:r>
                </w:p>
              </w:tc>
            </w:tr>
          </w:tbl>
          <w:p w14:paraId="07D6601F">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5A7D6521">
            <w:pPr>
              <w:keepNext w:val="0"/>
              <w:keepLines w:val="0"/>
              <w:widowControl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kern w:val="2"/>
                <w:sz w:val="24"/>
                <w:szCs w:val="24"/>
                <w:highlight w:val="none"/>
                <w:lang w:val="en-US" w:eastAsia="zh-CN" w:bidi="ar-SA"/>
              </w:rPr>
            </w:pPr>
            <w:r>
              <w:rPr>
                <w:rFonts w:hint="default" w:ascii="Times New Roman" w:hAnsi="Times New Roman" w:cs="Times New Roman"/>
                <w:color w:val="auto"/>
                <w:kern w:val="2"/>
                <w:sz w:val="24"/>
                <w:szCs w:val="24"/>
                <w:highlight w:val="none"/>
                <w:lang w:val="en-US" w:eastAsia="zh-CN" w:bidi="ar-SA"/>
              </w:rPr>
              <w:t>本项目设置</w:t>
            </w:r>
            <w:r>
              <w:rPr>
                <w:rFonts w:hint="eastAsia" w:cs="Times New Roman"/>
                <w:color w:val="auto"/>
                <w:kern w:val="2"/>
                <w:sz w:val="24"/>
                <w:szCs w:val="24"/>
                <w:highlight w:val="none"/>
                <w:lang w:val="en-US" w:eastAsia="zh-CN" w:bidi="ar-SA"/>
              </w:rPr>
              <w:t>2</w:t>
            </w:r>
            <w:r>
              <w:rPr>
                <w:rFonts w:hint="default" w:ascii="Times New Roman" w:hAnsi="Times New Roman" w:cs="Times New Roman"/>
                <w:color w:val="auto"/>
                <w:kern w:val="2"/>
                <w:sz w:val="24"/>
                <w:szCs w:val="24"/>
                <w:highlight w:val="none"/>
                <w:lang w:val="en-US" w:eastAsia="zh-CN" w:bidi="ar-SA"/>
              </w:rPr>
              <w:t>条预处理线，年工作</w:t>
            </w:r>
            <w:r>
              <w:rPr>
                <w:rFonts w:hint="eastAsia" w:cs="Times New Roman"/>
                <w:color w:val="auto"/>
                <w:kern w:val="2"/>
                <w:sz w:val="24"/>
                <w:szCs w:val="24"/>
                <w:highlight w:val="none"/>
                <w:lang w:val="en-US" w:eastAsia="zh-CN" w:bidi="ar-SA"/>
              </w:rPr>
              <w:t>1928</w:t>
            </w:r>
            <w:r>
              <w:rPr>
                <w:rFonts w:hint="default" w:ascii="Times New Roman" w:hAnsi="Times New Roman" w:cs="Times New Roman"/>
                <w:color w:val="auto"/>
                <w:kern w:val="2"/>
                <w:sz w:val="24"/>
                <w:szCs w:val="24"/>
                <w:highlight w:val="none"/>
                <w:lang w:val="en-US" w:eastAsia="zh-CN" w:bidi="ar-SA"/>
              </w:rPr>
              <w:t>小时。本项目年铝卷最大可处理面积计算如下表所示。</w:t>
            </w:r>
          </w:p>
          <w:p w14:paraId="5A0A8047">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本项目预处理线产能核算表</w:t>
            </w:r>
          </w:p>
          <w:tbl>
            <w:tblPr>
              <w:tblStyle w:val="48"/>
              <w:tblW w:w="83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77"/>
              <w:gridCol w:w="1225"/>
              <w:gridCol w:w="1490"/>
              <w:gridCol w:w="1130"/>
              <w:gridCol w:w="1590"/>
              <w:gridCol w:w="1777"/>
            </w:tblGrid>
            <w:tr w14:paraId="5CDCA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02" w:type="pct"/>
                  <w:tcBorders>
                    <w:top w:val="single" w:color="000000" w:sz="4" w:space="0"/>
                    <w:left w:val="single" w:color="000000" w:sz="4" w:space="0"/>
                    <w:bottom w:val="single" w:color="000000" w:sz="4" w:space="0"/>
                    <w:right w:val="single" w:color="000000" w:sz="4" w:space="0"/>
                  </w:tcBorders>
                  <w:noWrap w:val="0"/>
                  <w:vAlign w:val="center"/>
                </w:tcPr>
                <w:p w14:paraId="627EE0BE">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年工作时间（h）</w:t>
                  </w:r>
                </w:p>
              </w:tc>
              <w:tc>
                <w:tcPr>
                  <w:tcW w:w="731" w:type="pct"/>
                  <w:tcBorders>
                    <w:top w:val="single" w:color="000000" w:sz="4" w:space="0"/>
                    <w:left w:val="single" w:color="000000" w:sz="4" w:space="0"/>
                    <w:bottom w:val="single" w:color="000000" w:sz="4" w:space="0"/>
                    <w:right w:val="single" w:color="000000" w:sz="4" w:space="0"/>
                  </w:tcBorders>
                  <w:noWrap w:val="0"/>
                  <w:vAlign w:val="center"/>
                </w:tcPr>
                <w:p w14:paraId="5A265BE8">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年处理批次（次）</w:t>
                  </w:r>
                </w:p>
              </w:tc>
              <w:tc>
                <w:tcPr>
                  <w:tcW w:w="888" w:type="pct"/>
                  <w:tcBorders>
                    <w:top w:val="single" w:color="000000" w:sz="4" w:space="0"/>
                    <w:left w:val="single" w:color="000000" w:sz="4" w:space="0"/>
                    <w:bottom w:val="single" w:color="000000" w:sz="4" w:space="0"/>
                    <w:right w:val="single" w:color="000000" w:sz="4" w:space="0"/>
                  </w:tcBorders>
                  <w:noWrap w:val="0"/>
                  <w:vAlign w:val="center"/>
                </w:tcPr>
                <w:p w14:paraId="75D23EB7">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年处理工件数（件）</w:t>
                  </w:r>
                </w:p>
              </w:tc>
              <w:tc>
                <w:tcPr>
                  <w:tcW w:w="673" w:type="pct"/>
                  <w:tcBorders>
                    <w:top w:val="single" w:color="000000" w:sz="4" w:space="0"/>
                    <w:left w:val="single" w:color="000000" w:sz="4" w:space="0"/>
                    <w:bottom w:val="single" w:color="000000" w:sz="4" w:space="0"/>
                    <w:right w:val="single" w:color="000000" w:sz="4" w:space="0"/>
                  </w:tcBorders>
                  <w:noWrap w:val="0"/>
                  <w:vAlign w:val="center"/>
                </w:tcPr>
                <w:p w14:paraId="1944445E">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color w:val="auto"/>
                      <w:sz w:val="21"/>
                      <w:szCs w:val="21"/>
                      <w:highlight w:val="none"/>
                      <w:lang w:val="en-US" w:eastAsia="zh-CN"/>
                    </w:rPr>
                    <w:t>单件</w:t>
                  </w:r>
                  <w:r>
                    <w:rPr>
                      <w:rFonts w:hint="default" w:ascii="Times New Roman" w:hAnsi="Times New Roman" w:eastAsia="宋体" w:cs="Times New Roman"/>
                      <w:b/>
                      <w:bCs/>
                      <w:i w:val="0"/>
                      <w:iCs w:val="0"/>
                      <w:color w:val="auto"/>
                      <w:kern w:val="0"/>
                      <w:sz w:val="21"/>
                      <w:szCs w:val="21"/>
                      <w:highlight w:val="none"/>
                      <w:u w:val="none"/>
                      <w:lang w:val="en-US" w:eastAsia="zh-CN" w:bidi="ar"/>
                    </w:rPr>
                    <w:t>工件面积（m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c>
                <w:tcPr>
                  <w:tcW w:w="947" w:type="pct"/>
                  <w:tcBorders>
                    <w:top w:val="single" w:color="000000" w:sz="4" w:space="0"/>
                    <w:left w:val="single" w:color="auto" w:sz="4" w:space="0"/>
                    <w:bottom w:val="single" w:color="000000" w:sz="4" w:space="0"/>
                    <w:right w:val="single" w:color="000000" w:sz="4" w:space="0"/>
                  </w:tcBorders>
                  <w:noWrap w:val="0"/>
                  <w:vAlign w:val="center"/>
                </w:tcPr>
                <w:p w14:paraId="410689C1">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年最大处理</w:t>
                  </w:r>
                  <w:r>
                    <w:rPr>
                      <w:rFonts w:hint="eastAsia" w:cs="Times New Roman"/>
                      <w:b/>
                      <w:bCs/>
                      <w:i w:val="0"/>
                      <w:iCs w:val="0"/>
                      <w:color w:val="auto"/>
                      <w:kern w:val="0"/>
                      <w:sz w:val="21"/>
                      <w:szCs w:val="21"/>
                      <w:highlight w:val="none"/>
                      <w:u w:val="none"/>
                      <w:lang w:val="en-US" w:eastAsia="zh-CN" w:bidi="ar"/>
                    </w:rPr>
                    <w:t>工件</w:t>
                  </w:r>
                  <w:r>
                    <w:rPr>
                      <w:rFonts w:hint="eastAsia" w:ascii="Times New Roman" w:hAnsi="Times New Roman" w:cs="Times New Roman"/>
                      <w:b/>
                      <w:bCs/>
                      <w:i w:val="0"/>
                      <w:iCs w:val="0"/>
                      <w:color w:val="auto"/>
                      <w:kern w:val="0"/>
                      <w:sz w:val="21"/>
                      <w:szCs w:val="21"/>
                      <w:highlight w:val="none"/>
                      <w:u w:val="none"/>
                      <w:lang w:val="en-US" w:eastAsia="zh-CN" w:bidi="ar"/>
                    </w:rPr>
                    <w:t>面积</w:t>
                  </w:r>
                  <w:r>
                    <w:rPr>
                      <w:rFonts w:hint="default" w:ascii="Times New Roman" w:hAnsi="Times New Roman" w:eastAsia="宋体" w:cs="Times New Roman"/>
                      <w:b/>
                      <w:bCs/>
                      <w:i w:val="0"/>
                      <w:iCs w:val="0"/>
                      <w:color w:val="auto"/>
                      <w:kern w:val="0"/>
                      <w:sz w:val="21"/>
                      <w:szCs w:val="21"/>
                      <w:highlight w:val="none"/>
                      <w:u w:val="none"/>
                      <w:lang w:val="en-US" w:eastAsia="zh-CN" w:bidi="ar"/>
                    </w:rPr>
                    <w:t>（万m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c>
                <w:tcPr>
                  <w:tcW w:w="1056" w:type="pct"/>
                  <w:tcBorders>
                    <w:top w:val="single" w:color="000000" w:sz="4" w:space="0"/>
                    <w:left w:val="single" w:color="000000" w:sz="4" w:space="0"/>
                    <w:bottom w:val="single" w:color="000000" w:sz="4" w:space="0"/>
                    <w:right w:val="single" w:color="000000" w:sz="4" w:space="0"/>
                  </w:tcBorders>
                  <w:noWrap w:val="0"/>
                  <w:vAlign w:val="center"/>
                </w:tcPr>
                <w:p w14:paraId="2A9261CB">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本项目设计处理</w:t>
                  </w:r>
                  <w:r>
                    <w:rPr>
                      <w:rFonts w:hint="eastAsia" w:cs="Times New Roman"/>
                      <w:b/>
                      <w:bCs/>
                      <w:i w:val="0"/>
                      <w:iCs w:val="0"/>
                      <w:color w:val="auto"/>
                      <w:kern w:val="0"/>
                      <w:sz w:val="21"/>
                      <w:szCs w:val="21"/>
                      <w:highlight w:val="none"/>
                      <w:u w:val="none"/>
                      <w:lang w:val="en-US" w:eastAsia="zh-CN" w:bidi="ar"/>
                    </w:rPr>
                    <w:t>工件</w:t>
                  </w:r>
                  <w:r>
                    <w:rPr>
                      <w:rFonts w:hint="eastAsia" w:ascii="Times New Roman" w:hAnsi="Times New Roman" w:cs="Times New Roman"/>
                      <w:b/>
                      <w:bCs/>
                      <w:i w:val="0"/>
                      <w:iCs w:val="0"/>
                      <w:color w:val="auto"/>
                      <w:kern w:val="0"/>
                      <w:sz w:val="21"/>
                      <w:szCs w:val="21"/>
                      <w:highlight w:val="none"/>
                      <w:u w:val="none"/>
                      <w:lang w:val="en-US" w:eastAsia="zh-CN" w:bidi="ar"/>
                    </w:rPr>
                    <w:t>面积</w:t>
                  </w:r>
                  <w:r>
                    <w:rPr>
                      <w:rFonts w:hint="default" w:ascii="Times New Roman" w:hAnsi="Times New Roman" w:eastAsia="宋体" w:cs="Times New Roman"/>
                      <w:b/>
                      <w:bCs/>
                      <w:i w:val="0"/>
                      <w:iCs w:val="0"/>
                      <w:color w:val="auto"/>
                      <w:kern w:val="0"/>
                      <w:sz w:val="21"/>
                      <w:szCs w:val="21"/>
                      <w:highlight w:val="none"/>
                      <w:u w:val="none"/>
                      <w:lang w:val="en-US" w:eastAsia="zh-CN" w:bidi="ar"/>
                    </w:rPr>
                    <w:t>（万m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r>
            <w:tr w14:paraId="25DE4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177" w:type="dxa"/>
                  <w:tcBorders>
                    <w:top w:val="single" w:color="000000" w:sz="4" w:space="0"/>
                    <w:left w:val="single" w:color="000000" w:sz="4" w:space="0"/>
                    <w:bottom w:val="single" w:color="000000" w:sz="4" w:space="0"/>
                    <w:right w:val="single" w:color="000000" w:sz="4" w:space="0"/>
                  </w:tcBorders>
                  <w:noWrap w:val="0"/>
                  <w:vAlign w:val="center"/>
                </w:tcPr>
                <w:p w14:paraId="4286CC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1928</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6BB6D4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u w:val="none"/>
                      <w:lang w:val="en-US" w:eastAsia="zh-CN" w:bidi="ar"/>
                    </w:rPr>
                    <w:t>7712</w:t>
                  </w:r>
                </w:p>
              </w:tc>
              <w:tc>
                <w:tcPr>
                  <w:tcW w:w="1490" w:type="dxa"/>
                  <w:tcBorders>
                    <w:top w:val="single" w:color="000000" w:sz="4" w:space="0"/>
                    <w:left w:val="single" w:color="000000" w:sz="4" w:space="0"/>
                    <w:bottom w:val="single" w:color="000000" w:sz="4" w:space="0"/>
                    <w:right w:val="single" w:color="000000" w:sz="4" w:space="0"/>
                  </w:tcBorders>
                  <w:noWrap/>
                  <w:vAlign w:val="center"/>
                </w:tcPr>
                <w:p w14:paraId="1D848AD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u w:val="none"/>
                      <w:lang w:val="en-US" w:eastAsia="zh-CN" w:bidi="ar"/>
                    </w:rPr>
                    <w:t>9809664</w:t>
                  </w:r>
                </w:p>
              </w:tc>
              <w:tc>
                <w:tcPr>
                  <w:tcW w:w="1130" w:type="dxa"/>
                  <w:tcBorders>
                    <w:top w:val="single" w:color="000000" w:sz="4" w:space="0"/>
                    <w:left w:val="single" w:color="000000" w:sz="4" w:space="0"/>
                    <w:bottom w:val="single" w:color="000000" w:sz="4" w:space="0"/>
                    <w:right w:val="single" w:color="auto" w:sz="4" w:space="0"/>
                  </w:tcBorders>
                  <w:noWrap/>
                  <w:vAlign w:val="center"/>
                </w:tcPr>
                <w:p w14:paraId="2BD4E3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0.24</w:t>
                  </w:r>
                </w:p>
              </w:tc>
              <w:tc>
                <w:tcPr>
                  <w:tcW w:w="1590" w:type="dxa"/>
                  <w:tcBorders>
                    <w:top w:val="single" w:color="000000" w:sz="4" w:space="0"/>
                    <w:left w:val="single" w:color="auto" w:sz="4" w:space="0"/>
                    <w:bottom w:val="single" w:color="000000" w:sz="4" w:space="0"/>
                    <w:right w:val="single" w:color="000000" w:sz="4" w:space="0"/>
                  </w:tcBorders>
                  <w:noWrap/>
                  <w:vAlign w:val="center"/>
                </w:tcPr>
                <w:p w14:paraId="53C923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u w:val="none"/>
                      <w:lang w:val="en-US" w:eastAsia="zh-CN" w:bidi="ar"/>
                    </w:rPr>
                    <w:t xml:space="preserve">235.4 </w:t>
                  </w:r>
                </w:p>
              </w:tc>
              <w:tc>
                <w:tcPr>
                  <w:tcW w:w="1773" w:type="dxa"/>
                  <w:tcBorders>
                    <w:top w:val="single" w:color="000000" w:sz="4" w:space="0"/>
                    <w:left w:val="single" w:color="000000" w:sz="4" w:space="0"/>
                    <w:bottom w:val="single" w:color="000000" w:sz="4" w:space="0"/>
                    <w:right w:val="single" w:color="000000" w:sz="4" w:space="0"/>
                  </w:tcBorders>
                  <w:noWrap/>
                  <w:vAlign w:val="center"/>
                </w:tcPr>
                <w:p w14:paraId="10E2D1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220</w:t>
                  </w:r>
                </w:p>
              </w:tc>
            </w:tr>
            <w:tr w14:paraId="02E0F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2F4EF1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备注：</w:t>
                  </w:r>
                </w:p>
                <w:p w14:paraId="1DD1EC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cs="Times New Roman"/>
                      <w:i w:val="0"/>
                      <w:iCs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①</w:t>
                  </w:r>
                  <w:bookmarkStart w:id="9" w:name="OLE_LINK38"/>
                  <w:r>
                    <w:rPr>
                      <w:rFonts w:hint="default" w:ascii="Times New Roman" w:hAnsi="Times New Roman" w:eastAsia="宋体" w:cs="Times New Roman"/>
                      <w:i w:val="0"/>
                      <w:iCs w:val="0"/>
                      <w:color w:val="auto"/>
                      <w:kern w:val="0"/>
                      <w:sz w:val="21"/>
                      <w:szCs w:val="21"/>
                      <w:highlight w:val="none"/>
                      <w:u w:val="none"/>
                      <w:lang w:val="en-US" w:eastAsia="zh-CN" w:bidi="ar"/>
                    </w:rPr>
                    <w:t>单个工件尺寸为</w:t>
                  </w:r>
                  <w:r>
                    <w:rPr>
                      <w:rFonts w:hint="eastAsia" w:ascii="Times New Roman" w:hAnsi="Times New Roman" w:eastAsia="宋体" w:cs="Times New Roman"/>
                      <w:i w:val="0"/>
                      <w:iCs w:val="0"/>
                      <w:color w:val="auto"/>
                      <w:kern w:val="0"/>
                      <w:sz w:val="21"/>
                      <w:szCs w:val="21"/>
                      <w:highlight w:val="none"/>
                      <w:u w:val="none"/>
                      <w:lang w:val="en-US" w:eastAsia="zh-CN" w:bidi="ar"/>
                    </w:rPr>
                    <w:t>6</w:t>
                  </w:r>
                  <w:r>
                    <w:rPr>
                      <w:rFonts w:hint="default" w:ascii="Times New Roman" w:hAnsi="Times New Roman" w:eastAsia="宋体" w:cs="Times New Roman"/>
                      <w:i w:val="0"/>
                      <w:iCs w:val="0"/>
                      <w:color w:val="auto"/>
                      <w:kern w:val="0"/>
                      <w:sz w:val="21"/>
                      <w:szCs w:val="21"/>
                      <w:highlight w:val="none"/>
                      <w:u w:val="none"/>
                      <w:lang w:val="en-US" w:eastAsia="zh-CN" w:bidi="ar"/>
                    </w:rPr>
                    <w:t>00mm×</w:t>
                  </w:r>
                  <w:r>
                    <w:rPr>
                      <w:rFonts w:hint="eastAsia" w:ascii="Times New Roman" w:hAnsi="Times New Roman" w:eastAsia="宋体"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i w:val="0"/>
                      <w:iCs w:val="0"/>
                      <w:color w:val="auto"/>
                      <w:kern w:val="0"/>
                      <w:sz w:val="21"/>
                      <w:szCs w:val="21"/>
                      <w:highlight w:val="none"/>
                      <w:u w:val="none"/>
                      <w:lang w:val="en-US" w:eastAsia="zh-CN" w:bidi="ar"/>
                    </w:rPr>
                    <w:t>00mm</w:t>
                  </w:r>
                  <w:bookmarkEnd w:id="9"/>
                  <w:r>
                    <w:rPr>
                      <w:rFonts w:hint="default" w:ascii="Times New Roman" w:hAnsi="Times New Roman" w:cs="Times New Roman"/>
                      <w:i w:val="0"/>
                      <w:iCs w:val="0"/>
                      <w:color w:val="auto"/>
                      <w:kern w:val="0"/>
                      <w:sz w:val="21"/>
                      <w:szCs w:val="21"/>
                      <w:highlight w:val="none"/>
                      <w:u w:val="none"/>
                      <w:lang w:val="en-US" w:eastAsia="zh-CN" w:bidi="ar"/>
                    </w:rPr>
                    <w:t>，计得面积为</w:t>
                  </w:r>
                  <w:r>
                    <w:rPr>
                      <w:rFonts w:hint="eastAsia" w:ascii="Times New Roman" w:hAnsi="Times New Roman" w:cs="Times New Roman"/>
                      <w:i w:val="0"/>
                      <w:iCs w:val="0"/>
                      <w:color w:val="auto"/>
                      <w:kern w:val="0"/>
                      <w:sz w:val="21"/>
                      <w:szCs w:val="21"/>
                      <w:highlight w:val="none"/>
                      <w:u w:val="none"/>
                      <w:lang w:val="en-US" w:eastAsia="zh-CN" w:bidi="ar"/>
                    </w:rPr>
                    <w:t>0.24</w:t>
                  </w:r>
                  <w:r>
                    <w:rPr>
                      <w:rFonts w:hint="default" w:ascii="Times New Roman" w:hAnsi="Times New Roman" w:cs="Times New Roman"/>
                      <w:i w:val="0"/>
                      <w:iCs w:val="0"/>
                      <w:color w:val="auto"/>
                      <w:kern w:val="0"/>
                      <w:sz w:val="21"/>
                      <w:szCs w:val="21"/>
                      <w:highlight w:val="none"/>
                      <w:u w:val="none"/>
                      <w:lang w:val="en-US" w:eastAsia="zh-CN" w:bidi="ar"/>
                    </w:rPr>
                    <w:t>m</w:t>
                  </w:r>
                  <w:r>
                    <w:rPr>
                      <w:rFonts w:hint="default" w:ascii="Times New Roman" w:hAnsi="Times New Roman" w:cs="Times New Roman"/>
                      <w:i w:val="0"/>
                      <w:iCs w:val="0"/>
                      <w:color w:val="auto"/>
                      <w:kern w:val="0"/>
                      <w:sz w:val="21"/>
                      <w:szCs w:val="21"/>
                      <w:highlight w:val="none"/>
                      <w:u w:val="none"/>
                      <w:vertAlign w:val="superscript"/>
                      <w:lang w:val="en-US" w:eastAsia="zh-CN" w:bidi="ar"/>
                    </w:rPr>
                    <w:t>2</w:t>
                  </w:r>
                  <w:r>
                    <w:rPr>
                      <w:rFonts w:hint="default" w:ascii="Times New Roman" w:hAnsi="Times New Roman" w:cs="Times New Roman"/>
                      <w:i w:val="0"/>
                      <w:iCs w:val="0"/>
                      <w:color w:val="auto"/>
                      <w:kern w:val="0"/>
                      <w:sz w:val="21"/>
                      <w:szCs w:val="21"/>
                      <w:highlight w:val="none"/>
                      <w:u w:val="none"/>
                      <w:vertAlign w:val="baseline"/>
                      <w:lang w:val="en-US" w:eastAsia="zh-CN" w:bidi="ar"/>
                    </w:rPr>
                    <w:t>；</w:t>
                  </w:r>
                </w:p>
                <w:p w14:paraId="0E8CD2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iCs w:val="0"/>
                      <w:color w:val="auto"/>
                      <w:kern w:val="0"/>
                      <w:sz w:val="21"/>
                      <w:szCs w:val="21"/>
                      <w:highlight w:val="none"/>
                      <w:u w:val="none"/>
                      <w:vertAlign w:val="baseline"/>
                      <w:lang w:val="en-US" w:eastAsia="zh-CN" w:bidi="ar"/>
                    </w:rPr>
                    <w:t>②年处理批次=年工作时间÷每批次处理时间；</w:t>
                  </w:r>
                </w:p>
                <w:p w14:paraId="3C913D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iCs w:val="0"/>
                      <w:color w:val="auto"/>
                      <w:kern w:val="0"/>
                      <w:sz w:val="21"/>
                      <w:szCs w:val="21"/>
                      <w:highlight w:val="none"/>
                      <w:u w:val="none"/>
                      <w:vertAlign w:val="baseline"/>
                      <w:lang w:val="en-US" w:eastAsia="zh-CN" w:bidi="ar"/>
                    </w:rPr>
                    <w:t>③年处理工件数=年处理批次×每批次可容纳挂具数×每个挂具挂件数</w:t>
                  </w:r>
                  <w:r>
                    <w:rPr>
                      <w:rFonts w:hint="eastAsia" w:cs="Times New Roman"/>
                      <w:i w:val="0"/>
                      <w:iCs w:val="0"/>
                      <w:color w:val="auto"/>
                      <w:kern w:val="0"/>
                      <w:sz w:val="21"/>
                      <w:szCs w:val="21"/>
                      <w:highlight w:val="none"/>
                      <w:u w:val="none"/>
                      <w:vertAlign w:val="baseline"/>
                      <w:lang w:val="en-US" w:eastAsia="zh-CN" w:bidi="ar"/>
                    </w:rPr>
                    <w:t>×</w:t>
                  </w:r>
                  <w:r>
                    <w:rPr>
                      <w:rFonts w:hint="default" w:ascii="Times New Roman" w:hAnsi="Times New Roman" w:eastAsia="宋体" w:cs="Times New Roman"/>
                      <w:i w:val="0"/>
                      <w:iCs w:val="0"/>
                      <w:color w:val="auto"/>
                      <w:kern w:val="0"/>
                      <w:sz w:val="21"/>
                      <w:szCs w:val="21"/>
                      <w:highlight w:val="none"/>
                      <w:u w:val="none"/>
                      <w:vertAlign w:val="baseline"/>
                      <w:lang w:val="en-US" w:eastAsia="zh-CN" w:bidi="ar"/>
                    </w:rPr>
                    <w:t>生产线条数；</w:t>
                  </w:r>
                </w:p>
                <w:p w14:paraId="17A611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cs="Times New Roman"/>
                      <w:i w:val="0"/>
                      <w:iCs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iCs w:val="0"/>
                      <w:color w:val="auto"/>
                      <w:kern w:val="0"/>
                      <w:sz w:val="21"/>
                      <w:szCs w:val="21"/>
                      <w:highlight w:val="none"/>
                      <w:u w:val="none"/>
                      <w:vertAlign w:val="baseline"/>
                      <w:lang w:val="en-US" w:eastAsia="zh-CN" w:bidi="ar"/>
                    </w:rPr>
                    <w:t>④年最大处理铝卷</w:t>
                  </w:r>
                  <w:r>
                    <w:rPr>
                      <w:rFonts w:hint="default" w:ascii="Times New Roman" w:hAnsi="Times New Roman" w:cs="Times New Roman"/>
                      <w:i w:val="0"/>
                      <w:iCs w:val="0"/>
                      <w:color w:val="auto"/>
                      <w:kern w:val="0"/>
                      <w:sz w:val="21"/>
                      <w:szCs w:val="21"/>
                      <w:highlight w:val="none"/>
                      <w:u w:val="none"/>
                      <w:vertAlign w:val="baseline"/>
                      <w:lang w:val="en-US" w:eastAsia="zh-CN" w:bidi="ar"/>
                    </w:rPr>
                    <w:t>面积</w:t>
                  </w:r>
                  <w:r>
                    <w:rPr>
                      <w:rFonts w:hint="default" w:ascii="Times New Roman" w:hAnsi="Times New Roman" w:eastAsia="宋体" w:cs="Times New Roman"/>
                      <w:i w:val="0"/>
                      <w:iCs w:val="0"/>
                      <w:color w:val="auto"/>
                      <w:kern w:val="0"/>
                      <w:sz w:val="21"/>
                      <w:szCs w:val="21"/>
                      <w:highlight w:val="none"/>
                      <w:u w:val="none"/>
                      <w:vertAlign w:val="baseline"/>
                      <w:lang w:val="en-US" w:eastAsia="zh-CN" w:bidi="ar"/>
                    </w:rPr>
                    <w:t>=单件工件面积×年处理工件数</w:t>
                  </w:r>
                  <w:r>
                    <w:rPr>
                      <w:rFonts w:hint="eastAsia" w:ascii="Times New Roman" w:hAnsi="Times New Roman" w:cs="Times New Roman"/>
                      <w:i w:val="0"/>
                      <w:iCs w:val="0"/>
                      <w:color w:val="auto"/>
                      <w:kern w:val="0"/>
                      <w:sz w:val="21"/>
                      <w:szCs w:val="21"/>
                      <w:highlight w:val="none"/>
                      <w:u w:val="none"/>
                      <w:vertAlign w:val="baseline"/>
                      <w:lang w:val="en-US" w:eastAsia="zh-CN" w:bidi="ar"/>
                    </w:rPr>
                    <w:t>；</w:t>
                  </w:r>
                </w:p>
                <w:p w14:paraId="3CF9E4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ascii="Times New Roman" w:hAnsi="Times New Roman" w:cs="Times New Roman"/>
                      <w:i w:val="0"/>
                      <w:iCs w:val="0"/>
                      <w:color w:val="auto"/>
                      <w:kern w:val="0"/>
                      <w:sz w:val="21"/>
                      <w:szCs w:val="21"/>
                      <w:highlight w:val="none"/>
                      <w:u w:val="none"/>
                      <w:vertAlign w:val="baseline"/>
                      <w:lang w:val="en-US" w:eastAsia="zh-CN" w:bidi="ar"/>
                    </w:rPr>
                  </w:pPr>
                  <w:r>
                    <w:rPr>
                      <w:rFonts w:hint="default" w:ascii="Times New Roman" w:hAnsi="Times New Roman" w:cs="Times New Roman"/>
                      <w:i w:val="0"/>
                      <w:iCs w:val="0"/>
                      <w:color w:val="auto"/>
                      <w:kern w:val="0"/>
                      <w:sz w:val="21"/>
                      <w:szCs w:val="21"/>
                      <w:highlight w:val="none"/>
                      <w:u w:val="none"/>
                      <w:vertAlign w:val="baseline"/>
                      <w:lang w:val="en-US" w:eastAsia="zh-CN" w:bidi="ar"/>
                    </w:rPr>
                    <w:t>⑤铝卷进入预处理线喷淋处理正反两面均可进行表面处理，表面处理面积按铝卷正反两面面积计算（忽略厚度面积），计算得</w:t>
                  </w:r>
                  <w:r>
                    <w:rPr>
                      <w:rFonts w:hint="eastAsia" w:cs="Times New Roman"/>
                      <w:i w:val="0"/>
                      <w:iCs w:val="0"/>
                      <w:color w:val="auto"/>
                      <w:kern w:val="0"/>
                      <w:sz w:val="21"/>
                      <w:szCs w:val="21"/>
                      <w:highlight w:val="none"/>
                      <w:u w:val="none"/>
                      <w:vertAlign w:val="baseline"/>
                      <w:lang w:val="en-US" w:eastAsia="zh-CN" w:bidi="ar"/>
                    </w:rPr>
                    <w:t>本</w:t>
                  </w:r>
                  <w:r>
                    <w:rPr>
                      <w:rFonts w:hint="default" w:ascii="Times New Roman" w:hAnsi="Times New Roman" w:cs="Times New Roman"/>
                      <w:i w:val="0"/>
                      <w:iCs w:val="0"/>
                      <w:color w:val="auto"/>
                      <w:kern w:val="0"/>
                      <w:sz w:val="21"/>
                      <w:szCs w:val="21"/>
                      <w:highlight w:val="none"/>
                      <w:u w:val="none"/>
                      <w:vertAlign w:val="baseline"/>
                      <w:lang w:val="en-US" w:eastAsia="zh-CN" w:bidi="ar"/>
                    </w:rPr>
                    <w:t>项目表面处理面积为</w:t>
                  </w:r>
                  <w:r>
                    <w:rPr>
                      <w:rFonts w:hint="eastAsia" w:ascii="Times New Roman" w:hAnsi="Times New Roman" w:cs="Times New Roman"/>
                      <w:i w:val="0"/>
                      <w:iCs w:val="0"/>
                      <w:color w:val="auto"/>
                      <w:kern w:val="0"/>
                      <w:sz w:val="21"/>
                      <w:szCs w:val="21"/>
                      <w:highlight w:val="none"/>
                      <w:u w:val="none"/>
                      <w:vertAlign w:val="baseline"/>
                      <w:lang w:val="en-US" w:eastAsia="zh-CN" w:bidi="ar"/>
                    </w:rPr>
                    <w:t>11</w:t>
                  </w:r>
                  <w:r>
                    <w:rPr>
                      <w:rFonts w:hint="default" w:ascii="Times New Roman" w:hAnsi="Times New Roman" w:cs="Times New Roman"/>
                      <w:i w:val="0"/>
                      <w:iCs w:val="0"/>
                      <w:color w:val="auto"/>
                      <w:kern w:val="0"/>
                      <w:sz w:val="21"/>
                      <w:szCs w:val="21"/>
                      <w:highlight w:val="none"/>
                      <w:u w:val="none"/>
                      <w:vertAlign w:val="baseline"/>
                      <w:lang w:val="en-US" w:eastAsia="zh-CN" w:bidi="ar"/>
                    </w:rPr>
                    <w:t>0万m</w:t>
                  </w:r>
                  <w:r>
                    <w:rPr>
                      <w:rFonts w:hint="default" w:ascii="Times New Roman" w:hAnsi="Times New Roman" w:cs="Times New Roman"/>
                      <w:i w:val="0"/>
                      <w:iCs w:val="0"/>
                      <w:color w:val="auto"/>
                      <w:kern w:val="0"/>
                      <w:sz w:val="21"/>
                      <w:szCs w:val="21"/>
                      <w:highlight w:val="none"/>
                      <w:u w:val="none"/>
                      <w:vertAlign w:val="superscript"/>
                      <w:lang w:val="en-US" w:eastAsia="zh-CN" w:bidi="ar"/>
                    </w:rPr>
                    <w:t>2</w:t>
                  </w:r>
                  <w:r>
                    <w:rPr>
                      <w:rFonts w:hint="default" w:ascii="Times New Roman" w:hAnsi="Times New Roman" w:cs="Times New Roman"/>
                      <w:i w:val="0"/>
                      <w:iCs w:val="0"/>
                      <w:color w:val="auto"/>
                      <w:kern w:val="0"/>
                      <w:sz w:val="21"/>
                      <w:szCs w:val="21"/>
                      <w:highlight w:val="none"/>
                      <w:u w:val="none"/>
                      <w:vertAlign w:val="baseline"/>
                      <w:lang w:val="en-US" w:eastAsia="zh-CN" w:bidi="ar"/>
                    </w:rPr>
                    <w:t>×2=</w:t>
                  </w:r>
                  <w:r>
                    <w:rPr>
                      <w:rFonts w:hint="eastAsia" w:ascii="Times New Roman" w:hAnsi="Times New Roman" w:cs="Times New Roman"/>
                      <w:i w:val="0"/>
                      <w:iCs w:val="0"/>
                      <w:color w:val="auto"/>
                      <w:kern w:val="0"/>
                      <w:sz w:val="21"/>
                      <w:szCs w:val="21"/>
                      <w:highlight w:val="none"/>
                      <w:u w:val="none"/>
                      <w:vertAlign w:val="baseline"/>
                      <w:lang w:val="en-US" w:eastAsia="zh-CN" w:bidi="ar"/>
                    </w:rPr>
                    <w:t>22</w:t>
                  </w:r>
                  <w:r>
                    <w:rPr>
                      <w:rFonts w:hint="default" w:ascii="Times New Roman" w:hAnsi="Times New Roman" w:cs="Times New Roman"/>
                      <w:i w:val="0"/>
                      <w:iCs w:val="0"/>
                      <w:color w:val="auto"/>
                      <w:kern w:val="0"/>
                      <w:sz w:val="21"/>
                      <w:szCs w:val="21"/>
                      <w:highlight w:val="none"/>
                      <w:u w:val="none"/>
                      <w:vertAlign w:val="baseline"/>
                      <w:lang w:val="en-US" w:eastAsia="zh-CN" w:bidi="ar"/>
                    </w:rPr>
                    <w:t>0万m</w:t>
                  </w:r>
                  <w:r>
                    <w:rPr>
                      <w:rFonts w:hint="default" w:ascii="Times New Roman" w:hAnsi="Times New Roman" w:cs="Times New Roman"/>
                      <w:i w:val="0"/>
                      <w:iCs w:val="0"/>
                      <w:color w:val="auto"/>
                      <w:kern w:val="0"/>
                      <w:sz w:val="21"/>
                      <w:szCs w:val="21"/>
                      <w:highlight w:val="none"/>
                      <w:u w:val="none"/>
                      <w:vertAlign w:val="superscript"/>
                      <w:lang w:val="en-US" w:eastAsia="zh-CN" w:bidi="ar"/>
                    </w:rPr>
                    <w:t>2</w:t>
                  </w:r>
                </w:p>
              </w:tc>
            </w:tr>
          </w:tbl>
          <w:p w14:paraId="6BAF0006">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01E4D3D0">
            <w:pPr>
              <w:widowControl/>
              <w:kinsoku/>
              <w:autoSpaceDE/>
              <w:autoSpaceDN/>
              <w:adjustRightInd/>
              <w:snapToGrid/>
              <w:spacing w:line="360" w:lineRule="auto"/>
              <w:ind w:firstLine="480" w:firstLineChars="200"/>
              <w:jc w:val="left"/>
              <w:textAlignment w:val="auto"/>
              <w:rPr>
                <w:rFonts w:hint="default" w:ascii="Times New Roman" w:hAnsi="Times New Roman" w:cs="Times New Roman"/>
                <w:color w:val="auto"/>
                <w:kern w:val="2"/>
                <w:sz w:val="24"/>
                <w:szCs w:val="24"/>
                <w:highlight w:val="none"/>
                <w:vertAlign w:val="baseline"/>
                <w:lang w:val="en-US" w:eastAsia="zh-CN" w:bidi="ar-SA"/>
              </w:rPr>
            </w:pPr>
            <w:r>
              <w:rPr>
                <w:rFonts w:hint="default" w:ascii="Times New Roman" w:hAnsi="Times New Roman" w:cs="Times New Roman"/>
                <w:color w:val="auto"/>
                <w:kern w:val="2"/>
                <w:sz w:val="24"/>
                <w:szCs w:val="24"/>
                <w:highlight w:val="none"/>
                <w:lang w:val="en-US" w:eastAsia="zh-CN" w:bidi="ar-SA"/>
              </w:rPr>
              <w:t>根据上表计算，本项目</w:t>
            </w:r>
            <w:r>
              <w:rPr>
                <w:rFonts w:hint="eastAsia" w:ascii="Times New Roman" w:hAnsi="Times New Roman" w:cs="Times New Roman"/>
                <w:color w:val="auto"/>
                <w:kern w:val="2"/>
                <w:sz w:val="24"/>
                <w:szCs w:val="24"/>
                <w:highlight w:val="none"/>
                <w:lang w:val="en-US" w:eastAsia="zh-CN" w:bidi="ar-SA"/>
              </w:rPr>
              <w:t>预</w:t>
            </w:r>
            <w:r>
              <w:rPr>
                <w:rFonts w:hint="default" w:ascii="Times New Roman" w:hAnsi="Times New Roman" w:cs="Times New Roman"/>
                <w:color w:val="auto"/>
                <w:kern w:val="2"/>
                <w:sz w:val="24"/>
                <w:szCs w:val="24"/>
                <w:highlight w:val="none"/>
                <w:lang w:val="en-US" w:eastAsia="zh-CN" w:bidi="ar-SA"/>
              </w:rPr>
              <w:t>处理线年最大可处理</w:t>
            </w:r>
            <w:r>
              <w:rPr>
                <w:rFonts w:hint="eastAsia" w:cs="Times New Roman"/>
                <w:color w:val="auto"/>
                <w:kern w:val="2"/>
                <w:sz w:val="24"/>
                <w:szCs w:val="24"/>
                <w:highlight w:val="none"/>
                <w:lang w:val="en-US" w:eastAsia="zh-CN" w:bidi="ar-SA"/>
              </w:rPr>
              <w:t>工件面积</w:t>
            </w:r>
            <w:r>
              <w:rPr>
                <w:rFonts w:hint="default" w:ascii="Times New Roman" w:hAnsi="Times New Roman" w:cs="Times New Roman"/>
                <w:color w:val="auto"/>
                <w:kern w:val="2"/>
                <w:sz w:val="24"/>
                <w:szCs w:val="24"/>
                <w:highlight w:val="none"/>
                <w:lang w:val="en-US" w:eastAsia="zh-CN" w:bidi="ar-SA"/>
              </w:rPr>
              <w:t>为</w:t>
            </w:r>
            <w:r>
              <w:rPr>
                <w:rFonts w:hint="eastAsia" w:cs="Times New Roman"/>
                <w:color w:val="auto"/>
                <w:kern w:val="2"/>
                <w:sz w:val="24"/>
                <w:szCs w:val="24"/>
                <w:highlight w:val="none"/>
                <w:lang w:val="en-US" w:eastAsia="zh-CN" w:bidi="ar-SA"/>
              </w:rPr>
              <w:t>235.4</w:t>
            </w:r>
            <w:r>
              <w:rPr>
                <w:rFonts w:hint="default" w:ascii="Times New Roman" w:hAnsi="Times New Roman" w:cs="Times New Roman"/>
                <w:color w:val="auto"/>
                <w:kern w:val="2"/>
                <w:sz w:val="24"/>
                <w:szCs w:val="24"/>
                <w:highlight w:val="none"/>
                <w:vertAlign w:val="baseline"/>
                <w:lang w:val="en-US" w:eastAsia="zh-CN" w:bidi="ar-SA"/>
              </w:rPr>
              <w:t>万</w:t>
            </w:r>
            <w:r>
              <w:rPr>
                <w:rFonts w:hint="default" w:ascii="Times New Roman" w:hAnsi="Times New Roman" w:cs="Times New Roman"/>
                <w:color w:val="auto"/>
                <w:kern w:val="2"/>
                <w:sz w:val="24"/>
                <w:szCs w:val="24"/>
                <w:highlight w:val="none"/>
                <w:lang w:val="en-US" w:eastAsia="zh-CN" w:bidi="ar-SA"/>
              </w:rPr>
              <w:t>m</w:t>
            </w:r>
            <w:r>
              <w:rPr>
                <w:rFonts w:hint="default" w:ascii="Times New Roman" w:hAnsi="Times New Roman" w:cs="Times New Roman"/>
                <w:color w:val="auto"/>
                <w:kern w:val="2"/>
                <w:sz w:val="24"/>
                <w:szCs w:val="24"/>
                <w:highlight w:val="none"/>
                <w:vertAlign w:val="superscript"/>
                <w:lang w:val="en-US" w:eastAsia="zh-CN" w:bidi="ar-SA"/>
              </w:rPr>
              <w:t>2</w:t>
            </w:r>
            <w:r>
              <w:rPr>
                <w:rFonts w:hint="default" w:ascii="Times New Roman" w:hAnsi="Times New Roman" w:cs="Times New Roman"/>
                <w:color w:val="auto"/>
                <w:kern w:val="2"/>
                <w:sz w:val="24"/>
                <w:szCs w:val="24"/>
                <w:highlight w:val="none"/>
                <w:vertAlign w:val="baseline"/>
                <w:lang w:val="en-US" w:eastAsia="zh-CN" w:bidi="ar-SA"/>
              </w:rPr>
              <w:t>，可满足本项目设计</w:t>
            </w:r>
            <w:r>
              <w:rPr>
                <w:rFonts w:hint="eastAsia" w:cs="Times New Roman"/>
                <w:color w:val="auto"/>
                <w:kern w:val="2"/>
                <w:sz w:val="24"/>
                <w:szCs w:val="24"/>
                <w:highlight w:val="none"/>
                <w:vertAlign w:val="baseline"/>
                <w:lang w:val="en-US" w:eastAsia="zh-CN" w:bidi="ar-SA"/>
              </w:rPr>
              <w:t>工件22</w:t>
            </w:r>
            <w:r>
              <w:rPr>
                <w:rFonts w:hint="default" w:ascii="Times New Roman" w:hAnsi="Times New Roman" w:cs="Times New Roman"/>
                <w:color w:val="auto"/>
                <w:kern w:val="2"/>
                <w:sz w:val="24"/>
                <w:szCs w:val="24"/>
                <w:highlight w:val="none"/>
                <w:vertAlign w:val="baseline"/>
                <w:lang w:val="en-US" w:eastAsia="zh-CN" w:bidi="ar-SA"/>
              </w:rPr>
              <w:t>0万m</w:t>
            </w:r>
            <w:r>
              <w:rPr>
                <w:rFonts w:hint="default" w:ascii="Times New Roman" w:hAnsi="Times New Roman" w:cs="Times New Roman"/>
                <w:color w:val="auto"/>
                <w:kern w:val="2"/>
                <w:sz w:val="24"/>
                <w:szCs w:val="24"/>
                <w:highlight w:val="none"/>
                <w:vertAlign w:val="superscript"/>
                <w:lang w:val="en-US" w:eastAsia="zh-CN" w:bidi="ar-SA"/>
              </w:rPr>
              <w:t>2</w:t>
            </w:r>
            <w:r>
              <w:rPr>
                <w:rFonts w:hint="default" w:ascii="Times New Roman" w:hAnsi="Times New Roman" w:cs="Times New Roman"/>
                <w:color w:val="auto"/>
                <w:kern w:val="2"/>
                <w:sz w:val="24"/>
                <w:szCs w:val="24"/>
                <w:highlight w:val="none"/>
                <w:vertAlign w:val="baseline"/>
                <w:lang w:val="en-US" w:eastAsia="zh-CN" w:bidi="ar-SA"/>
              </w:rPr>
              <w:t>的产能需求，设备产能与设计产能匹配。</w:t>
            </w:r>
          </w:p>
          <w:p w14:paraId="067B1724">
            <w:pPr>
              <w:widowControl/>
              <w:kinsoku/>
              <w:autoSpaceDE/>
              <w:autoSpaceDN/>
              <w:adjustRightInd/>
              <w:snapToGrid/>
              <w:spacing w:line="360" w:lineRule="auto"/>
              <w:ind w:firstLine="482" w:firstLineChars="200"/>
              <w:jc w:val="left"/>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rPr>
              <w:t>原辅材料用量及</w:t>
            </w:r>
            <w:r>
              <w:rPr>
                <w:rFonts w:hint="eastAsia" w:ascii="Times New Roman" w:hAnsi="Times New Roman" w:cs="Times New Roman"/>
                <w:b/>
                <w:bCs/>
                <w:color w:val="auto"/>
                <w:sz w:val="24"/>
                <w:szCs w:val="24"/>
                <w:highlight w:val="none"/>
                <w:lang w:val="en-US" w:eastAsia="zh-CN"/>
              </w:rPr>
              <w:t>理化特性</w:t>
            </w:r>
          </w:p>
          <w:p w14:paraId="48162449">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auto"/>
                <w:spacing w:val="-1"/>
                <w:sz w:val="24"/>
                <w:szCs w:val="24"/>
                <w:highlight w:val="none"/>
              </w:rPr>
            </w:pPr>
            <w:r>
              <w:rPr>
                <w:rFonts w:hint="default" w:ascii="Times New Roman" w:hAnsi="Times New Roman" w:eastAsia="宋体" w:cs="Times New Roman"/>
                <w:b/>
                <w:bCs/>
                <w:color w:val="auto"/>
                <w:spacing w:val="-1"/>
                <w:sz w:val="24"/>
                <w:szCs w:val="24"/>
                <w:highlight w:val="none"/>
              </w:rPr>
              <w:t>（1）原辅材料用量</w:t>
            </w:r>
          </w:p>
          <w:p w14:paraId="2439B5FD">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本项目原辅材料种类及年用量见下表。</w:t>
            </w:r>
          </w:p>
          <w:p w14:paraId="441CFCD0">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原辅材料一览表</w:t>
            </w:r>
          </w:p>
          <w:tbl>
            <w:tblPr>
              <w:tblStyle w:val="48"/>
              <w:tblW w:w="497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4"/>
              <w:gridCol w:w="1324"/>
              <w:gridCol w:w="982"/>
              <w:gridCol w:w="871"/>
              <w:gridCol w:w="457"/>
              <w:gridCol w:w="694"/>
              <w:gridCol w:w="1374"/>
              <w:gridCol w:w="1050"/>
              <w:gridCol w:w="1161"/>
            </w:tblGrid>
            <w:tr w14:paraId="3C9D7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A03240C">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序号</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118740EE">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名称</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11D69386">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年用量</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AD2ABC9">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最大贮存量</w:t>
                  </w:r>
                </w:p>
              </w:tc>
              <w:tc>
                <w:tcPr>
                  <w:tcW w:w="274" w:type="pct"/>
                  <w:tcBorders>
                    <w:top w:val="single" w:color="000000" w:sz="4" w:space="0"/>
                    <w:left w:val="single" w:color="000000" w:sz="4" w:space="0"/>
                    <w:bottom w:val="single" w:color="000000" w:sz="4" w:space="0"/>
                    <w:right w:val="single" w:color="000000" w:sz="4" w:space="0"/>
                  </w:tcBorders>
                  <w:noWrap w:val="0"/>
                  <w:vAlign w:val="center"/>
                </w:tcPr>
                <w:p w14:paraId="663E36A8">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单位</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4AEAB96A">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形态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5E9028B8">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型号/规格</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17ACBCB1">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使用环节</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50C2A817">
                  <w:pPr>
                    <w:adjustRightInd w:val="0"/>
                    <w:snapToGrid w:val="0"/>
                    <w:spacing w:line="240" w:lineRule="auto"/>
                    <w:jc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贮存位置</w:t>
                  </w:r>
                </w:p>
              </w:tc>
            </w:tr>
            <w:tr w14:paraId="3FE8C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9081D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D4518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铝卷</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1F99D7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8910</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38BAE7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1350</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3D4D60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70FF0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58FE508B">
                  <w:pPr>
                    <w:keepNext w:val="0"/>
                    <w:keepLines w:val="0"/>
                    <w:pageBreakBefore w:val="0"/>
                    <w:widowControl/>
                    <w:suppressLineNumbers w:val="0"/>
                    <w:kinsoku/>
                    <w:wordWrap w:val="0"/>
                    <w:overflowPunct/>
                    <w:topLinePunct/>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1001</w:t>
                  </w: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3003型3mm（厚）×1</w:t>
                  </w:r>
                  <w:r>
                    <w:rPr>
                      <w:rFonts w:hint="eastAsia" w:ascii="Times New Roman" w:hAnsi="Times New Roman" w:eastAsia="宋体"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00mm（宽）</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48C87F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工件表面预处理</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ascii="Times New Roman" w:hAnsi="Times New Roman" w:eastAsia="宋体" w:cs="Times New Roman"/>
                      <w:i w:val="0"/>
                      <w:iCs w:val="0"/>
                      <w:color w:val="auto"/>
                      <w:kern w:val="0"/>
                      <w:sz w:val="21"/>
                      <w:szCs w:val="21"/>
                      <w:highlight w:val="none"/>
                      <w:u w:val="none"/>
                      <w:lang w:val="en-US" w:eastAsia="zh-CN" w:bidi="ar"/>
                    </w:rPr>
                    <w:t>机加工</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444DC6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物料仓库（</w:t>
                  </w:r>
                  <w:r>
                    <w:rPr>
                      <w:rFonts w:hint="eastAsia" w:ascii="Times New Roman" w:hAnsi="Times New Roman" w:eastAsia="宋体" w:cs="Times New Roman"/>
                      <w:i w:val="0"/>
                      <w:iCs w:val="0"/>
                      <w:color w:val="auto"/>
                      <w:kern w:val="0"/>
                      <w:sz w:val="21"/>
                      <w:szCs w:val="21"/>
                      <w:highlight w:val="none"/>
                      <w:u w:val="none"/>
                      <w:lang w:val="en-US" w:eastAsia="zh-CN" w:bidi="ar"/>
                    </w:rPr>
                    <w:t>5</w:t>
                  </w:r>
                  <w:r>
                    <w:rPr>
                      <w:rFonts w:hint="default" w:ascii="Times New Roman" w:hAnsi="Times New Roman" w:eastAsia="宋体" w:cs="Times New Roman"/>
                      <w:i w:val="0"/>
                      <w:iCs w:val="0"/>
                      <w:color w:val="auto"/>
                      <w:kern w:val="0"/>
                      <w:sz w:val="21"/>
                      <w:szCs w:val="21"/>
                      <w:highlight w:val="none"/>
                      <w:u w:val="none"/>
                      <w:lang w:val="en-US" w:eastAsia="zh-CN" w:bidi="ar"/>
                    </w:rPr>
                    <w:t>#厂房）</w:t>
                  </w:r>
                </w:p>
              </w:tc>
            </w:tr>
            <w:tr w14:paraId="3FB8B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9C688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57B64F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天然气</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09AB26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18.2248</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4161DB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0.00032t</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22B6D9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万</w:t>
                  </w:r>
                  <w:r>
                    <w:rPr>
                      <w:rFonts w:hint="default" w:ascii="Times New Roman" w:hAnsi="Times New Roman" w:eastAsia="宋体" w:cs="Times New Roman"/>
                      <w:i w:val="0"/>
                      <w:iCs w:val="0"/>
                      <w:color w:val="auto"/>
                      <w:kern w:val="0"/>
                      <w:sz w:val="21"/>
                      <w:szCs w:val="21"/>
                      <w:highlight w:val="none"/>
                      <w:u w:val="none"/>
                      <w:lang w:val="en-US" w:eastAsia="zh-CN" w:bidi="ar"/>
                    </w:rPr>
                    <w:t>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3</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C3F5C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气态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F0979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0.7174kg/m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3</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657FF8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烘干、</w:t>
                  </w:r>
                  <w:r>
                    <w:rPr>
                      <w:rFonts w:hint="eastAsia" w:ascii="Times New Roman" w:hAnsi="Times New Roman" w:eastAsia="宋体" w:cs="Times New Roman"/>
                      <w:i w:val="0"/>
                      <w:iCs w:val="0"/>
                      <w:color w:val="auto"/>
                      <w:kern w:val="0"/>
                      <w:sz w:val="21"/>
                      <w:szCs w:val="21"/>
                      <w:highlight w:val="none"/>
                      <w:u w:val="none"/>
                      <w:lang w:val="en-US" w:eastAsia="zh-CN" w:bidi="ar"/>
                    </w:rPr>
                    <w:t>固化</w:t>
                  </w:r>
                </w:p>
              </w:tc>
              <w:tc>
                <w:tcPr>
                  <w:tcW w:w="690" w:type="pct"/>
                  <w:tcBorders>
                    <w:top w:val="single" w:color="000000" w:sz="4" w:space="0"/>
                    <w:left w:val="single" w:color="000000" w:sz="4" w:space="0"/>
                    <w:bottom w:val="single" w:color="000000" w:sz="4" w:space="0"/>
                    <w:right w:val="single" w:color="000000" w:sz="4" w:space="0"/>
                  </w:tcBorders>
                  <w:noWrap w:val="0"/>
                  <w:vAlign w:val="center"/>
                </w:tcPr>
                <w:p w14:paraId="58054A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管道内</w:t>
                  </w:r>
                </w:p>
              </w:tc>
            </w:tr>
            <w:tr w14:paraId="7AD2D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2BD55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CF882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除油剂</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3C3F8B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u w:val="none"/>
                      <w:lang w:val="en-US" w:eastAsia="zh-CN" w:bidi="ar"/>
                    </w:rPr>
                    <w:t>27.746</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9035E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6BC7EF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36A1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03A97F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restart"/>
                  <w:tcBorders>
                    <w:top w:val="single" w:color="000000" w:sz="4" w:space="0"/>
                    <w:left w:val="single" w:color="000000" w:sz="4" w:space="0"/>
                    <w:right w:val="single" w:color="000000" w:sz="4" w:space="0"/>
                  </w:tcBorders>
                  <w:noWrap w:val="0"/>
                  <w:vAlign w:val="center"/>
                </w:tcPr>
                <w:p w14:paraId="078343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工件表面预处理</w:t>
                  </w:r>
                </w:p>
              </w:tc>
              <w:tc>
                <w:tcPr>
                  <w:tcW w:w="690" w:type="pct"/>
                  <w:vMerge w:val="restart"/>
                  <w:tcBorders>
                    <w:top w:val="single" w:color="000000" w:sz="4" w:space="0"/>
                    <w:left w:val="single" w:color="000000" w:sz="4" w:space="0"/>
                    <w:right w:val="single" w:color="000000" w:sz="4" w:space="0"/>
                  </w:tcBorders>
                  <w:noWrap w:val="0"/>
                  <w:vAlign w:val="center"/>
                </w:tcPr>
                <w:p w14:paraId="62D86E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1#厂房</w:t>
                  </w:r>
                  <w:r>
                    <w:rPr>
                      <w:rFonts w:hint="default" w:ascii="Times New Roman" w:hAnsi="Times New Roman" w:cs="Times New Roman"/>
                      <w:i w:val="0"/>
                      <w:iCs w:val="0"/>
                      <w:color w:val="auto"/>
                      <w:kern w:val="0"/>
                      <w:sz w:val="21"/>
                      <w:szCs w:val="21"/>
                      <w:highlight w:val="none"/>
                      <w:u w:val="none"/>
                      <w:lang w:val="en-US" w:eastAsia="zh-CN" w:bidi="ar"/>
                    </w:rPr>
                    <w:t>化学品仓</w:t>
                  </w:r>
                </w:p>
              </w:tc>
            </w:tr>
            <w:tr w14:paraId="3BABB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6F0FD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DA798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无铬钝化剂</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7E19773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u w:val="none"/>
                      <w:lang w:val="en-US" w:eastAsia="zh-CN" w:bidi="ar"/>
                    </w:rPr>
                    <w:t>3.750</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E42949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3A5CF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1D95B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90118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continue"/>
                  <w:tcBorders>
                    <w:left w:val="single" w:color="000000" w:sz="4" w:space="0"/>
                    <w:bottom w:val="single" w:color="000000" w:sz="4" w:space="0"/>
                    <w:right w:val="single" w:color="000000" w:sz="4" w:space="0"/>
                  </w:tcBorders>
                  <w:noWrap w:val="0"/>
                  <w:vAlign w:val="center"/>
                </w:tcPr>
                <w:p w14:paraId="327BA1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5B1054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60F9A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5A8AD2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71328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稀释剂</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425CF4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1.249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57B06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0.11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CE7CD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29EE5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5C67DE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restart"/>
                  <w:tcBorders>
                    <w:top w:val="single" w:color="000000" w:sz="4" w:space="0"/>
                    <w:left w:val="single" w:color="000000" w:sz="4" w:space="0"/>
                    <w:right w:val="single" w:color="000000" w:sz="4" w:space="0"/>
                  </w:tcBorders>
                  <w:noWrap w:val="0"/>
                  <w:vAlign w:val="center"/>
                </w:tcPr>
                <w:p w14:paraId="53C436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喷涂、固化</w:t>
                  </w:r>
                </w:p>
              </w:tc>
              <w:tc>
                <w:tcPr>
                  <w:tcW w:w="690" w:type="pct"/>
                  <w:vMerge w:val="continue"/>
                  <w:tcBorders>
                    <w:left w:val="single" w:color="000000" w:sz="4" w:space="0"/>
                    <w:right w:val="single" w:color="000000" w:sz="4" w:space="0"/>
                  </w:tcBorders>
                  <w:noWrap w:val="0"/>
                  <w:vAlign w:val="center"/>
                </w:tcPr>
                <w:p w14:paraId="775C7F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5A3BC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1826C4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75A879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底漆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12FC08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4.186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219073D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0.18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6A8795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CDD25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18F181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continue"/>
                  <w:tcBorders>
                    <w:left w:val="single" w:color="000000" w:sz="4" w:space="0"/>
                    <w:right w:val="single" w:color="000000" w:sz="4" w:space="0"/>
                  </w:tcBorders>
                  <w:noWrap w:val="0"/>
                  <w:vAlign w:val="center"/>
                </w:tcPr>
                <w:p w14:paraId="4C9E6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72CD1B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4C9A6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45B9D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DD3DA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面漆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77FD42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3.359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3039A77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0.35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9C97F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13683F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638975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continue"/>
                  <w:tcBorders>
                    <w:left w:val="single" w:color="000000" w:sz="4" w:space="0"/>
                    <w:right w:val="single" w:color="000000" w:sz="4" w:space="0"/>
                  </w:tcBorders>
                  <w:noWrap w:val="0"/>
                  <w:vAlign w:val="center"/>
                </w:tcPr>
                <w:p w14:paraId="0494F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5298E8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59062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4492A0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8</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F1D7E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清漆</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5073AFD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1.057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332C58F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0.13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66D2B3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3B204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2F5DC3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continue"/>
                  <w:tcBorders>
                    <w:left w:val="single" w:color="000000" w:sz="4" w:space="0"/>
                    <w:right w:val="single" w:color="000000" w:sz="4" w:space="0"/>
                  </w:tcBorders>
                  <w:noWrap w:val="0"/>
                  <w:vAlign w:val="center"/>
                </w:tcPr>
                <w:p w14:paraId="2D3E61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19DD9F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45838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1E2D9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9</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A9309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sz w:val="21"/>
                      <w:szCs w:val="21"/>
                      <w:highlight w:val="none"/>
                      <w:u w:val="none"/>
                      <w:lang w:val="en-US" w:eastAsia="zh-CN"/>
                    </w:rPr>
                    <w:t>粉末涂料</w:t>
                  </w:r>
                </w:p>
              </w:tc>
              <w:tc>
                <w:tcPr>
                  <w:tcW w:w="983" w:type="dxa"/>
                  <w:tcBorders>
                    <w:top w:val="single" w:color="000000" w:sz="4" w:space="0"/>
                    <w:left w:val="single" w:color="000000" w:sz="4" w:space="0"/>
                    <w:bottom w:val="single" w:color="000000" w:sz="4" w:space="0"/>
                    <w:right w:val="single" w:color="000000" w:sz="4" w:space="0"/>
                  </w:tcBorders>
                  <w:noWrap w:val="0"/>
                  <w:vAlign w:val="center"/>
                </w:tcPr>
                <w:p w14:paraId="478431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105.857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023A1B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7.79 </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0C4D5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DEEE1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4D60A0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w:t>
                  </w:r>
                  <w:r>
                    <w:rPr>
                      <w:rFonts w:hint="eastAsia" w:ascii="Times New Roman" w:hAnsi="Times New Roman" w:eastAsia="宋体" w:cs="Times New Roman"/>
                      <w:i w:val="0"/>
                      <w:iCs w:val="0"/>
                      <w:color w:val="auto"/>
                      <w:kern w:val="0"/>
                      <w:sz w:val="21"/>
                      <w:szCs w:val="21"/>
                      <w:highlight w:val="none"/>
                      <w:u w:val="none"/>
                      <w:lang w:val="en-US" w:eastAsia="zh-CN" w:bidi="ar"/>
                    </w:rPr>
                    <w:t>箱</w:t>
                  </w:r>
                </w:p>
              </w:tc>
              <w:tc>
                <w:tcPr>
                  <w:tcW w:w="629" w:type="pct"/>
                  <w:vMerge w:val="continue"/>
                  <w:tcBorders>
                    <w:left w:val="single" w:color="000000" w:sz="4" w:space="0"/>
                    <w:right w:val="single" w:color="000000" w:sz="4" w:space="0"/>
                  </w:tcBorders>
                  <w:noWrap w:val="0"/>
                  <w:vAlign w:val="center"/>
                </w:tcPr>
                <w:p w14:paraId="525580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1A78AC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1573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4"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30F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10</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323241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u w:val="none"/>
                      <w:lang w:val="en-US" w:eastAsia="zh-CN" w:bidi="ar"/>
                    </w:rPr>
                    <w:t>清洗剂</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19BD6D3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12092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8280E7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53687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1D810E4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w:t>
                  </w:r>
                  <w:r>
                    <w:rPr>
                      <w:rFonts w:hint="eastAsia" w:cs="Times New Roman"/>
                      <w:i w:val="0"/>
                      <w:iCs w:val="0"/>
                      <w:color w:val="auto"/>
                      <w:kern w:val="0"/>
                      <w:sz w:val="21"/>
                      <w:szCs w:val="21"/>
                      <w:u w:val="none"/>
                      <w:lang w:val="en-US" w:eastAsia="zh-CN" w:bidi="ar"/>
                    </w:rPr>
                    <w:t>k</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桶</w:t>
                  </w:r>
                </w:p>
              </w:tc>
              <w:tc>
                <w:tcPr>
                  <w:tcW w:w="629" w:type="pct"/>
                  <w:vMerge w:val="continue"/>
                  <w:tcBorders>
                    <w:left w:val="single" w:color="000000" w:sz="4" w:space="0"/>
                    <w:right w:val="single" w:color="000000" w:sz="4" w:space="0"/>
                  </w:tcBorders>
                  <w:noWrap w:val="0"/>
                  <w:vAlign w:val="center"/>
                </w:tcPr>
                <w:p w14:paraId="35742E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024631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07D80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2D6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11</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02F00C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焊丝</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4F7C51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18.563</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3288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42E56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3EBC8A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1C2B2F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w:t>
                  </w:r>
                  <w:r>
                    <w:rPr>
                      <w:rFonts w:hint="eastAsia" w:ascii="Times New Roman" w:hAnsi="Times New Roman" w:eastAsia="宋体" w:cs="Times New Roman"/>
                      <w:i w:val="0"/>
                      <w:iCs w:val="0"/>
                      <w:color w:val="auto"/>
                      <w:kern w:val="0"/>
                      <w:sz w:val="21"/>
                      <w:szCs w:val="21"/>
                      <w:highlight w:val="none"/>
                      <w:u w:val="none"/>
                      <w:lang w:val="en-US" w:eastAsia="zh-CN" w:bidi="ar"/>
                    </w:rPr>
                    <w:t>箱</w:t>
                  </w:r>
                </w:p>
              </w:tc>
              <w:tc>
                <w:tcPr>
                  <w:tcW w:w="629" w:type="pct"/>
                  <w:tcBorders>
                    <w:top w:val="single" w:color="000000" w:sz="4" w:space="0"/>
                    <w:left w:val="single" w:color="000000" w:sz="4" w:space="0"/>
                    <w:bottom w:val="single" w:color="000000" w:sz="4" w:space="0"/>
                    <w:right w:val="single" w:color="000000" w:sz="4" w:space="0"/>
                  </w:tcBorders>
                  <w:noWrap w:val="0"/>
                  <w:vAlign w:val="center"/>
                </w:tcPr>
                <w:p w14:paraId="5E5589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焊接</w:t>
                  </w:r>
                </w:p>
              </w:tc>
              <w:tc>
                <w:tcPr>
                  <w:tcW w:w="690" w:type="pct"/>
                  <w:vMerge w:val="continue"/>
                  <w:tcBorders>
                    <w:left w:val="single" w:color="000000" w:sz="4" w:space="0"/>
                    <w:bottom w:val="single" w:color="000000" w:sz="4" w:space="0"/>
                    <w:right w:val="single" w:color="000000" w:sz="4" w:space="0"/>
                  </w:tcBorders>
                  <w:noWrap w:val="0"/>
                  <w:vAlign w:val="center"/>
                </w:tcPr>
                <w:p w14:paraId="1405B3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71568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9F8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sz w:val="21"/>
                      <w:szCs w:val="21"/>
                      <w:highlight w:val="none"/>
                      <w:u w:val="none"/>
                      <w:lang w:val="en-US" w:eastAsia="zh-CN"/>
                    </w:rPr>
                    <w:t>12</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42E27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pH调整剂（硫酸70%）</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443638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0.2</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416DC5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2C0585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50073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97391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25kg/桶</w:t>
                  </w:r>
                </w:p>
              </w:tc>
              <w:tc>
                <w:tcPr>
                  <w:tcW w:w="629" w:type="pct"/>
                  <w:vMerge w:val="restart"/>
                  <w:tcBorders>
                    <w:top w:val="single" w:color="000000" w:sz="4" w:space="0"/>
                    <w:left w:val="single" w:color="000000" w:sz="4" w:space="0"/>
                    <w:right w:val="single" w:color="000000" w:sz="4" w:space="0"/>
                  </w:tcBorders>
                  <w:noWrap w:val="0"/>
                  <w:vAlign w:val="center"/>
                </w:tcPr>
                <w:p w14:paraId="6FA79C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自建污水处理站</w:t>
                  </w:r>
                </w:p>
              </w:tc>
              <w:tc>
                <w:tcPr>
                  <w:tcW w:w="690" w:type="pct"/>
                  <w:vMerge w:val="restart"/>
                  <w:tcBorders>
                    <w:top w:val="single" w:color="000000" w:sz="4" w:space="0"/>
                    <w:left w:val="single" w:color="000000" w:sz="4" w:space="0"/>
                    <w:right w:val="single" w:color="000000" w:sz="4" w:space="0"/>
                  </w:tcBorders>
                  <w:noWrap w:val="0"/>
                  <w:vAlign w:val="center"/>
                </w:tcPr>
                <w:p w14:paraId="4899C6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1#厂房</w:t>
                  </w:r>
                  <w:r>
                    <w:rPr>
                      <w:rFonts w:hint="default" w:ascii="Times New Roman" w:hAnsi="Times New Roman" w:cs="Times New Roman"/>
                      <w:i w:val="0"/>
                      <w:iCs w:val="0"/>
                      <w:color w:val="auto"/>
                      <w:kern w:val="0"/>
                      <w:sz w:val="21"/>
                      <w:szCs w:val="21"/>
                      <w:highlight w:val="none"/>
                      <w:u w:val="none"/>
                      <w:lang w:val="en-US" w:eastAsia="zh-CN" w:bidi="ar"/>
                    </w:rPr>
                    <w:t>化学品仓</w:t>
                  </w:r>
                </w:p>
              </w:tc>
            </w:tr>
            <w:tr w14:paraId="2EDC1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BF3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kern w:val="2"/>
                      <w:sz w:val="21"/>
                      <w:szCs w:val="21"/>
                      <w:highlight w:val="none"/>
                      <w:u w:val="none"/>
                      <w:lang w:val="en-US" w:eastAsia="zh-CN" w:bidi="ar-SA"/>
                    </w:rPr>
                    <w:t>13</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7C79F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PAC</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662D51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u w:val="none"/>
                      <w:lang w:val="en-US" w:eastAsia="zh-CN" w:bidi="ar"/>
                    </w:rPr>
                    <w:t>5</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89E8E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cs="Times New Roman"/>
                      <w:i w:val="0"/>
                      <w:iCs w:val="0"/>
                      <w:color w:val="auto"/>
                      <w:kern w:val="0"/>
                      <w:sz w:val="21"/>
                      <w:szCs w:val="21"/>
                      <w:highlight w:val="none"/>
                      <w:u w:val="none"/>
                      <w:lang w:val="en-US" w:eastAsia="zh-CN" w:bidi="ar"/>
                    </w:rPr>
                    <w:t>0.5</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5FD469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01B5FD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54046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25kg/袋</w:t>
                  </w:r>
                </w:p>
              </w:tc>
              <w:tc>
                <w:tcPr>
                  <w:tcW w:w="629" w:type="pct"/>
                  <w:vMerge w:val="continue"/>
                  <w:tcBorders>
                    <w:left w:val="single" w:color="000000" w:sz="4" w:space="0"/>
                    <w:right w:val="single" w:color="000000" w:sz="4" w:space="0"/>
                  </w:tcBorders>
                  <w:noWrap w:val="0"/>
                  <w:vAlign w:val="center"/>
                </w:tcPr>
                <w:p w14:paraId="2FFC55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797E3D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012D8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C9D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2"/>
                      <w:sz w:val="21"/>
                      <w:szCs w:val="21"/>
                      <w:highlight w:val="none"/>
                      <w:u w:val="none"/>
                      <w:lang w:val="en-US" w:eastAsia="zh-CN" w:bidi="ar-SA"/>
                    </w:rPr>
                    <w:t>14</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1C857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PAM</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681A73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5</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D0C64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75FC5C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88513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46BABB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25kg/袋</w:t>
                  </w:r>
                </w:p>
              </w:tc>
              <w:tc>
                <w:tcPr>
                  <w:tcW w:w="629" w:type="pct"/>
                  <w:vMerge w:val="continue"/>
                  <w:tcBorders>
                    <w:left w:val="single" w:color="000000" w:sz="4" w:space="0"/>
                    <w:right w:val="single" w:color="000000" w:sz="4" w:space="0"/>
                  </w:tcBorders>
                  <w:noWrap w:val="0"/>
                  <w:vAlign w:val="center"/>
                </w:tcPr>
                <w:p w14:paraId="46C368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left w:val="single" w:color="000000" w:sz="4" w:space="0"/>
                    <w:right w:val="single" w:color="000000" w:sz="4" w:space="0"/>
                  </w:tcBorders>
                  <w:noWrap w:val="0"/>
                  <w:vAlign w:val="center"/>
                </w:tcPr>
                <w:p w14:paraId="6B8E1E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794D4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0C2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15</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482DBA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氢氧化钠</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4D9DFE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1.2</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2DDE16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2CC0B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5542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3A26AD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25kg/袋</w:t>
                  </w:r>
                </w:p>
              </w:tc>
              <w:tc>
                <w:tcPr>
                  <w:tcW w:w="629" w:type="pct"/>
                  <w:vMerge w:val="continue"/>
                  <w:tcBorders>
                    <w:left w:val="single" w:color="000000" w:sz="4" w:space="0"/>
                    <w:right w:val="single" w:color="000000" w:sz="4" w:space="0"/>
                  </w:tcBorders>
                  <w:noWrap w:val="0"/>
                  <w:vAlign w:val="center"/>
                </w:tcPr>
                <w:p w14:paraId="07D900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90" w:type="pct"/>
                  <w:vMerge w:val="continue"/>
                  <w:tcBorders>
                    <w:left w:val="single" w:color="000000" w:sz="4" w:space="0"/>
                    <w:right w:val="single" w:color="000000" w:sz="4" w:space="0"/>
                  </w:tcBorders>
                  <w:noWrap w:val="0"/>
                  <w:vAlign w:val="center"/>
                </w:tcPr>
                <w:p w14:paraId="51F4DE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p>
              </w:tc>
            </w:tr>
            <w:tr w14:paraId="166C7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72A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16</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63B558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氯化钙</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1F6BCC6B">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6B30E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085264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5A9FB7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418E00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25kg/袋</w:t>
                  </w:r>
                </w:p>
              </w:tc>
              <w:tc>
                <w:tcPr>
                  <w:tcW w:w="629" w:type="pct"/>
                  <w:vMerge w:val="continue"/>
                  <w:tcBorders>
                    <w:left w:val="single" w:color="000000" w:sz="4" w:space="0"/>
                    <w:bottom w:val="single" w:color="000000" w:sz="4" w:space="0"/>
                    <w:right w:val="single" w:color="000000" w:sz="4" w:space="0"/>
                  </w:tcBorders>
                  <w:noWrap w:val="0"/>
                  <w:vAlign w:val="center"/>
                </w:tcPr>
                <w:p w14:paraId="25C261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90" w:type="pct"/>
                  <w:vMerge w:val="continue"/>
                  <w:tcBorders>
                    <w:left w:val="single" w:color="000000" w:sz="4" w:space="0"/>
                    <w:bottom w:val="single" w:color="000000" w:sz="4" w:space="0"/>
                    <w:right w:val="single" w:color="000000" w:sz="4" w:space="0"/>
                  </w:tcBorders>
                  <w:noWrap w:val="0"/>
                  <w:vAlign w:val="center"/>
                </w:tcPr>
                <w:p w14:paraId="768A73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p>
              </w:tc>
            </w:tr>
            <w:tr w14:paraId="39F12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E0F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sz w:val="21"/>
                      <w:szCs w:val="21"/>
                      <w:highlight w:val="none"/>
                      <w:u w:val="none"/>
                      <w:lang w:val="en-US" w:eastAsia="zh-CN"/>
                    </w:rPr>
                    <w:t>17</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0A2AE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机油</w:t>
                  </w:r>
                </w:p>
                <w:p w14:paraId="69672A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（润滑油）</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6D23B8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0.8</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5EEFD9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3B064E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54815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79521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200L/桶</w:t>
                  </w:r>
                </w:p>
              </w:tc>
              <w:tc>
                <w:tcPr>
                  <w:tcW w:w="629" w:type="pct"/>
                  <w:vMerge w:val="restart"/>
                  <w:tcBorders>
                    <w:top w:val="single" w:color="000000" w:sz="4" w:space="0"/>
                    <w:left w:val="single" w:color="000000" w:sz="4" w:space="0"/>
                    <w:bottom w:val="single" w:color="000000" w:sz="4" w:space="0"/>
                    <w:right w:val="single" w:color="000000" w:sz="4" w:space="0"/>
                  </w:tcBorders>
                  <w:noWrap w:val="0"/>
                  <w:vAlign w:val="center"/>
                </w:tcPr>
                <w:p w14:paraId="3BACDA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设备运行维护</w:t>
                  </w:r>
                </w:p>
              </w:tc>
              <w:tc>
                <w:tcPr>
                  <w:tcW w:w="690" w:type="pct"/>
                  <w:vMerge w:val="restart"/>
                  <w:tcBorders>
                    <w:top w:val="single" w:color="000000" w:sz="4" w:space="0"/>
                    <w:left w:val="single" w:color="000000" w:sz="4" w:space="0"/>
                    <w:bottom w:val="single" w:color="000000" w:sz="4" w:space="0"/>
                    <w:right w:val="single" w:color="000000" w:sz="4" w:space="0"/>
                  </w:tcBorders>
                  <w:noWrap w:val="0"/>
                  <w:vAlign w:val="center"/>
                </w:tcPr>
                <w:p w14:paraId="4603FD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cs="Times New Roman"/>
                      <w:color w:val="auto"/>
                      <w:sz w:val="21"/>
                      <w:szCs w:val="21"/>
                      <w:highlight w:val="none"/>
                      <w:lang w:val="en-US" w:eastAsia="zh-CN"/>
                    </w:rPr>
                    <w:t>厂房</w:t>
                  </w:r>
                  <w:r>
                    <w:rPr>
                      <w:rFonts w:hint="default" w:ascii="Times New Roman" w:hAnsi="Times New Roman" w:cs="Times New Roman"/>
                      <w:i w:val="0"/>
                      <w:iCs w:val="0"/>
                      <w:color w:val="auto"/>
                      <w:kern w:val="0"/>
                      <w:sz w:val="21"/>
                      <w:szCs w:val="21"/>
                      <w:highlight w:val="none"/>
                      <w:u w:val="none"/>
                      <w:lang w:val="en-US" w:eastAsia="zh-CN" w:bidi="ar"/>
                    </w:rPr>
                    <w:t>化学品仓</w:t>
                  </w:r>
                </w:p>
              </w:tc>
            </w:tr>
            <w:tr w14:paraId="6E15D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60" w:type="pct"/>
                  <w:tcBorders>
                    <w:top w:val="single" w:color="000000" w:sz="4" w:space="0"/>
                    <w:left w:val="single" w:color="000000" w:sz="4" w:space="0"/>
                    <w:bottom w:val="single" w:color="000000" w:sz="4" w:space="0"/>
                    <w:right w:val="single" w:color="000000" w:sz="4" w:space="0"/>
                  </w:tcBorders>
                  <w:noWrap w:val="0"/>
                  <w:vAlign w:val="center"/>
                </w:tcPr>
                <w:p w14:paraId="36FEB0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18</w:t>
                  </w:r>
                </w:p>
              </w:tc>
              <w:tc>
                <w:tcPr>
                  <w:tcW w:w="793" w:type="pct"/>
                  <w:tcBorders>
                    <w:top w:val="single" w:color="000000" w:sz="4" w:space="0"/>
                    <w:left w:val="single" w:color="000000" w:sz="4" w:space="0"/>
                    <w:bottom w:val="single" w:color="000000" w:sz="4" w:space="0"/>
                    <w:right w:val="single" w:color="000000" w:sz="4" w:space="0"/>
                  </w:tcBorders>
                  <w:noWrap w:val="0"/>
                  <w:vAlign w:val="center"/>
                </w:tcPr>
                <w:p w14:paraId="2A1A0A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液压油</w:t>
                  </w:r>
                </w:p>
              </w:tc>
              <w:tc>
                <w:tcPr>
                  <w:tcW w:w="588" w:type="pct"/>
                  <w:tcBorders>
                    <w:top w:val="single" w:color="000000" w:sz="4" w:space="0"/>
                    <w:left w:val="single" w:color="000000" w:sz="4" w:space="0"/>
                    <w:bottom w:val="single" w:color="000000" w:sz="4" w:space="0"/>
                    <w:right w:val="single" w:color="000000" w:sz="4" w:space="0"/>
                  </w:tcBorders>
                  <w:noWrap w:val="0"/>
                  <w:vAlign w:val="center"/>
                </w:tcPr>
                <w:p w14:paraId="7ABF2C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0.6</w:t>
                  </w:r>
                </w:p>
              </w:tc>
              <w:tc>
                <w:tcPr>
                  <w:tcW w:w="522" w:type="pct"/>
                  <w:tcBorders>
                    <w:top w:val="single" w:color="000000" w:sz="4" w:space="0"/>
                    <w:left w:val="single" w:color="000000" w:sz="4" w:space="0"/>
                    <w:bottom w:val="single" w:color="000000" w:sz="4" w:space="0"/>
                    <w:right w:val="single" w:color="000000" w:sz="4" w:space="0"/>
                  </w:tcBorders>
                  <w:noWrap w:val="0"/>
                  <w:vAlign w:val="center"/>
                </w:tcPr>
                <w:p w14:paraId="64D3C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0.1</w:t>
                  </w:r>
                </w:p>
              </w:tc>
              <w:tc>
                <w:tcPr>
                  <w:tcW w:w="274" w:type="pct"/>
                  <w:tcBorders>
                    <w:top w:val="single" w:color="000000" w:sz="4" w:space="0"/>
                    <w:left w:val="single" w:color="000000" w:sz="4" w:space="0"/>
                    <w:bottom w:val="single" w:color="000000" w:sz="4" w:space="0"/>
                    <w:right w:val="single" w:color="000000" w:sz="4" w:space="0"/>
                  </w:tcBorders>
                  <w:noWrap/>
                  <w:vAlign w:val="center"/>
                </w:tcPr>
                <w:p w14:paraId="2DD474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w:t>
                  </w:r>
                </w:p>
              </w:tc>
              <w:tc>
                <w:tcPr>
                  <w:tcW w:w="416" w:type="pct"/>
                  <w:tcBorders>
                    <w:top w:val="single" w:color="000000" w:sz="4" w:space="0"/>
                    <w:left w:val="single" w:color="000000" w:sz="4" w:space="0"/>
                    <w:bottom w:val="single" w:color="000000" w:sz="4" w:space="0"/>
                    <w:right w:val="single" w:color="000000" w:sz="4" w:space="0"/>
                  </w:tcBorders>
                  <w:noWrap w:val="0"/>
                  <w:vAlign w:val="center"/>
                </w:tcPr>
                <w:p w14:paraId="7CBAE5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14:paraId="55CE04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200L/桶</w:t>
                  </w:r>
                </w:p>
              </w:tc>
              <w:tc>
                <w:tcPr>
                  <w:tcW w:w="6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6ACE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69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962A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31E6B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9"/>
                  <w:vMerge w:val="restart"/>
                  <w:tcBorders>
                    <w:top w:val="single" w:color="000000" w:sz="4" w:space="0"/>
                    <w:left w:val="single" w:color="000000" w:sz="4" w:space="0"/>
                    <w:bottom w:val="single" w:color="000000" w:sz="4" w:space="0"/>
                    <w:right w:val="single" w:color="000000" w:sz="4" w:space="0"/>
                  </w:tcBorders>
                  <w:noWrap w:val="0"/>
                  <w:vAlign w:val="center"/>
                </w:tcPr>
                <w:p w14:paraId="39958D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注：</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①铝的密度为按2.7×10</w:t>
                  </w:r>
                  <w:r>
                    <w:rPr>
                      <w:rFonts w:hint="eastAsia" w:cs="Times New Roman"/>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千克/m³计算，项目年处理铝卷</w:t>
                  </w:r>
                  <w:r>
                    <w:rPr>
                      <w:rFonts w:hint="eastAsia" w:ascii="Times New Roman" w:hAnsi="Times New Roman" w:eastAsia="宋体"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0万m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，铝卷厚度为3mm，计算铝卷重量为</w:t>
                  </w:r>
                  <w:r>
                    <w:rPr>
                      <w:rFonts w:hint="eastAsia" w:ascii="Times New Roman" w:hAnsi="Times New Roman" w:eastAsia="宋体" w:cs="Times New Roman"/>
                      <w:i w:val="0"/>
                      <w:iCs w:val="0"/>
                      <w:color w:val="auto"/>
                      <w:kern w:val="0"/>
                      <w:sz w:val="21"/>
                      <w:szCs w:val="21"/>
                      <w:highlight w:val="none"/>
                      <w:u w:val="none"/>
                      <w:lang w:val="en-US" w:eastAsia="zh-CN" w:bidi="ar"/>
                    </w:rPr>
                    <w:t>8</w:t>
                  </w:r>
                  <w:r>
                    <w:rPr>
                      <w:rFonts w:hint="eastAsia" w:cs="Times New Roman"/>
                      <w:i w:val="0"/>
                      <w:iCs w:val="0"/>
                      <w:color w:val="auto"/>
                      <w:kern w:val="0"/>
                      <w:sz w:val="21"/>
                      <w:szCs w:val="21"/>
                      <w:highlight w:val="none"/>
                      <w:u w:val="none"/>
                      <w:lang w:val="en-US" w:eastAsia="zh-CN" w:bidi="ar"/>
                    </w:rPr>
                    <w:t>91</w:t>
                  </w:r>
                  <w:r>
                    <w:rPr>
                      <w:rFonts w:hint="default" w:ascii="Times New Roman" w:hAnsi="Times New Roman" w:eastAsia="宋体" w:cs="Times New Roman"/>
                      <w:i w:val="0"/>
                      <w:iCs w:val="0"/>
                      <w:color w:val="auto"/>
                      <w:kern w:val="0"/>
                      <w:sz w:val="21"/>
                      <w:szCs w:val="21"/>
                      <w:highlight w:val="none"/>
                      <w:u w:val="none"/>
                      <w:lang w:val="en-US" w:eastAsia="zh-CN" w:bidi="ar"/>
                    </w:rPr>
                    <w:t>0t/a。</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②</w:t>
                  </w:r>
                  <w:r>
                    <w:rPr>
                      <w:rFonts w:hint="eastAsia" w:cs="Times New Roman"/>
                      <w:i w:val="0"/>
                      <w:iCs w:val="0"/>
                      <w:color w:val="auto"/>
                      <w:kern w:val="0"/>
                      <w:sz w:val="21"/>
                      <w:szCs w:val="21"/>
                      <w:highlight w:val="none"/>
                      <w:u w:val="none"/>
                      <w:lang w:val="en-US" w:eastAsia="zh-CN" w:bidi="ar"/>
                    </w:rPr>
                    <w:t>工件表面预处理</w:t>
                  </w:r>
                  <w:r>
                    <w:rPr>
                      <w:rFonts w:hint="default" w:ascii="Times New Roman" w:hAnsi="Times New Roman" w:eastAsia="宋体" w:cs="Times New Roman"/>
                      <w:i w:val="0"/>
                      <w:iCs w:val="0"/>
                      <w:color w:val="auto"/>
                      <w:kern w:val="0"/>
                      <w:sz w:val="21"/>
                      <w:szCs w:val="21"/>
                      <w:highlight w:val="none"/>
                      <w:u w:val="none"/>
                      <w:lang w:val="en-US" w:eastAsia="zh-CN" w:bidi="ar"/>
                    </w:rPr>
                    <w:t>生产线：</w:t>
                  </w:r>
                  <w:r>
                    <w:rPr>
                      <w:rFonts w:hint="eastAsia" w:cs="Times New Roman"/>
                      <w:i w:val="0"/>
                      <w:iCs w:val="0"/>
                      <w:color w:val="auto"/>
                      <w:kern w:val="0"/>
                      <w:sz w:val="21"/>
                      <w:szCs w:val="21"/>
                      <w:highlight w:val="none"/>
                      <w:u w:val="none"/>
                      <w:lang w:val="en-US" w:eastAsia="zh-CN" w:bidi="ar"/>
                    </w:rPr>
                    <w:t>根据建设单位提供资料，烘干炉年用气量44752m</w:t>
                  </w:r>
                  <w:r>
                    <w:rPr>
                      <w:rFonts w:hint="eastAsia" w:cs="Times New Roman"/>
                      <w:i w:val="0"/>
                      <w:iCs w:val="0"/>
                      <w:color w:val="auto"/>
                      <w:kern w:val="0"/>
                      <w:sz w:val="21"/>
                      <w:szCs w:val="21"/>
                      <w:highlight w:val="none"/>
                      <w:u w:val="none"/>
                      <w:vertAlign w:val="superscript"/>
                      <w:lang w:val="en-US" w:eastAsia="zh-CN" w:bidi="ar"/>
                    </w:rPr>
                    <w:t>3</w:t>
                  </w:r>
                  <w:r>
                    <w:rPr>
                      <w:rFonts w:hint="eastAsia" w:cs="Times New Roman"/>
                      <w:i w:val="0"/>
                      <w:iCs w:val="0"/>
                      <w:color w:val="auto"/>
                      <w:kern w:val="0"/>
                      <w:sz w:val="21"/>
                      <w:szCs w:val="21"/>
                      <w:highlight w:val="none"/>
                      <w:u w:val="none"/>
                      <w:vertAlign w:val="baseline"/>
                      <w:lang w:val="en-US" w:eastAsia="zh-CN" w:bidi="ar"/>
                    </w:rPr>
                    <w:t>，</w:t>
                  </w:r>
                  <w:r>
                    <w:rPr>
                      <w:rFonts w:hint="eastAsia" w:cs="Times New Roman"/>
                      <w:i w:val="0"/>
                      <w:iCs w:val="0"/>
                      <w:color w:val="auto"/>
                      <w:kern w:val="0"/>
                      <w:sz w:val="21"/>
                      <w:szCs w:val="21"/>
                      <w:highlight w:val="none"/>
                      <w:u w:val="none"/>
                      <w:lang w:val="en-US" w:eastAsia="zh-CN" w:bidi="ar"/>
                    </w:rPr>
                    <w:t>固化炉年用天然气137496 m³，合计天然气年用量约18.2248m</w:t>
                  </w:r>
                  <w:r>
                    <w:rPr>
                      <w:rFonts w:hint="eastAsia" w:cs="Times New Roman"/>
                      <w:i w:val="0"/>
                      <w:iCs w:val="0"/>
                      <w:color w:val="auto"/>
                      <w:kern w:val="0"/>
                      <w:sz w:val="21"/>
                      <w:szCs w:val="21"/>
                      <w:highlight w:val="none"/>
                      <w:u w:val="none"/>
                      <w:vertAlign w:val="superscript"/>
                      <w:lang w:val="en-US" w:eastAsia="zh-CN" w:bidi="ar"/>
                    </w:rPr>
                    <w:t>3</w:t>
                  </w: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i w:val="0"/>
                      <w:iCs w:val="0"/>
                      <w:color w:val="auto"/>
                      <w:kern w:val="0"/>
                      <w:sz w:val="21"/>
                      <w:szCs w:val="21"/>
                      <w:highlight w:val="none"/>
                      <w:u w:val="none"/>
                      <w:lang w:val="en-US" w:eastAsia="zh-CN" w:bidi="ar"/>
                    </w:rPr>
                    <w:t>③厂区内不设天然气储存装置，故本项目按管道中的天然气量计算最大</w:t>
                  </w:r>
                  <w:r>
                    <w:rPr>
                      <w:rFonts w:hint="eastAsia" w:cs="Times New Roman"/>
                      <w:i w:val="0"/>
                      <w:iCs w:val="0"/>
                      <w:color w:val="auto"/>
                      <w:kern w:val="0"/>
                      <w:sz w:val="21"/>
                      <w:szCs w:val="21"/>
                      <w:highlight w:val="none"/>
                      <w:u w:val="none"/>
                      <w:lang w:val="en-US" w:eastAsia="zh-CN" w:bidi="ar"/>
                    </w:rPr>
                    <w:t>存在</w:t>
                  </w:r>
                  <w:r>
                    <w:rPr>
                      <w:rFonts w:hint="default" w:ascii="Times New Roman" w:hAnsi="Times New Roman" w:eastAsia="宋体" w:cs="Times New Roman"/>
                      <w:i w:val="0"/>
                      <w:iCs w:val="0"/>
                      <w:color w:val="auto"/>
                      <w:kern w:val="0"/>
                      <w:sz w:val="21"/>
                      <w:szCs w:val="21"/>
                      <w:highlight w:val="none"/>
                      <w:u w:val="none"/>
                      <w:lang w:val="en-US" w:eastAsia="zh-CN" w:bidi="ar"/>
                    </w:rPr>
                    <w:t>量，厂区内天然气管道长度约</w:t>
                  </w:r>
                  <w:r>
                    <w:rPr>
                      <w:rFonts w:hint="eastAsia" w:ascii="Times New Roman" w:hAnsi="Times New Roman" w:eastAsia="宋体" w:cs="Times New Roman"/>
                      <w:i w:val="0"/>
                      <w:iCs w:val="0"/>
                      <w:color w:val="auto"/>
                      <w:kern w:val="0"/>
                      <w:sz w:val="21"/>
                      <w:szCs w:val="21"/>
                      <w:highlight w:val="none"/>
                      <w:u w:val="none"/>
                      <w:lang w:val="en-US" w:eastAsia="zh-CN" w:bidi="ar"/>
                    </w:rPr>
                    <w:t>18</w:t>
                  </w:r>
                  <w:r>
                    <w:rPr>
                      <w:rFonts w:hint="default" w:ascii="Times New Roman" w:hAnsi="Times New Roman" w:eastAsia="宋体" w:cs="Times New Roman"/>
                      <w:i w:val="0"/>
                      <w:iCs w:val="0"/>
                      <w:color w:val="auto"/>
                      <w:kern w:val="0"/>
                      <w:sz w:val="21"/>
                      <w:szCs w:val="21"/>
                      <w:highlight w:val="none"/>
                      <w:u w:val="none"/>
                      <w:lang w:val="en-US" w:eastAsia="zh-CN" w:bidi="ar"/>
                    </w:rPr>
                    <w:t>0m，管径40mm，密度0.7174kg/m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烘干炉、固化区</w:t>
                  </w:r>
                  <w:r>
                    <w:rPr>
                      <w:rFonts w:hint="default" w:ascii="Times New Roman" w:hAnsi="Times New Roman" w:eastAsia="宋体" w:cs="Times New Roman"/>
                      <w:i w:val="0"/>
                      <w:iCs w:val="0"/>
                      <w:color w:val="auto"/>
                      <w:kern w:val="0"/>
                      <w:sz w:val="21"/>
                      <w:szCs w:val="21"/>
                      <w:highlight w:val="none"/>
                      <w:u w:val="none"/>
                      <w:lang w:val="en-US" w:eastAsia="zh-CN" w:bidi="ar"/>
                    </w:rPr>
                    <w:t>配备</w:t>
                  </w:r>
                  <w:r>
                    <w:rPr>
                      <w:rFonts w:hint="eastAsia" w:cs="Times New Roman"/>
                      <w:i w:val="0"/>
                      <w:iCs w:val="0"/>
                      <w:color w:val="auto"/>
                      <w:kern w:val="0"/>
                      <w:sz w:val="21"/>
                      <w:szCs w:val="21"/>
                      <w:highlight w:val="none"/>
                      <w:u w:val="none"/>
                      <w:lang w:val="en-US" w:eastAsia="zh-CN" w:bidi="ar"/>
                    </w:rPr>
                    <w:t>各2</w:t>
                  </w:r>
                  <w:r>
                    <w:rPr>
                      <w:rFonts w:hint="default" w:ascii="Times New Roman" w:hAnsi="Times New Roman" w:eastAsia="宋体" w:cs="Times New Roman"/>
                      <w:i w:val="0"/>
                      <w:iCs w:val="0"/>
                      <w:color w:val="auto"/>
                      <w:kern w:val="0"/>
                      <w:sz w:val="21"/>
                      <w:szCs w:val="21"/>
                      <w:highlight w:val="none"/>
                      <w:u w:val="none"/>
                      <w:lang w:val="en-US" w:eastAsia="zh-CN" w:bidi="ar"/>
                    </w:rPr>
                    <w:t>根燃气管道。则本项目厂区内最大储存量=天然气管道截面积×厂区内长度×密度×管数，约为</w:t>
                  </w:r>
                  <w:r>
                    <w:rPr>
                      <w:rFonts w:hint="eastAsia" w:cs="Times New Roman"/>
                      <w:i w:val="0"/>
                      <w:iCs w:val="0"/>
                      <w:color w:val="auto"/>
                      <w:kern w:val="0"/>
                      <w:sz w:val="21"/>
                      <w:szCs w:val="21"/>
                      <w:highlight w:val="none"/>
                      <w:u w:val="none"/>
                      <w:lang w:val="en-US" w:eastAsia="zh-CN" w:bidi="ar"/>
                    </w:rPr>
                    <w:t>0.00064</w:t>
                  </w:r>
                  <w:r>
                    <w:rPr>
                      <w:rFonts w:hint="default" w:ascii="Times New Roman" w:hAnsi="Times New Roman" w:eastAsia="宋体" w:cs="Times New Roman"/>
                      <w:i w:val="0"/>
                      <w:iCs w:val="0"/>
                      <w:color w:val="auto"/>
                      <w:kern w:val="0"/>
                      <w:sz w:val="21"/>
                      <w:szCs w:val="21"/>
                      <w:highlight w:val="none"/>
                      <w:u w:val="none"/>
                      <w:lang w:val="en-US" w:eastAsia="zh-CN" w:bidi="ar"/>
                    </w:rPr>
                    <w:t>t。</w:t>
                  </w:r>
                </w:p>
                <w:p w14:paraId="59300A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both"/>
                    <w:textAlignment w:val="center"/>
                    <w:rPr>
                      <w:rFonts w:hint="default"/>
                      <w:color w:val="auto"/>
                      <w:sz w:val="21"/>
                      <w:szCs w:val="21"/>
                      <w:lang w:val="en-US" w:eastAsia="zh-CN"/>
                    </w:rPr>
                  </w:pPr>
                  <w:r>
                    <w:rPr>
                      <w:rFonts w:hint="eastAsia"/>
                      <w:color w:val="auto"/>
                      <w:sz w:val="21"/>
                      <w:szCs w:val="21"/>
                      <w:lang w:val="en-US" w:eastAsia="zh-CN"/>
                    </w:rPr>
                    <w:t>④除油剂用量：除油</w:t>
                  </w:r>
                  <w:r>
                    <w:rPr>
                      <w:rFonts w:hint="eastAsia"/>
                      <w:color w:val="auto"/>
                      <w:sz w:val="21"/>
                      <w:szCs w:val="21"/>
                    </w:rPr>
                    <w:t>工艺浓度</w:t>
                  </w:r>
                  <w:r>
                    <w:rPr>
                      <w:rFonts w:hint="eastAsia"/>
                      <w:color w:val="auto"/>
                      <w:sz w:val="21"/>
                      <w:szCs w:val="21"/>
                      <w:lang w:val="en-US" w:eastAsia="zh-CN"/>
                    </w:rPr>
                    <w:t>1~3%（本项目取3%，质量分数），</w:t>
                  </w:r>
                  <w:r>
                    <w:rPr>
                      <w:rFonts w:hint="eastAsia" w:cs="Times New Roman"/>
                      <w:b w:val="0"/>
                      <w:bCs w:val="0"/>
                      <w:color w:val="auto"/>
                      <w:sz w:val="21"/>
                      <w:szCs w:val="21"/>
                      <w:vertAlign w:val="baseline"/>
                      <w:lang w:val="en-US" w:eastAsia="zh-CN"/>
                    </w:rPr>
                    <w:t>工作槽液密度约 1.002kg/L（t/m</w:t>
                  </w:r>
                  <w:r>
                    <w:rPr>
                      <w:rFonts w:hint="eastAsia" w:cs="Times New Roman"/>
                      <w:b w:val="0"/>
                      <w:bCs w:val="0"/>
                      <w:color w:val="auto"/>
                      <w:sz w:val="21"/>
                      <w:szCs w:val="21"/>
                      <w:vertAlign w:val="superscript"/>
                      <w:lang w:val="en-US" w:eastAsia="zh-CN"/>
                    </w:rPr>
                    <w:t>3</w:t>
                  </w:r>
                  <w:r>
                    <w:rPr>
                      <w:rFonts w:hint="eastAsia" w:cs="Times New Roman"/>
                      <w:b w:val="0"/>
                      <w:bCs w:val="0"/>
                      <w:color w:val="auto"/>
                      <w:sz w:val="21"/>
                      <w:szCs w:val="21"/>
                      <w:vertAlign w:val="baseline"/>
                      <w:lang w:val="en-US" w:eastAsia="zh-CN"/>
                    </w:rPr>
                    <w:t>）</w:t>
                  </w:r>
                  <w:r>
                    <w:rPr>
                      <w:rFonts w:hint="eastAsia"/>
                      <w:color w:val="auto"/>
                      <w:sz w:val="21"/>
                      <w:szCs w:val="21"/>
                      <w:lang w:eastAsia="zh-CN"/>
                    </w:rPr>
                    <w:t>；</w:t>
                  </w:r>
                  <w:r>
                    <w:rPr>
                      <w:rFonts w:hint="eastAsia"/>
                      <w:color w:val="auto"/>
                      <w:sz w:val="21"/>
                      <w:szCs w:val="21"/>
                      <w:lang w:val="en-US" w:eastAsia="zh-CN"/>
                    </w:rPr>
                    <w:t>预脱脂池、脱脂</w:t>
                  </w:r>
                  <w:r>
                    <w:rPr>
                      <w:rFonts w:hint="eastAsia"/>
                      <w:color w:val="auto"/>
                      <w:sz w:val="21"/>
                      <w:szCs w:val="21"/>
                    </w:rPr>
                    <w:t>池</w:t>
                  </w:r>
                  <w:r>
                    <w:rPr>
                      <w:rFonts w:hint="eastAsia"/>
                      <w:color w:val="auto"/>
                      <w:sz w:val="21"/>
                      <w:szCs w:val="21"/>
                      <w:lang w:val="en-US" w:eastAsia="zh-CN"/>
                    </w:rPr>
                    <w:t>定期更换槽液量179.2m</w:t>
                  </w:r>
                  <w:r>
                    <w:rPr>
                      <w:rFonts w:hint="eastAsia"/>
                      <w:color w:val="auto"/>
                      <w:sz w:val="21"/>
                      <w:szCs w:val="21"/>
                      <w:vertAlign w:val="superscript"/>
                      <w:lang w:val="en-US" w:eastAsia="zh-CN"/>
                    </w:rPr>
                    <w:t>3</w:t>
                  </w:r>
                  <w:r>
                    <w:rPr>
                      <w:rFonts w:hint="eastAsia"/>
                      <w:color w:val="auto"/>
                      <w:sz w:val="21"/>
                      <w:szCs w:val="21"/>
                      <w:lang w:val="en-US" w:eastAsia="zh-CN"/>
                    </w:rPr>
                    <w:t>，对应除油剂</w:t>
                  </w:r>
                  <w:r>
                    <w:rPr>
                      <w:rFonts w:hint="eastAsia"/>
                      <w:color w:val="auto"/>
                      <w:sz w:val="21"/>
                      <w:szCs w:val="21"/>
                    </w:rPr>
                    <w:t>用量为</w:t>
                  </w:r>
                  <w:r>
                    <w:rPr>
                      <w:rFonts w:hint="eastAsia"/>
                      <w:color w:val="auto"/>
                      <w:sz w:val="21"/>
                      <w:szCs w:val="21"/>
                      <w:lang w:val="en-US" w:eastAsia="zh-CN"/>
                    </w:rPr>
                    <w:t>=槽液</w:t>
                  </w:r>
                  <w:r>
                    <w:rPr>
                      <w:rFonts w:hint="eastAsia"/>
                      <w:color w:val="auto"/>
                      <w:sz w:val="21"/>
                      <w:szCs w:val="21"/>
                    </w:rPr>
                    <w:t>年更换量×工艺浓度=</w:t>
                  </w:r>
                  <w:r>
                    <w:rPr>
                      <w:rFonts w:hint="eastAsia"/>
                      <w:color w:val="auto"/>
                      <w:sz w:val="21"/>
                      <w:szCs w:val="21"/>
                      <w:lang w:val="en-US" w:eastAsia="zh-CN"/>
                    </w:rPr>
                    <w:t>179.2m</w:t>
                  </w:r>
                  <w:r>
                    <w:rPr>
                      <w:rFonts w:hint="eastAsia"/>
                      <w:color w:val="auto"/>
                      <w:sz w:val="21"/>
                      <w:szCs w:val="21"/>
                      <w:vertAlign w:val="superscript"/>
                      <w:lang w:val="en-US" w:eastAsia="zh-CN"/>
                    </w:rPr>
                    <w:t>3</w:t>
                  </w:r>
                  <w:r>
                    <w:rPr>
                      <w:rFonts w:hint="eastAsia"/>
                      <w:color w:val="auto"/>
                      <w:sz w:val="21"/>
                      <w:szCs w:val="21"/>
                    </w:rPr>
                    <w:t>/</w:t>
                  </w:r>
                  <w:r>
                    <w:rPr>
                      <w:rFonts w:hint="eastAsia"/>
                      <w:color w:val="auto"/>
                      <w:sz w:val="21"/>
                      <w:szCs w:val="21"/>
                      <w:lang w:val="en-US" w:eastAsia="zh-CN"/>
                    </w:rPr>
                    <w:t>a×3%×1.002kg/L</w:t>
                  </w:r>
                  <w:r>
                    <w:rPr>
                      <w:rFonts w:hint="eastAsia"/>
                      <w:color w:val="auto"/>
                      <w:sz w:val="21"/>
                      <w:szCs w:val="21"/>
                    </w:rPr>
                    <w:t>=</w:t>
                  </w:r>
                  <w:r>
                    <w:rPr>
                      <w:rFonts w:hint="eastAsia"/>
                      <w:color w:val="auto"/>
                      <w:sz w:val="21"/>
                      <w:szCs w:val="21"/>
                      <w:lang w:val="en-US" w:eastAsia="zh-CN"/>
                    </w:rPr>
                    <w:t>5.387</w:t>
                  </w:r>
                  <w:r>
                    <w:rPr>
                      <w:rFonts w:hint="eastAsia"/>
                      <w:color w:val="auto"/>
                      <w:sz w:val="21"/>
                      <w:szCs w:val="21"/>
                    </w:rPr>
                    <w:t>t/</w:t>
                  </w:r>
                  <w:r>
                    <w:rPr>
                      <w:rFonts w:hint="eastAsia"/>
                      <w:color w:val="auto"/>
                      <w:sz w:val="21"/>
                      <w:szCs w:val="21"/>
                      <w:lang w:val="en-US" w:eastAsia="zh-CN"/>
                    </w:rPr>
                    <w:t>a。参考《污染源源强核算技术指南 电镀》（HJ984-2018）中附录 D 不同形状镀件镀液带出量参考值一览表中简单镀件形状的自动线挂镀的镀液带出量＜0.1L/m</w:t>
                  </w:r>
                  <w:r>
                    <w:rPr>
                      <w:rFonts w:hint="eastAsia"/>
                      <w:color w:val="auto"/>
                      <w:sz w:val="21"/>
                      <w:szCs w:val="21"/>
                      <w:vertAlign w:val="superscript"/>
                      <w:lang w:val="en-US" w:eastAsia="zh-CN"/>
                    </w:rPr>
                    <w:t>2</w:t>
                  </w:r>
                  <w:r>
                    <w:rPr>
                      <w:rFonts w:hint="eastAsia"/>
                      <w:color w:val="auto"/>
                      <w:sz w:val="21"/>
                      <w:szCs w:val="21"/>
                      <w:lang w:val="en-US" w:eastAsia="zh-CN"/>
                    </w:rPr>
                    <w:t xml:space="preserve"> ， 取 值 0.1L/m</w:t>
                  </w:r>
                  <w:r>
                    <w:rPr>
                      <w:rFonts w:hint="eastAsia"/>
                      <w:color w:val="auto"/>
                      <w:sz w:val="21"/>
                      <w:szCs w:val="21"/>
                      <w:vertAlign w:val="superscript"/>
                      <w:lang w:val="en-US" w:eastAsia="zh-CN"/>
                    </w:rPr>
                    <w:t>2</w:t>
                  </w:r>
                  <w:r>
                    <w:rPr>
                      <w:rFonts w:hint="eastAsia"/>
                      <w:color w:val="auto"/>
                      <w:sz w:val="21"/>
                      <w:szCs w:val="21"/>
                      <w:lang w:val="en-US" w:eastAsia="zh-CN"/>
                    </w:rPr>
                    <w:t xml:space="preserve"> 。脱脂除油工序工件带出量为0.1L/m</w:t>
                  </w:r>
                  <w:r>
                    <w:rPr>
                      <w:rFonts w:hint="eastAsia"/>
                      <w:color w:val="auto"/>
                      <w:sz w:val="21"/>
                      <w:szCs w:val="21"/>
                      <w:vertAlign w:val="superscript"/>
                      <w:lang w:val="en-US" w:eastAsia="zh-CN"/>
                    </w:rPr>
                    <w:t>2</w:t>
                  </w:r>
                  <w:r>
                    <w:rPr>
                      <w:rFonts w:hint="eastAsia"/>
                      <w:color w:val="auto"/>
                      <w:sz w:val="21"/>
                      <w:szCs w:val="21"/>
                      <w:lang w:val="en-US" w:eastAsia="zh-CN"/>
                    </w:rPr>
                    <w:t xml:space="preserve"> × 1100000m</w:t>
                  </w:r>
                  <w:r>
                    <w:rPr>
                      <w:rFonts w:hint="eastAsia"/>
                      <w:color w:val="auto"/>
                      <w:sz w:val="21"/>
                      <w:szCs w:val="21"/>
                      <w:vertAlign w:val="superscript"/>
                      <w:lang w:val="en-US" w:eastAsia="zh-CN"/>
                    </w:rPr>
                    <w:t>2</w:t>
                  </w:r>
                  <w:r>
                    <w:rPr>
                      <w:rFonts w:hint="eastAsia"/>
                      <w:color w:val="auto"/>
                      <w:sz w:val="21"/>
                      <w:szCs w:val="21"/>
                      <w:lang w:val="en-US" w:eastAsia="zh-CN"/>
                    </w:rPr>
                    <w:t xml:space="preserve"> ×2×1.002k</w:t>
                  </w:r>
                  <w:r>
                    <w:rPr>
                      <w:rFonts w:hint="eastAsia" w:cs="Times New Roman"/>
                      <w:b w:val="0"/>
                      <w:bCs w:val="0"/>
                      <w:color w:val="auto"/>
                      <w:sz w:val="21"/>
                      <w:szCs w:val="21"/>
                      <w:vertAlign w:val="baseline"/>
                      <w:lang w:val="en-US" w:eastAsia="zh-CN"/>
                    </w:rPr>
                    <w:t>g/L</w:t>
                  </w:r>
                  <w:r>
                    <w:rPr>
                      <w:rFonts w:hint="eastAsia"/>
                      <w:color w:val="auto"/>
                      <w:sz w:val="21"/>
                      <w:szCs w:val="21"/>
                      <w:vertAlign w:val="baseline"/>
                      <w:lang w:val="en-US" w:eastAsia="zh-CN"/>
                    </w:rPr>
                    <w:t>×3%</w:t>
                  </w:r>
                  <w:r>
                    <w:rPr>
                      <w:rFonts w:hint="eastAsia"/>
                      <w:color w:val="auto"/>
                      <w:sz w:val="21"/>
                      <w:szCs w:val="21"/>
                      <w:lang w:val="en-US" w:eastAsia="zh-CN"/>
                    </w:rPr>
                    <w:t>× 10</w:t>
                  </w:r>
                  <w:r>
                    <w:rPr>
                      <w:rFonts w:hint="eastAsia"/>
                      <w:color w:val="auto"/>
                      <w:sz w:val="21"/>
                      <w:szCs w:val="21"/>
                      <w:vertAlign w:val="superscript"/>
                      <w:lang w:val="en-US" w:eastAsia="zh-CN"/>
                    </w:rPr>
                    <w:t>-3</w:t>
                  </w:r>
                  <w:r>
                    <w:rPr>
                      <w:rFonts w:hint="eastAsia"/>
                      <w:color w:val="auto"/>
                      <w:sz w:val="21"/>
                      <w:szCs w:val="21"/>
                      <w:vertAlign w:val="baseline"/>
                      <w:lang w:val="en-US" w:eastAsia="zh-CN"/>
                    </w:rPr>
                    <w:t>×2</w:t>
                  </w:r>
                  <w:r>
                    <w:rPr>
                      <w:rFonts w:hint="eastAsia"/>
                      <w:color w:val="auto"/>
                      <w:sz w:val="21"/>
                      <w:szCs w:val="21"/>
                      <w:lang w:val="en-US" w:eastAsia="zh-CN"/>
                    </w:rPr>
                    <w:t>=13.234t/a。根据建设单位提供数据，单位面积工件除油剂消耗量为0.0083kg/m</w:t>
                  </w:r>
                  <w:r>
                    <w:rPr>
                      <w:rFonts w:hint="eastAsia"/>
                      <w:color w:val="auto"/>
                      <w:sz w:val="21"/>
                      <w:szCs w:val="21"/>
                      <w:vertAlign w:val="superscript"/>
                      <w:lang w:val="en-US" w:eastAsia="zh-CN"/>
                    </w:rPr>
                    <w:t>2</w:t>
                  </w:r>
                  <w:r>
                    <w:rPr>
                      <w:rFonts w:hint="eastAsia"/>
                      <w:color w:val="auto"/>
                      <w:sz w:val="21"/>
                      <w:szCs w:val="21"/>
                      <w:vertAlign w:val="baseline"/>
                      <w:lang w:val="en-US" w:eastAsia="zh-CN"/>
                    </w:rPr>
                    <w:t>，则</w:t>
                  </w:r>
                  <w:r>
                    <w:rPr>
                      <w:rFonts w:hint="eastAsia"/>
                      <w:color w:val="auto"/>
                      <w:sz w:val="21"/>
                      <w:szCs w:val="21"/>
                      <w:lang w:val="en-US" w:eastAsia="zh-CN"/>
                    </w:rPr>
                    <w:t>生产消耗量为0.0083kg/m</w:t>
                  </w:r>
                  <w:r>
                    <w:rPr>
                      <w:rFonts w:hint="eastAsia"/>
                      <w:color w:val="auto"/>
                      <w:sz w:val="21"/>
                      <w:szCs w:val="21"/>
                      <w:vertAlign w:val="superscript"/>
                      <w:lang w:val="en-US" w:eastAsia="zh-CN"/>
                    </w:rPr>
                    <w:t>2</w:t>
                  </w:r>
                  <w:r>
                    <w:rPr>
                      <w:rFonts w:hint="eastAsia"/>
                      <w:color w:val="auto"/>
                      <w:sz w:val="21"/>
                      <w:szCs w:val="21"/>
                      <w:lang w:val="en-US" w:eastAsia="zh-CN"/>
                    </w:rPr>
                    <w:t>×1100000m</w:t>
                  </w:r>
                  <w:r>
                    <w:rPr>
                      <w:rFonts w:hint="eastAsia"/>
                      <w:color w:val="auto"/>
                      <w:sz w:val="21"/>
                      <w:szCs w:val="21"/>
                      <w:vertAlign w:val="superscript"/>
                      <w:lang w:val="en-US" w:eastAsia="zh-CN"/>
                    </w:rPr>
                    <w:t>2</w:t>
                  </w:r>
                  <w:r>
                    <w:rPr>
                      <w:rFonts w:hint="eastAsia"/>
                      <w:color w:val="auto"/>
                      <w:sz w:val="21"/>
                      <w:szCs w:val="21"/>
                      <w:lang w:val="en-US" w:eastAsia="zh-CN"/>
                    </w:rPr>
                    <w:t xml:space="preserve"> × 10</w:t>
                  </w:r>
                  <w:r>
                    <w:rPr>
                      <w:rFonts w:hint="eastAsia"/>
                      <w:color w:val="auto"/>
                      <w:sz w:val="21"/>
                      <w:szCs w:val="21"/>
                      <w:vertAlign w:val="superscript"/>
                      <w:lang w:val="en-US" w:eastAsia="zh-CN"/>
                    </w:rPr>
                    <w:t>-3</w:t>
                  </w:r>
                  <w:r>
                    <w:rPr>
                      <w:rFonts w:hint="eastAsia"/>
                      <w:color w:val="auto"/>
                      <w:sz w:val="21"/>
                      <w:szCs w:val="21"/>
                      <w:vertAlign w:val="baseline"/>
                      <w:lang w:val="en-US" w:eastAsia="zh-CN"/>
                    </w:rPr>
                    <w:t>=9.13t/a。</w:t>
                  </w:r>
                  <w:r>
                    <w:rPr>
                      <w:rFonts w:hint="eastAsia"/>
                      <w:color w:val="auto"/>
                      <w:sz w:val="21"/>
                      <w:szCs w:val="21"/>
                      <w:lang w:val="en-US" w:eastAsia="zh-CN"/>
                    </w:rPr>
                    <w:t>以上</w:t>
                  </w:r>
                  <w:r>
                    <w:rPr>
                      <w:rFonts w:hint="eastAsia"/>
                      <w:color w:val="auto"/>
                      <w:sz w:val="21"/>
                      <w:szCs w:val="21"/>
                    </w:rPr>
                    <w:t>合计</w:t>
                  </w:r>
                  <w:r>
                    <w:rPr>
                      <w:rFonts w:hint="eastAsia"/>
                      <w:color w:val="auto"/>
                      <w:sz w:val="21"/>
                      <w:szCs w:val="21"/>
                      <w:lang w:val="en-US" w:eastAsia="zh-CN"/>
                    </w:rPr>
                    <w:t>除油剂用量为=5.387+13.234+9.13=27.746</w:t>
                  </w:r>
                  <w:r>
                    <w:rPr>
                      <w:rFonts w:hint="eastAsia"/>
                      <w:color w:val="auto"/>
                      <w:sz w:val="21"/>
                      <w:szCs w:val="21"/>
                    </w:rPr>
                    <w:t>t/a</w:t>
                  </w:r>
                  <w:r>
                    <w:rPr>
                      <w:rFonts w:hint="eastAsia"/>
                      <w:color w:val="auto"/>
                      <w:sz w:val="21"/>
                      <w:szCs w:val="21"/>
                      <w:lang w:eastAsia="zh-CN"/>
                    </w:rPr>
                    <w:t>。</w:t>
                  </w:r>
                </w:p>
                <w:p w14:paraId="5E499B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eastAsia"/>
                      <w:color w:val="auto"/>
                      <w:sz w:val="21"/>
                      <w:szCs w:val="21"/>
                      <w:lang w:eastAsia="zh-CN"/>
                    </w:rPr>
                  </w:pPr>
                  <w:r>
                    <w:rPr>
                      <w:rFonts w:hint="eastAsia"/>
                      <w:color w:val="auto"/>
                      <w:sz w:val="21"/>
                      <w:szCs w:val="21"/>
                      <w:lang w:val="en-US" w:eastAsia="zh-CN"/>
                    </w:rPr>
                    <w:t>⑤无铬钝化剂用量：</w:t>
                  </w:r>
                  <w:r>
                    <w:rPr>
                      <w:rFonts w:hint="eastAsia"/>
                      <w:color w:val="auto"/>
                      <w:sz w:val="21"/>
                      <w:szCs w:val="21"/>
                    </w:rPr>
                    <w:t>钝化工艺浓度</w:t>
                  </w:r>
                  <w:r>
                    <w:rPr>
                      <w:rFonts w:hint="eastAsia"/>
                      <w:color w:val="auto"/>
                      <w:sz w:val="21"/>
                      <w:szCs w:val="21"/>
                      <w:lang w:val="en-US" w:eastAsia="zh-CN"/>
                    </w:rPr>
                    <w:t>为1%</w:t>
                  </w:r>
                  <w:r>
                    <w:rPr>
                      <w:rFonts w:hint="eastAsia"/>
                      <w:color w:val="auto"/>
                      <w:sz w:val="21"/>
                      <w:szCs w:val="21"/>
                    </w:rPr>
                    <w:t>，</w:t>
                  </w:r>
                  <w:r>
                    <w:rPr>
                      <w:rFonts w:hint="eastAsia" w:cs="Times New Roman"/>
                      <w:b w:val="0"/>
                      <w:bCs w:val="0"/>
                      <w:color w:val="auto"/>
                      <w:sz w:val="21"/>
                      <w:szCs w:val="21"/>
                      <w:lang w:val="en-US" w:eastAsia="zh-CN"/>
                    </w:rPr>
                    <w:t>密</w:t>
                  </w:r>
                  <w:r>
                    <w:rPr>
                      <w:rFonts w:hint="default" w:ascii="Times New Roman" w:hAnsi="Times New Roman" w:cs="Times New Roman"/>
                      <w:b w:val="0"/>
                      <w:bCs w:val="0"/>
                      <w:color w:val="auto"/>
                      <w:sz w:val="21"/>
                      <w:szCs w:val="21"/>
                      <w:lang w:val="en-US" w:eastAsia="zh-CN"/>
                    </w:rPr>
                    <w:t>度:1.32~1.43g/cm</w:t>
                  </w:r>
                  <w:r>
                    <w:rPr>
                      <w:rFonts w:hint="default" w:ascii="Times New Roman" w:hAnsi="Times New Roman" w:cs="Times New Roman"/>
                      <w:b w:val="0"/>
                      <w:bCs w:val="0"/>
                      <w:color w:val="auto"/>
                      <w:sz w:val="21"/>
                      <w:szCs w:val="21"/>
                      <w:vertAlign w:val="superscript"/>
                      <w:lang w:val="en-US" w:eastAsia="zh-CN"/>
                    </w:rPr>
                    <w:t>3</w:t>
                  </w:r>
                  <w:r>
                    <w:rPr>
                      <w:rFonts w:hint="eastAsia" w:cs="Times New Roman"/>
                      <w:b w:val="0"/>
                      <w:bCs w:val="0"/>
                      <w:color w:val="auto"/>
                      <w:sz w:val="21"/>
                      <w:szCs w:val="21"/>
                      <w:vertAlign w:val="baseline"/>
                      <w:lang w:val="en-US" w:eastAsia="zh-CN"/>
                    </w:rPr>
                    <w:t>，工作槽液密度约 1.003kg/L。</w:t>
                  </w:r>
                  <w:r>
                    <w:rPr>
                      <w:rFonts w:hint="eastAsia"/>
                      <w:color w:val="auto"/>
                      <w:sz w:val="21"/>
                      <w:szCs w:val="21"/>
                      <w:lang w:val="en-US" w:eastAsia="zh-CN"/>
                    </w:rPr>
                    <w:t>无铬钝化定期更换槽液44.8m</w:t>
                  </w:r>
                  <w:r>
                    <w:rPr>
                      <w:rFonts w:hint="eastAsia"/>
                      <w:color w:val="auto"/>
                      <w:sz w:val="21"/>
                      <w:szCs w:val="21"/>
                      <w:vertAlign w:val="superscript"/>
                      <w:lang w:val="en-US" w:eastAsia="zh-CN"/>
                    </w:rPr>
                    <w:t>3</w:t>
                  </w:r>
                  <w:r>
                    <w:rPr>
                      <w:rFonts w:hint="eastAsia"/>
                      <w:color w:val="auto"/>
                      <w:sz w:val="21"/>
                      <w:szCs w:val="21"/>
                      <w:lang w:val="en-US" w:eastAsia="zh-CN"/>
                    </w:rPr>
                    <w:t>，对应无铬钝化剂</w:t>
                  </w:r>
                  <w:r>
                    <w:rPr>
                      <w:rFonts w:hint="eastAsia"/>
                      <w:color w:val="auto"/>
                      <w:sz w:val="21"/>
                      <w:szCs w:val="21"/>
                    </w:rPr>
                    <w:t>用量为</w:t>
                  </w:r>
                  <w:r>
                    <w:rPr>
                      <w:rFonts w:hint="eastAsia"/>
                      <w:color w:val="auto"/>
                      <w:sz w:val="21"/>
                      <w:szCs w:val="21"/>
                      <w:lang w:val="en-US" w:eastAsia="zh-CN"/>
                    </w:rPr>
                    <w:t>=槽液</w:t>
                  </w:r>
                  <w:r>
                    <w:rPr>
                      <w:rFonts w:hint="eastAsia"/>
                      <w:color w:val="auto"/>
                      <w:sz w:val="21"/>
                      <w:szCs w:val="21"/>
                    </w:rPr>
                    <w:t>年更换量×工艺浓度=</w:t>
                  </w:r>
                  <w:r>
                    <w:rPr>
                      <w:rFonts w:hint="eastAsia"/>
                      <w:color w:val="auto"/>
                      <w:sz w:val="21"/>
                      <w:szCs w:val="21"/>
                      <w:lang w:val="en-US" w:eastAsia="zh-CN"/>
                    </w:rPr>
                    <w:t>44.8m</w:t>
                  </w:r>
                  <w:r>
                    <w:rPr>
                      <w:rFonts w:hint="eastAsia"/>
                      <w:color w:val="auto"/>
                      <w:sz w:val="21"/>
                      <w:szCs w:val="21"/>
                      <w:vertAlign w:val="superscript"/>
                      <w:lang w:val="en-US" w:eastAsia="zh-CN"/>
                    </w:rPr>
                    <w:t>3</w:t>
                  </w:r>
                  <w:r>
                    <w:rPr>
                      <w:rFonts w:hint="eastAsia"/>
                      <w:color w:val="auto"/>
                      <w:sz w:val="21"/>
                      <w:szCs w:val="21"/>
                    </w:rPr>
                    <w:t>/</w:t>
                  </w:r>
                  <w:r>
                    <w:rPr>
                      <w:rFonts w:hint="eastAsia"/>
                      <w:color w:val="auto"/>
                      <w:sz w:val="21"/>
                      <w:szCs w:val="21"/>
                      <w:lang w:val="en-US" w:eastAsia="zh-CN"/>
                    </w:rPr>
                    <w:t>a×1%×1.003t/m</w:t>
                  </w:r>
                  <w:r>
                    <w:rPr>
                      <w:rFonts w:hint="eastAsia"/>
                      <w:color w:val="auto"/>
                      <w:sz w:val="21"/>
                      <w:szCs w:val="21"/>
                      <w:vertAlign w:val="superscript"/>
                      <w:lang w:val="en-US" w:eastAsia="zh-CN"/>
                    </w:rPr>
                    <w:t>3</w:t>
                  </w:r>
                  <w:r>
                    <w:rPr>
                      <w:rFonts w:hint="eastAsia"/>
                      <w:color w:val="auto"/>
                      <w:sz w:val="21"/>
                      <w:szCs w:val="21"/>
                    </w:rPr>
                    <w:t>=</w:t>
                  </w:r>
                  <w:r>
                    <w:rPr>
                      <w:rFonts w:hint="eastAsia"/>
                      <w:color w:val="auto"/>
                      <w:sz w:val="21"/>
                      <w:szCs w:val="21"/>
                      <w:lang w:val="en-US" w:eastAsia="zh-CN"/>
                    </w:rPr>
                    <w:t>0.449</w:t>
                  </w:r>
                  <w:r>
                    <w:rPr>
                      <w:rFonts w:hint="eastAsia"/>
                      <w:color w:val="auto"/>
                      <w:sz w:val="21"/>
                      <w:szCs w:val="21"/>
                    </w:rPr>
                    <w:t>t/</w:t>
                  </w:r>
                  <w:r>
                    <w:rPr>
                      <w:rFonts w:hint="eastAsia"/>
                      <w:color w:val="auto"/>
                      <w:sz w:val="21"/>
                      <w:szCs w:val="21"/>
                      <w:lang w:val="en-US" w:eastAsia="zh-CN"/>
                    </w:rPr>
                    <w:t>a。参考《污染源源强核算技术指南 电镀》（HJ984-2018）中附录 D 不同形状镀件镀液带出量参考值一览表中简单镀件形状的自动线挂镀的镀液带出量＜0.1L/m</w:t>
                  </w:r>
                  <w:r>
                    <w:rPr>
                      <w:rFonts w:hint="eastAsia"/>
                      <w:color w:val="auto"/>
                      <w:sz w:val="21"/>
                      <w:szCs w:val="21"/>
                      <w:vertAlign w:val="superscript"/>
                      <w:lang w:val="en-US" w:eastAsia="zh-CN"/>
                    </w:rPr>
                    <w:t>2</w:t>
                  </w:r>
                  <w:r>
                    <w:rPr>
                      <w:rFonts w:hint="eastAsia"/>
                      <w:color w:val="auto"/>
                      <w:sz w:val="21"/>
                      <w:szCs w:val="21"/>
                      <w:lang w:val="en-US" w:eastAsia="zh-CN"/>
                    </w:rPr>
                    <w:t xml:space="preserve"> ， 取 值 0.1L/m</w:t>
                  </w:r>
                  <w:r>
                    <w:rPr>
                      <w:rFonts w:hint="eastAsia"/>
                      <w:color w:val="auto"/>
                      <w:sz w:val="21"/>
                      <w:szCs w:val="21"/>
                      <w:vertAlign w:val="superscript"/>
                      <w:lang w:val="en-US" w:eastAsia="zh-CN"/>
                    </w:rPr>
                    <w:t>2</w:t>
                  </w:r>
                  <w:r>
                    <w:rPr>
                      <w:rFonts w:hint="eastAsia"/>
                      <w:color w:val="auto"/>
                      <w:sz w:val="21"/>
                      <w:szCs w:val="21"/>
                      <w:lang w:val="en-US" w:eastAsia="zh-CN"/>
                    </w:rPr>
                    <w:t xml:space="preserve"> 。根据建设单位提供数据，单位面积工件无铬钝化反应消耗量为0.004kg/m</w:t>
                  </w:r>
                  <w:r>
                    <w:rPr>
                      <w:rFonts w:hint="eastAsia"/>
                      <w:color w:val="auto"/>
                      <w:sz w:val="21"/>
                      <w:szCs w:val="21"/>
                      <w:vertAlign w:val="superscript"/>
                      <w:lang w:val="en-US" w:eastAsia="zh-CN"/>
                    </w:rPr>
                    <w:t>2</w:t>
                  </w:r>
                  <w:r>
                    <w:rPr>
                      <w:rFonts w:hint="eastAsia"/>
                      <w:color w:val="auto"/>
                      <w:sz w:val="21"/>
                      <w:szCs w:val="21"/>
                      <w:vertAlign w:val="baseline"/>
                      <w:lang w:val="en-US" w:eastAsia="zh-CN"/>
                    </w:rPr>
                    <w:t>，需钝化处理的工件面积为550000m</w:t>
                  </w:r>
                  <w:r>
                    <w:rPr>
                      <w:rFonts w:hint="eastAsia"/>
                      <w:color w:val="auto"/>
                      <w:sz w:val="21"/>
                      <w:szCs w:val="21"/>
                      <w:vertAlign w:val="superscript"/>
                      <w:lang w:val="en-US" w:eastAsia="zh-CN"/>
                    </w:rPr>
                    <w:t>2</w:t>
                  </w:r>
                  <w:r>
                    <w:rPr>
                      <w:rFonts w:hint="eastAsia"/>
                      <w:color w:val="auto"/>
                      <w:sz w:val="21"/>
                      <w:szCs w:val="21"/>
                      <w:vertAlign w:val="baseline"/>
                      <w:lang w:val="en-US" w:eastAsia="zh-CN"/>
                    </w:rPr>
                    <w:t>，</w:t>
                  </w:r>
                  <w:r>
                    <w:rPr>
                      <w:rFonts w:hint="eastAsia"/>
                      <w:color w:val="auto"/>
                      <w:sz w:val="21"/>
                      <w:szCs w:val="21"/>
                      <w:lang w:val="en-US" w:eastAsia="zh-CN"/>
                    </w:rPr>
                    <w:t>工件带出量为0.1L/m</w:t>
                  </w:r>
                  <w:r>
                    <w:rPr>
                      <w:rFonts w:hint="eastAsia"/>
                      <w:color w:val="auto"/>
                      <w:sz w:val="21"/>
                      <w:szCs w:val="21"/>
                      <w:vertAlign w:val="superscript"/>
                      <w:lang w:val="en-US" w:eastAsia="zh-CN"/>
                    </w:rPr>
                    <w:t>2</w:t>
                  </w:r>
                  <w:r>
                    <w:rPr>
                      <w:rFonts w:hint="eastAsia"/>
                      <w:color w:val="auto"/>
                      <w:sz w:val="21"/>
                      <w:szCs w:val="21"/>
                      <w:lang w:val="en-US" w:eastAsia="zh-CN"/>
                    </w:rPr>
                    <w:t xml:space="preserve"> × 550000m</w:t>
                  </w:r>
                  <w:r>
                    <w:rPr>
                      <w:rFonts w:hint="eastAsia"/>
                      <w:color w:val="auto"/>
                      <w:sz w:val="21"/>
                      <w:szCs w:val="21"/>
                      <w:vertAlign w:val="superscript"/>
                      <w:lang w:val="en-US" w:eastAsia="zh-CN"/>
                    </w:rPr>
                    <w:t>2</w:t>
                  </w:r>
                  <w:r>
                    <w:rPr>
                      <w:rFonts w:hint="eastAsia"/>
                      <w:color w:val="auto"/>
                      <w:sz w:val="21"/>
                      <w:szCs w:val="21"/>
                      <w:lang w:val="en-US" w:eastAsia="zh-CN"/>
                    </w:rPr>
                    <w:t xml:space="preserve"> ×2×1.003kg/L</w:t>
                  </w:r>
                  <w:r>
                    <w:rPr>
                      <w:rFonts w:hint="eastAsia"/>
                      <w:color w:val="auto"/>
                      <w:sz w:val="21"/>
                      <w:szCs w:val="21"/>
                      <w:vertAlign w:val="baseline"/>
                      <w:lang w:val="en-US" w:eastAsia="zh-CN"/>
                    </w:rPr>
                    <w:t>×1%</w:t>
                  </w:r>
                  <w:r>
                    <w:rPr>
                      <w:rFonts w:hint="eastAsia"/>
                      <w:color w:val="auto"/>
                      <w:sz w:val="21"/>
                      <w:szCs w:val="21"/>
                      <w:lang w:val="en-US" w:eastAsia="zh-CN"/>
                    </w:rPr>
                    <w:t>× 10</w:t>
                  </w:r>
                  <w:r>
                    <w:rPr>
                      <w:rFonts w:hint="eastAsia"/>
                      <w:color w:val="auto"/>
                      <w:sz w:val="21"/>
                      <w:szCs w:val="21"/>
                      <w:vertAlign w:val="superscript"/>
                      <w:lang w:val="en-US" w:eastAsia="zh-CN"/>
                    </w:rPr>
                    <w:t>-3</w:t>
                  </w:r>
                  <w:r>
                    <w:rPr>
                      <w:rFonts w:hint="eastAsia"/>
                      <w:color w:val="auto"/>
                      <w:sz w:val="21"/>
                      <w:szCs w:val="21"/>
                      <w:lang w:val="en-US" w:eastAsia="zh-CN"/>
                    </w:rPr>
                    <w:t>= 1.102t/a。</w:t>
                  </w:r>
                  <w:r>
                    <w:rPr>
                      <w:rFonts w:hint="eastAsia"/>
                      <w:color w:val="auto"/>
                      <w:sz w:val="21"/>
                      <w:szCs w:val="21"/>
                      <w:vertAlign w:val="baseline"/>
                      <w:lang w:val="en-US" w:eastAsia="zh-CN"/>
                    </w:rPr>
                    <w:t>则</w:t>
                  </w:r>
                  <w:r>
                    <w:rPr>
                      <w:rFonts w:hint="eastAsia"/>
                      <w:color w:val="auto"/>
                      <w:sz w:val="21"/>
                      <w:szCs w:val="21"/>
                      <w:lang w:val="en-US" w:eastAsia="zh-CN"/>
                    </w:rPr>
                    <w:t>生产消耗量为0.004kg/m</w:t>
                  </w:r>
                  <w:r>
                    <w:rPr>
                      <w:rFonts w:hint="eastAsia"/>
                      <w:color w:val="auto"/>
                      <w:sz w:val="21"/>
                      <w:szCs w:val="21"/>
                      <w:vertAlign w:val="superscript"/>
                      <w:lang w:val="en-US" w:eastAsia="zh-CN"/>
                    </w:rPr>
                    <w:t>2</w:t>
                  </w:r>
                  <w:r>
                    <w:rPr>
                      <w:rFonts w:hint="eastAsia"/>
                      <w:color w:val="auto"/>
                      <w:sz w:val="21"/>
                      <w:szCs w:val="21"/>
                      <w:lang w:val="en-US" w:eastAsia="zh-CN"/>
                    </w:rPr>
                    <w:t>×550000m</w:t>
                  </w:r>
                  <w:r>
                    <w:rPr>
                      <w:rFonts w:hint="eastAsia"/>
                      <w:color w:val="auto"/>
                      <w:sz w:val="21"/>
                      <w:szCs w:val="21"/>
                      <w:vertAlign w:val="superscript"/>
                      <w:lang w:val="en-US" w:eastAsia="zh-CN"/>
                    </w:rPr>
                    <w:t>2</w:t>
                  </w:r>
                  <w:r>
                    <w:rPr>
                      <w:rFonts w:hint="eastAsia"/>
                      <w:color w:val="auto"/>
                      <w:sz w:val="21"/>
                      <w:szCs w:val="21"/>
                      <w:lang w:val="en-US" w:eastAsia="zh-CN"/>
                    </w:rPr>
                    <w:t xml:space="preserve"> × 10</w:t>
                  </w:r>
                  <w:r>
                    <w:rPr>
                      <w:rFonts w:hint="eastAsia"/>
                      <w:color w:val="auto"/>
                      <w:sz w:val="21"/>
                      <w:szCs w:val="21"/>
                      <w:vertAlign w:val="superscript"/>
                      <w:lang w:val="en-US" w:eastAsia="zh-CN"/>
                    </w:rPr>
                    <w:t>-3</w:t>
                  </w:r>
                  <w:r>
                    <w:rPr>
                      <w:rFonts w:hint="eastAsia"/>
                      <w:color w:val="auto"/>
                      <w:sz w:val="21"/>
                      <w:szCs w:val="21"/>
                      <w:vertAlign w:val="baseline"/>
                      <w:lang w:val="en-US" w:eastAsia="zh-CN"/>
                    </w:rPr>
                    <w:t>=2.2t/a。</w:t>
                  </w:r>
                  <w:r>
                    <w:rPr>
                      <w:rFonts w:hint="eastAsia"/>
                      <w:color w:val="auto"/>
                      <w:sz w:val="21"/>
                      <w:szCs w:val="21"/>
                      <w:lang w:val="en-US" w:eastAsia="zh-CN"/>
                    </w:rPr>
                    <w:t>以上</w:t>
                  </w:r>
                  <w:r>
                    <w:rPr>
                      <w:rFonts w:hint="eastAsia"/>
                      <w:color w:val="auto"/>
                      <w:sz w:val="21"/>
                      <w:szCs w:val="21"/>
                    </w:rPr>
                    <w:t>合计</w:t>
                  </w:r>
                  <w:r>
                    <w:rPr>
                      <w:rFonts w:hint="eastAsia"/>
                      <w:color w:val="auto"/>
                      <w:sz w:val="21"/>
                      <w:szCs w:val="21"/>
                      <w:lang w:val="en-US" w:eastAsia="zh-CN"/>
                    </w:rPr>
                    <w:t>无铬钝化剂用量为=0.449+1.102+2.2=3.750</w:t>
                  </w:r>
                  <w:r>
                    <w:rPr>
                      <w:rFonts w:hint="eastAsia"/>
                      <w:color w:val="auto"/>
                      <w:sz w:val="21"/>
                      <w:szCs w:val="21"/>
                    </w:rPr>
                    <w:t>t/a</w:t>
                  </w:r>
                  <w:r>
                    <w:rPr>
                      <w:rFonts w:hint="eastAsia"/>
                      <w:color w:val="auto"/>
                      <w:sz w:val="21"/>
                      <w:szCs w:val="21"/>
                      <w:lang w:eastAsia="zh-CN"/>
                    </w:rPr>
                    <w:t>。</w:t>
                  </w:r>
                </w:p>
                <w:p w14:paraId="0AD8408C">
                  <w:pPr>
                    <w:keepNext w:val="0"/>
                    <w:keepLines w:val="0"/>
                    <w:pageBreakBefore w:val="0"/>
                    <w:widowControl w:val="0"/>
                    <w:kinsoku/>
                    <w:wordWrap w:val="0"/>
                    <w:overflowPunct/>
                    <w:topLinePunct w:val="0"/>
                    <w:autoSpaceDE/>
                    <w:autoSpaceDN/>
                    <w:bidi w:val="0"/>
                    <w:adjustRightInd/>
                    <w:snapToGrid/>
                    <w:spacing w:line="240" w:lineRule="auto"/>
                    <w:jc w:val="left"/>
                    <w:textAlignment w:val="auto"/>
                    <w:outlineLvl w:val="9"/>
                    <w:rPr>
                      <w:rFonts w:hint="default" w:ascii="Times New Roman" w:hAnsi="Times New Roman" w:cs="Times New Roman"/>
                      <w:bCs/>
                      <w:color w:val="auto"/>
                      <w:sz w:val="21"/>
                      <w:szCs w:val="21"/>
                      <w:highlight w:val="none"/>
                      <w:lang w:eastAsia="zh-CN"/>
                    </w:rPr>
                  </w:pPr>
                  <w:r>
                    <w:rPr>
                      <w:rFonts w:hint="eastAsia"/>
                      <w:color w:val="auto"/>
                      <w:sz w:val="21"/>
                      <w:szCs w:val="21"/>
                      <w:lang w:val="en-US" w:eastAsia="zh-CN"/>
                    </w:rPr>
                    <w:t>⑥</w:t>
                  </w:r>
                  <w:r>
                    <w:rPr>
                      <w:rFonts w:hint="default" w:ascii="Times New Roman" w:hAnsi="Times New Roman" w:cs="Times New Roman"/>
                      <w:bCs/>
                      <w:color w:val="auto"/>
                      <w:sz w:val="21"/>
                      <w:szCs w:val="21"/>
                      <w:highlight w:val="none"/>
                      <w:lang w:val="en-US" w:eastAsia="zh-CN"/>
                    </w:rPr>
                    <w:t>油性漆-底漆</w:t>
                  </w:r>
                  <w:r>
                    <w:rPr>
                      <w:rFonts w:hint="default" w:ascii="Times New Roman" w:hAnsi="Times New Roman" w:cs="Times New Roman"/>
                      <w:bCs/>
                      <w:color w:val="auto"/>
                      <w:sz w:val="21"/>
                      <w:szCs w:val="21"/>
                      <w:highlight w:val="none"/>
                    </w:rPr>
                    <w:t>调配方案为</w:t>
                  </w:r>
                  <w:r>
                    <w:rPr>
                      <w:rFonts w:hint="default" w:ascii="Times New Roman" w:hAnsi="Times New Roman" w:cs="Times New Roman"/>
                      <w:color w:val="auto"/>
                      <w:sz w:val="21"/>
                      <w:szCs w:val="21"/>
                      <w:highlight w:val="none"/>
                      <w:lang w:val="en-US" w:eastAsia="zh-CN"/>
                    </w:rPr>
                    <w:t>底漆:稀释剂=</w:t>
                  </w:r>
                  <w:r>
                    <w:rPr>
                      <w:rFonts w:hint="eastAsia" w:ascii="Times New Roman" w:hAnsi="Times New Roman" w:cs="Times New Roman"/>
                      <w:color w:val="auto"/>
                      <w:sz w:val="21"/>
                      <w:szCs w:val="21"/>
                      <w:highlight w:val="none"/>
                      <w:lang w:val="en-US" w:eastAsia="zh-CN"/>
                    </w:rPr>
                    <w:t>1：0.1</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bCs/>
                      <w:color w:val="auto"/>
                      <w:sz w:val="21"/>
                      <w:szCs w:val="21"/>
                      <w:highlight w:val="none"/>
                      <w:lang w:val="en-US" w:eastAsia="zh-CN"/>
                    </w:rPr>
                    <w:t>已知底</w:t>
                  </w:r>
                  <w:r>
                    <w:rPr>
                      <w:rFonts w:hint="default" w:ascii="Times New Roman" w:hAnsi="Times New Roman" w:cs="Times New Roman"/>
                      <w:bCs/>
                      <w:color w:val="auto"/>
                      <w:sz w:val="21"/>
                      <w:szCs w:val="21"/>
                      <w:highlight w:val="none"/>
                    </w:rPr>
                    <w:t>漆的密度为1</w:t>
                  </w:r>
                  <w:r>
                    <w:rPr>
                      <w:rFonts w:hint="default"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val="en-US" w:eastAsia="zh-CN"/>
                    </w:rPr>
                    <w:t>173</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vertAlign w:val="baseline"/>
                      <w:lang w:eastAsia="zh-CN"/>
                    </w:rPr>
                    <w:t>，</w:t>
                  </w:r>
                  <w:r>
                    <w:rPr>
                      <w:rFonts w:hint="default" w:ascii="Times New Roman" w:hAnsi="Times New Roman" w:cs="Times New Roman"/>
                      <w:bCs/>
                      <w:color w:val="auto"/>
                      <w:sz w:val="21"/>
                      <w:szCs w:val="21"/>
                      <w:highlight w:val="none"/>
                      <w:lang w:val="en-US" w:eastAsia="zh-CN"/>
                    </w:rPr>
                    <w:t>稀释</w:t>
                  </w:r>
                  <w:r>
                    <w:rPr>
                      <w:rFonts w:hint="default" w:ascii="Times New Roman" w:hAnsi="Times New Roman" w:cs="Times New Roman"/>
                      <w:bCs/>
                      <w:color w:val="auto"/>
                      <w:sz w:val="21"/>
                      <w:szCs w:val="21"/>
                      <w:highlight w:val="none"/>
                    </w:rPr>
                    <w:t>剂的密度为</w:t>
                  </w:r>
                  <w:r>
                    <w:rPr>
                      <w:rFonts w:hint="eastAsia" w:cs="Times New Roman"/>
                      <w:bCs/>
                      <w:color w:val="auto"/>
                      <w:sz w:val="21"/>
                      <w:szCs w:val="21"/>
                      <w:highlight w:val="none"/>
                      <w:lang w:val="en-US" w:eastAsia="zh-CN"/>
                    </w:rPr>
                    <w:t>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。调配后</w:t>
                  </w:r>
                  <w:r>
                    <w:rPr>
                      <w:rFonts w:hint="eastAsia" w:cs="Times New Roman"/>
                      <w:bCs/>
                      <w:color w:val="auto"/>
                      <w:sz w:val="21"/>
                      <w:szCs w:val="21"/>
                      <w:highlight w:val="none"/>
                      <w:lang w:val="en-US" w:eastAsia="zh-CN"/>
                    </w:rPr>
                    <w:t>油性</w:t>
                  </w:r>
                  <w:r>
                    <w:rPr>
                      <w:rFonts w:hint="default" w:ascii="Times New Roman" w:hAnsi="Times New Roman" w:cs="Times New Roman"/>
                      <w:bCs/>
                      <w:color w:val="auto"/>
                      <w:sz w:val="21"/>
                      <w:szCs w:val="21"/>
                      <w:highlight w:val="none"/>
                      <w:lang w:val="en-US" w:eastAsia="zh-CN"/>
                    </w:rPr>
                    <w:t>底漆</w:t>
                  </w:r>
                  <w:r>
                    <w:rPr>
                      <w:rFonts w:hint="default" w:ascii="Times New Roman" w:hAnsi="Times New Roman" w:cs="Times New Roman"/>
                      <w:bCs/>
                      <w:color w:val="auto"/>
                      <w:sz w:val="21"/>
                      <w:szCs w:val="21"/>
                      <w:highlight w:val="none"/>
                    </w:rPr>
                    <w:t>密度、固含量的计算过程如下：设</w:t>
                  </w:r>
                  <w:r>
                    <w:rPr>
                      <w:rFonts w:hint="default" w:ascii="Times New Roman" w:hAnsi="Times New Roman" w:cs="Times New Roman"/>
                      <w:bCs/>
                      <w:color w:val="auto"/>
                      <w:sz w:val="21"/>
                      <w:szCs w:val="21"/>
                      <w:highlight w:val="none"/>
                      <w:lang w:val="en-US" w:eastAsia="zh-CN"/>
                    </w:rPr>
                    <w:t>底</w:t>
                  </w:r>
                  <w:r>
                    <w:rPr>
                      <w:rFonts w:hint="default" w:ascii="Times New Roman" w:hAnsi="Times New Roman" w:cs="Times New Roman"/>
                      <w:bCs/>
                      <w:color w:val="auto"/>
                      <w:sz w:val="21"/>
                      <w:szCs w:val="21"/>
                      <w:highlight w:val="none"/>
                    </w:rPr>
                    <w:t>漆的年用量约为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X克，则稀释剂的年用量为</w:t>
                  </w:r>
                  <w:r>
                    <w:rPr>
                      <w:rFonts w:hint="eastAsia" w:cs="Times New Roman"/>
                      <w:bCs/>
                      <w:color w:val="auto"/>
                      <w:sz w:val="21"/>
                      <w:szCs w:val="21"/>
                      <w:highlight w:val="none"/>
                      <w:lang w:val="en-US" w:eastAsia="zh-CN"/>
                    </w:rPr>
                    <w:t>0.1</w:t>
                  </w:r>
                  <w:r>
                    <w:rPr>
                      <w:rFonts w:hint="default" w:ascii="Times New Roman" w:hAnsi="Times New Roman" w:cs="Times New Roman"/>
                      <w:bCs/>
                      <w:color w:val="auto"/>
                      <w:sz w:val="21"/>
                      <w:szCs w:val="21"/>
                      <w:highlight w:val="none"/>
                    </w:rPr>
                    <w:t>X克；调配后的</w:t>
                  </w:r>
                  <w:r>
                    <w:rPr>
                      <w:rFonts w:hint="eastAsia" w:cs="Times New Roman"/>
                      <w:bCs/>
                      <w:color w:val="auto"/>
                      <w:sz w:val="21"/>
                      <w:szCs w:val="21"/>
                      <w:highlight w:val="none"/>
                      <w:lang w:val="en-US" w:eastAsia="zh-CN"/>
                    </w:rPr>
                    <w:t>油性</w:t>
                  </w:r>
                  <w:r>
                    <w:rPr>
                      <w:rFonts w:hint="default" w:ascii="Times New Roman" w:hAnsi="Times New Roman" w:cs="Times New Roman"/>
                      <w:bCs/>
                      <w:color w:val="auto"/>
                      <w:sz w:val="21"/>
                      <w:szCs w:val="21"/>
                      <w:highlight w:val="none"/>
                      <w:lang w:val="en-US" w:eastAsia="zh-CN"/>
                    </w:rPr>
                    <w:t>底漆</w:t>
                  </w:r>
                  <w:r>
                    <w:rPr>
                      <w:rFonts w:hint="default" w:ascii="Times New Roman" w:hAnsi="Times New Roman" w:cs="Times New Roman"/>
                      <w:bCs/>
                      <w:color w:val="auto"/>
                      <w:sz w:val="21"/>
                      <w:szCs w:val="21"/>
                      <w:highlight w:val="none"/>
                    </w:rPr>
                    <w:t>总年用量为：</w:t>
                  </w:r>
                  <w:r>
                    <w:rPr>
                      <w:rFonts w:hint="eastAsia"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w:t>
                  </w:r>
                  <w:r>
                    <w:rPr>
                      <w:rFonts w:hint="eastAsia" w:cs="Times New Roman"/>
                      <w:bCs/>
                      <w:color w:val="auto"/>
                      <w:sz w:val="21"/>
                      <w:szCs w:val="21"/>
                      <w:highlight w:val="none"/>
                      <w:lang w:val="en-US" w:eastAsia="zh-CN"/>
                    </w:rPr>
                    <w:t>0.1</w:t>
                  </w:r>
                  <w:r>
                    <w:rPr>
                      <w:rFonts w:hint="default" w:ascii="Times New Roman" w:hAnsi="Times New Roman" w:cs="Times New Roman"/>
                      <w:bCs/>
                      <w:color w:val="auto"/>
                      <w:sz w:val="21"/>
                      <w:szCs w:val="21"/>
                      <w:highlight w:val="none"/>
                    </w:rPr>
                    <w:t>X=</w:t>
                  </w:r>
                  <w:r>
                    <w:rPr>
                      <w:rFonts w:hint="default" w:ascii="Times New Roman" w:hAnsi="Times New Roman" w:cs="Times New Roman"/>
                      <w:bCs/>
                      <w:color w:val="auto"/>
                      <w:sz w:val="21"/>
                      <w:szCs w:val="21"/>
                      <w:highlight w:val="none"/>
                      <w:lang w:val="en-US" w:eastAsia="zh-CN"/>
                    </w:rPr>
                    <w:t>1</w:t>
                  </w:r>
                  <w:r>
                    <w:rPr>
                      <w:rFonts w:hint="eastAsia"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Xg，总体积为：1X/</w:t>
                  </w:r>
                  <w:r>
                    <w:rPr>
                      <w:rFonts w:hint="default" w:ascii="Times New Roman" w:hAnsi="Times New Roman" w:cs="Times New Roman"/>
                      <w:bCs/>
                      <w:color w:val="auto"/>
                      <w:sz w:val="21"/>
                      <w:szCs w:val="21"/>
                      <w:highlight w:val="none"/>
                      <w:lang w:val="en-US" w:eastAsia="zh-CN"/>
                    </w:rPr>
                    <w:t>1.</w:t>
                  </w:r>
                  <w:r>
                    <w:rPr>
                      <w:rFonts w:hint="eastAsia" w:ascii="Times New Roman" w:hAnsi="Times New Roman" w:cs="Times New Roman"/>
                      <w:bCs/>
                      <w:color w:val="auto"/>
                      <w:sz w:val="21"/>
                      <w:szCs w:val="21"/>
                      <w:highlight w:val="none"/>
                      <w:lang w:val="en-US" w:eastAsia="zh-CN"/>
                    </w:rPr>
                    <w:t>173</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w:t>
                  </w:r>
                  <w:r>
                    <w:rPr>
                      <w:rFonts w:hint="eastAsia" w:ascii="Times New Roman" w:hAnsi="Times New Roman" w:cs="Times New Roman"/>
                      <w:bCs/>
                      <w:color w:val="auto"/>
                      <w:sz w:val="21"/>
                      <w:szCs w:val="21"/>
                      <w:highlight w:val="none"/>
                      <w:lang w:val="en-US" w:eastAsia="zh-CN"/>
                    </w:rPr>
                    <w:t>0.1</w:t>
                  </w:r>
                  <w:r>
                    <w:rPr>
                      <w:rFonts w:hint="default" w:ascii="Times New Roman" w:hAnsi="Times New Roman" w:cs="Times New Roman"/>
                      <w:bCs/>
                      <w:color w:val="auto"/>
                      <w:sz w:val="21"/>
                      <w:szCs w:val="21"/>
                      <w:highlight w:val="none"/>
                    </w:rPr>
                    <w:t>X/</w:t>
                  </w:r>
                  <w:r>
                    <w:rPr>
                      <w:rFonts w:hint="eastAsia" w:cs="Times New Roman"/>
                      <w:bCs/>
                      <w:color w:val="auto"/>
                      <w:sz w:val="21"/>
                      <w:szCs w:val="21"/>
                      <w:highlight w:val="none"/>
                      <w:lang w:val="en-US" w:eastAsia="zh-CN"/>
                    </w:rPr>
                    <w:t>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lang w:val="en-US" w:eastAsia="zh-CN"/>
                    </w:rPr>
                    <w:t>≈</w:t>
                  </w:r>
                  <w:r>
                    <w:rPr>
                      <w:rFonts w:hint="eastAsia" w:cs="Times New Roman"/>
                      <w:bCs/>
                      <w:color w:val="auto"/>
                      <w:sz w:val="21"/>
                      <w:szCs w:val="21"/>
                      <w:highlight w:val="none"/>
                      <w:lang w:val="en-US" w:eastAsia="zh-CN"/>
                    </w:rPr>
                    <w:t>0.965</w:t>
                  </w:r>
                  <w:r>
                    <w:rPr>
                      <w:rFonts w:hint="default" w:ascii="Times New Roman" w:hAnsi="Times New Roman" w:cs="Times New Roman"/>
                      <w:bCs/>
                      <w:color w:val="auto"/>
                      <w:sz w:val="21"/>
                      <w:szCs w:val="21"/>
                      <w:highlight w:val="none"/>
                    </w:rPr>
                    <w:t>Xcm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lang w:eastAsia="zh-CN"/>
                    </w:rPr>
                    <w:t>。</w:t>
                  </w:r>
                </w:p>
                <w:p w14:paraId="7FD7AD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eastAsia" w:eastAsia="宋体"/>
                      <w:color w:val="auto"/>
                      <w:sz w:val="21"/>
                      <w:szCs w:val="21"/>
                      <w:lang w:val="en-US" w:eastAsia="zh-CN"/>
                    </w:rPr>
                  </w:pPr>
                  <w:r>
                    <w:rPr>
                      <w:rFonts w:hint="default" w:ascii="Times New Roman" w:hAnsi="Times New Roman" w:cs="Times New Roman"/>
                      <w:bCs/>
                      <w:color w:val="auto"/>
                      <w:sz w:val="21"/>
                      <w:szCs w:val="21"/>
                      <w:highlight w:val="none"/>
                    </w:rPr>
                    <w:t>调配后的底漆相对密度为：</w:t>
                  </w:r>
                  <w:r>
                    <w:rPr>
                      <w:rFonts w:hint="default" w:ascii="Times New Roman" w:hAnsi="Times New Roman" w:cs="Times New Roman"/>
                      <w:bCs/>
                      <w:color w:val="auto"/>
                      <w:sz w:val="21"/>
                      <w:szCs w:val="21"/>
                      <w:highlight w:val="none"/>
                      <w:lang w:val="en-US" w:eastAsia="zh-CN"/>
                    </w:rPr>
                    <w:t>1</w:t>
                  </w:r>
                  <w:r>
                    <w:rPr>
                      <w:rFonts w:hint="eastAsia"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Xg/</w:t>
                  </w:r>
                  <w:r>
                    <w:rPr>
                      <w:rFonts w:hint="eastAsia" w:cs="Times New Roman"/>
                      <w:bCs/>
                      <w:color w:val="auto"/>
                      <w:sz w:val="21"/>
                      <w:szCs w:val="21"/>
                      <w:highlight w:val="none"/>
                      <w:lang w:val="en-US" w:eastAsia="zh-CN"/>
                    </w:rPr>
                    <w:t>0.965</w:t>
                  </w:r>
                  <w:r>
                    <w:rPr>
                      <w:rFonts w:hint="default" w:ascii="Times New Roman" w:hAnsi="Times New Roman" w:cs="Times New Roman"/>
                      <w:bCs/>
                      <w:color w:val="auto"/>
                      <w:sz w:val="21"/>
                      <w:szCs w:val="21"/>
                      <w:highlight w:val="none"/>
                    </w:rPr>
                    <w:t>Xcm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lang w:val="en-US" w:eastAsia="zh-CN"/>
                    </w:rPr>
                    <w:t>≈</w:t>
                  </w:r>
                  <w:r>
                    <w:rPr>
                      <w:rFonts w:hint="eastAsia" w:cs="Times New Roman"/>
                      <w:bCs/>
                      <w:color w:val="auto"/>
                      <w:sz w:val="21"/>
                      <w:szCs w:val="21"/>
                      <w:highlight w:val="none"/>
                      <w:lang w:val="en-US" w:eastAsia="zh-CN"/>
                    </w:rPr>
                    <w:t>1.14</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，固含率</w:t>
                  </w:r>
                  <w:r>
                    <w:rPr>
                      <w:rFonts w:hint="eastAsia" w:cs="Times New Roman"/>
                      <w:bCs/>
                      <w:color w:val="auto"/>
                      <w:sz w:val="21"/>
                      <w:szCs w:val="21"/>
                      <w:highlight w:val="none"/>
                      <w:lang w:val="en-US" w:eastAsia="zh-CN"/>
                    </w:rPr>
                    <w:t>=油性底漆的固含量/调配后的油性底漆总年用量=（1-279g/L/1.173</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）X/1.1Xg×100%=69.29</w:t>
                  </w:r>
                  <w:r>
                    <w:rPr>
                      <w:rFonts w:hint="default" w:ascii="Times New Roman" w:hAnsi="Times New Roman" w:cs="Times New Roman"/>
                      <w:bCs/>
                      <w:color w:val="auto"/>
                      <w:sz w:val="21"/>
                      <w:szCs w:val="21"/>
                      <w:highlight w:val="none"/>
                    </w:rPr>
                    <w:t>%</w:t>
                  </w:r>
                  <w:r>
                    <w:rPr>
                      <w:rFonts w:hint="eastAsia" w:ascii="Times New Roman" w:hAnsi="Times New Roman" w:cs="Times New Roman"/>
                      <w:bCs/>
                      <w:color w:val="auto"/>
                      <w:sz w:val="21"/>
                      <w:szCs w:val="21"/>
                      <w:highlight w:val="none"/>
                      <w:lang w:eastAsia="zh-CN"/>
                    </w:rPr>
                    <w:t>。</w:t>
                  </w:r>
                </w:p>
                <w:p w14:paraId="26D9EF74">
                  <w:pPr>
                    <w:keepNext w:val="0"/>
                    <w:keepLines w:val="0"/>
                    <w:pageBreakBefore w:val="0"/>
                    <w:widowControl w:val="0"/>
                    <w:kinsoku/>
                    <w:wordWrap w:val="0"/>
                    <w:overflowPunct/>
                    <w:topLinePunct w:val="0"/>
                    <w:autoSpaceDE/>
                    <w:autoSpaceDN/>
                    <w:bidi w:val="0"/>
                    <w:adjustRightInd/>
                    <w:snapToGrid/>
                    <w:spacing w:line="240" w:lineRule="auto"/>
                    <w:jc w:val="left"/>
                    <w:textAlignment w:val="auto"/>
                    <w:outlineLvl w:val="9"/>
                    <w:rPr>
                      <w:rFonts w:hint="default" w:ascii="Times New Roman" w:hAnsi="Times New Roman"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val="en-US" w:eastAsia="zh-CN"/>
                    </w:rPr>
                    <w:t>⑦</w:t>
                  </w:r>
                  <w:r>
                    <w:rPr>
                      <w:rFonts w:hint="default" w:ascii="Times New Roman" w:hAnsi="Times New Roman" w:cs="Times New Roman"/>
                      <w:bCs/>
                      <w:color w:val="auto"/>
                      <w:sz w:val="21"/>
                      <w:szCs w:val="21"/>
                      <w:highlight w:val="none"/>
                      <w:lang w:val="en-US" w:eastAsia="zh-CN"/>
                    </w:rPr>
                    <w:t>油性漆-面漆调配方案为：</w:t>
                  </w:r>
                  <w:r>
                    <w:rPr>
                      <w:rFonts w:hint="default" w:ascii="Times New Roman" w:hAnsi="Times New Roman" w:cs="Times New Roman"/>
                      <w:color w:val="auto"/>
                      <w:sz w:val="21"/>
                      <w:szCs w:val="21"/>
                      <w:highlight w:val="none"/>
                      <w:lang w:val="en-US" w:eastAsia="zh-CN"/>
                    </w:rPr>
                    <w:t>面漆:稀释剂=1:0.</w:t>
                  </w:r>
                  <w:r>
                    <w:rPr>
                      <w:rFonts w:hint="eastAsia"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bCs/>
                      <w:color w:val="auto"/>
                      <w:sz w:val="21"/>
                      <w:szCs w:val="21"/>
                      <w:highlight w:val="none"/>
                      <w:lang w:val="en-US" w:eastAsia="zh-CN"/>
                    </w:rPr>
                    <w:t>已知面</w:t>
                  </w:r>
                  <w:r>
                    <w:rPr>
                      <w:rFonts w:hint="default" w:ascii="Times New Roman" w:hAnsi="Times New Roman" w:cs="Times New Roman"/>
                      <w:bCs/>
                      <w:color w:val="auto"/>
                      <w:sz w:val="21"/>
                      <w:szCs w:val="21"/>
                      <w:highlight w:val="none"/>
                    </w:rPr>
                    <w:t>漆的密度为1</w:t>
                  </w:r>
                  <w:r>
                    <w:rPr>
                      <w:rFonts w:hint="default" w:ascii="Times New Roman" w:hAnsi="Times New Roman" w:cs="Times New Roman"/>
                      <w:bCs/>
                      <w:color w:val="auto"/>
                      <w:sz w:val="21"/>
                      <w:szCs w:val="21"/>
                      <w:highlight w:val="none"/>
                      <w:lang w:val="en-US" w:eastAsia="zh-CN"/>
                    </w:rPr>
                    <w:t>.07</w:t>
                  </w:r>
                  <w:r>
                    <w:rPr>
                      <w:rFonts w:hint="eastAsia"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vertAlign w:val="baseline"/>
                      <w:lang w:eastAsia="zh-CN"/>
                    </w:rPr>
                    <w:t>，</w:t>
                  </w:r>
                  <w:r>
                    <w:rPr>
                      <w:rFonts w:hint="default" w:ascii="Times New Roman" w:hAnsi="Times New Roman" w:cs="Times New Roman"/>
                      <w:bCs/>
                      <w:color w:val="auto"/>
                      <w:sz w:val="21"/>
                      <w:szCs w:val="21"/>
                      <w:highlight w:val="none"/>
                      <w:lang w:val="en-US" w:eastAsia="zh-CN"/>
                    </w:rPr>
                    <w:t>稀释</w:t>
                  </w:r>
                  <w:r>
                    <w:rPr>
                      <w:rFonts w:hint="default" w:ascii="Times New Roman" w:hAnsi="Times New Roman" w:cs="Times New Roman"/>
                      <w:bCs/>
                      <w:color w:val="auto"/>
                      <w:sz w:val="21"/>
                      <w:szCs w:val="21"/>
                      <w:highlight w:val="none"/>
                    </w:rPr>
                    <w:t>剂的密度为</w:t>
                  </w:r>
                  <w:r>
                    <w:rPr>
                      <w:rFonts w:hint="eastAsia" w:cs="Times New Roman"/>
                      <w:bCs/>
                      <w:color w:val="auto"/>
                      <w:sz w:val="21"/>
                      <w:szCs w:val="21"/>
                      <w:highlight w:val="none"/>
                      <w:lang w:val="en-US" w:eastAsia="zh-CN"/>
                    </w:rPr>
                    <w:t>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。调配后</w:t>
                  </w:r>
                  <w:r>
                    <w:rPr>
                      <w:rFonts w:hint="eastAsia" w:cs="Times New Roman"/>
                      <w:bCs/>
                      <w:color w:val="auto"/>
                      <w:sz w:val="21"/>
                      <w:szCs w:val="21"/>
                      <w:highlight w:val="none"/>
                      <w:lang w:val="en-US" w:eastAsia="zh-CN"/>
                    </w:rPr>
                    <w:t>油性</w:t>
                  </w:r>
                  <w:r>
                    <w:rPr>
                      <w:rFonts w:hint="default" w:ascii="Times New Roman" w:hAnsi="Times New Roman" w:cs="Times New Roman"/>
                      <w:bCs/>
                      <w:color w:val="auto"/>
                      <w:sz w:val="21"/>
                      <w:szCs w:val="21"/>
                      <w:highlight w:val="none"/>
                      <w:lang w:val="en-US" w:eastAsia="zh-CN"/>
                    </w:rPr>
                    <w:t>面漆</w:t>
                  </w:r>
                  <w:r>
                    <w:rPr>
                      <w:rFonts w:hint="default" w:ascii="Times New Roman" w:hAnsi="Times New Roman" w:cs="Times New Roman"/>
                      <w:bCs/>
                      <w:color w:val="auto"/>
                      <w:sz w:val="21"/>
                      <w:szCs w:val="21"/>
                      <w:highlight w:val="none"/>
                    </w:rPr>
                    <w:t>密度、固含量的计算过程如下：设</w:t>
                  </w:r>
                  <w:r>
                    <w:rPr>
                      <w:rFonts w:hint="default" w:ascii="Times New Roman" w:hAnsi="Times New Roman" w:cs="Times New Roman"/>
                      <w:color w:val="auto"/>
                      <w:sz w:val="21"/>
                      <w:szCs w:val="21"/>
                      <w:highlight w:val="none"/>
                      <w:lang w:val="en-US" w:eastAsia="zh-CN"/>
                    </w:rPr>
                    <w:t>面漆</w:t>
                  </w:r>
                  <w:r>
                    <w:rPr>
                      <w:rFonts w:hint="default" w:ascii="Times New Roman" w:hAnsi="Times New Roman" w:cs="Times New Roman"/>
                      <w:bCs/>
                      <w:color w:val="auto"/>
                      <w:sz w:val="21"/>
                      <w:szCs w:val="21"/>
                      <w:highlight w:val="none"/>
                    </w:rPr>
                    <w:t>的年用量约为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X克，</w:t>
                  </w:r>
                  <w:r>
                    <w:rPr>
                      <w:rFonts w:hint="eastAsia" w:ascii="Times New Roman" w:hAnsi="Times New Roman" w:cs="Times New Roman"/>
                      <w:bCs/>
                      <w:color w:val="auto"/>
                      <w:sz w:val="21"/>
                      <w:szCs w:val="21"/>
                      <w:highlight w:val="none"/>
                      <w:lang w:val="en-US" w:eastAsia="zh-CN"/>
                    </w:rPr>
                    <w:t>则</w:t>
                  </w:r>
                  <w:r>
                    <w:rPr>
                      <w:rFonts w:hint="default" w:ascii="Times New Roman" w:hAnsi="Times New Roman" w:cs="Times New Roman"/>
                      <w:bCs/>
                      <w:color w:val="auto"/>
                      <w:sz w:val="21"/>
                      <w:szCs w:val="21"/>
                      <w:highlight w:val="none"/>
                    </w:rPr>
                    <w:t>稀释剂的年用量为</w:t>
                  </w:r>
                  <w:r>
                    <w:rPr>
                      <w:rFonts w:hint="default" w:ascii="Times New Roman" w:hAnsi="Times New Roman" w:cs="Times New Roman"/>
                      <w:bCs/>
                      <w:color w:val="auto"/>
                      <w:sz w:val="21"/>
                      <w:szCs w:val="21"/>
                      <w:highlight w:val="none"/>
                      <w:lang w:val="en-US" w:eastAsia="zh-CN"/>
                    </w:rPr>
                    <w:t>0.</w:t>
                  </w:r>
                  <w:r>
                    <w:rPr>
                      <w:rFonts w:hint="eastAsia" w:cs="Times New Roman"/>
                      <w:bCs/>
                      <w:color w:val="auto"/>
                      <w:sz w:val="21"/>
                      <w:szCs w:val="21"/>
                      <w:highlight w:val="none"/>
                      <w:lang w:val="en-US" w:eastAsia="zh-CN"/>
                    </w:rPr>
                    <w:t>2</w:t>
                  </w:r>
                  <w:r>
                    <w:rPr>
                      <w:rFonts w:hint="default" w:ascii="Times New Roman" w:hAnsi="Times New Roman" w:cs="Times New Roman"/>
                      <w:bCs/>
                      <w:color w:val="auto"/>
                      <w:sz w:val="21"/>
                      <w:szCs w:val="21"/>
                      <w:highlight w:val="none"/>
                    </w:rPr>
                    <w:t>X克</w:t>
                  </w:r>
                  <w:r>
                    <w:rPr>
                      <w:rFonts w:hint="eastAsia" w:cs="Times New Roman"/>
                      <w:bCs/>
                      <w:color w:val="auto"/>
                      <w:sz w:val="21"/>
                      <w:szCs w:val="21"/>
                      <w:highlight w:val="none"/>
                      <w:lang w:eastAsia="zh-CN"/>
                    </w:rPr>
                    <w:t>；</w:t>
                  </w:r>
                  <w:r>
                    <w:rPr>
                      <w:rFonts w:hint="default" w:ascii="Times New Roman" w:hAnsi="Times New Roman" w:cs="Times New Roman"/>
                      <w:bCs/>
                      <w:color w:val="auto"/>
                      <w:sz w:val="21"/>
                      <w:szCs w:val="21"/>
                      <w:highlight w:val="none"/>
                    </w:rPr>
                    <w:t>调配后的</w:t>
                  </w:r>
                  <w:r>
                    <w:rPr>
                      <w:rFonts w:hint="eastAsia" w:cs="Times New Roman"/>
                      <w:bCs/>
                      <w:color w:val="auto"/>
                      <w:sz w:val="21"/>
                      <w:szCs w:val="21"/>
                      <w:highlight w:val="none"/>
                      <w:lang w:val="en-US" w:eastAsia="zh-CN"/>
                    </w:rPr>
                    <w:t>油性</w:t>
                  </w:r>
                  <w:r>
                    <w:rPr>
                      <w:rFonts w:hint="default" w:ascii="Times New Roman" w:hAnsi="Times New Roman" w:cs="Times New Roman"/>
                      <w:bCs/>
                      <w:color w:val="auto"/>
                      <w:sz w:val="21"/>
                      <w:szCs w:val="21"/>
                      <w:highlight w:val="none"/>
                      <w:lang w:val="en-US" w:eastAsia="zh-CN"/>
                    </w:rPr>
                    <w:t>面漆</w:t>
                  </w:r>
                  <w:r>
                    <w:rPr>
                      <w:rFonts w:hint="default" w:ascii="Times New Roman" w:hAnsi="Times New Roman" w:cs="Times New Roman"/>
                      <w:bCs/>
                      <w:color w:val="auto"/>
                      <w:sz w:val="21"/>
                      <w:szCs w:val="21"/>
                      <w:highlight w:val="none"/>
                    </w:rPr>
                    <w:t>总年用量为：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w:t>
                  </w:r>
                  <w:r>
                    <w:rPr>
                      <w:rFonts w:hint="default" w:ascii="Times New Roman" w:hAnsi="Times New Roman" w:cs="Times New Roman"/>
                      <w:bCs/>
                      <w:color w:val="auto"/>
                      <w:sz w:val="21"/>
                      <w:szCs w:val="21"/>
                      <w:highlight w:val="none"/>
                      <w:lang w:val="en-US" w:eastAsia="zh-CN"/>
                    </w:rPr>
                    <w:t>0.</w:t>
                  </w:r>
                  <w:r>
                    <w:rPr>
                      <w:rFonts w:hint="eastAsia" w:cs="Times New Roman"/>
                      <w:bCs/>
                      <w:color w:val="auto"/>
                      <w:sz w:val="21"/>
                      <w:szCs w:val="21"/>
                      <w:highlight w:val="none"/>
                      <w:lang w:val="en-US" w:eastAsia="zh-CN"/>
                    </w:rPr>
                    <w:t>2</w:t>
                  </w:r>
                  <w:r>
                    <w:rPr>
                      <w:rFonts w:hint="default" w:ascii="Times New Roman" w:hAnsi="Times New Roman" w:cs="Times New Roman"/>
                      <w:bCs/>
                      <w:color w:val="auto"/>
                      <w:sz w:val="21"/>
                      <w:szCs w:val="21"/>
                      <w:highlight w:val="none"/>
                    </w:rPr>
                    <w:t>X=</w:t>
                  </w:r>
                  <w:r>
                    <w:rPr>
                      <w:rFonts w:hint="eastAsia" w:cs="Times New Roman"/>
                      <w:bCs/>
                      <w:color w:val="auto"/>
                      <w:sz w:val="21"/>
                      <w:szCs w:val="21"/>
                      <w:highlight w:val="none"/>
                      <w:lang w:val="en-US" w:eastAsia="zh-CN"/>
                    </w:rPr>
                    <w:t>1.2</w:t>
                  </w:r>
                  <w:r>
                    <w:rPr>
                      <w:rFonts w:hint="default" w:ascii="Times New Roman" w:hAnsi="Times New Roman" w:cs="Times New Roman"/>
                      <w:bCs/>
                      <w:color w:val="auto"/>
                      <w:sz w:val="21"/>
                      <w:szCs w:val="21"/>
                      <w:highlight w:val="none"/>
                    </w:rPr>
                    <w:t>Xg，总体积为：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w:t>
                  </w:r>
                  <w:r>
                    <w:rPr>
                      <w:rFonts w:hint="default" w:ascii="Times New Roman" w:hAnsi="Times New Roman" w:cs="Times New Roman"/>
                      <w:bCs/>
                      <w:color w:val="auto"/>
                      <w:sz w:val="21"/>
                      <w:szCs w:val="21"/>
                      <w:highlight w:val="none"/>
                      <w:lang w:val="en-US" w:eastAsia="zh-CN"/>
                    </w:rPr>
                    <w:t>1.07</w:t>
                  </w:r>
                  <w:r>
                    <w:rPr>
                      <w:rFonts w:hint="eastAsia"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w:t>
                  </w:r>
                  <w:r>
                    <w:rPr>
                      <w:rFonts w:hint="default" w:ascii="Times New Roman" w:hAnsi="Times New Roman" w:cs="Times New Roman"/>
                      <w:bCs/>
                      <w:color w:val="auto"/>
                      <w:sz w:val="21"/>
                      <w:szCs w:val="21"/>
                      <w:highlight w:val="none"/>
                      <w:lang w:val="en-US" w:eastAsia="zh-CN"/>
                    </w:rPr>
                    <w:t>0.</w:t>
                  </w:r>
                  <w:r>
                    <w:rPr>
                      <w:rFonts w:hint="eastAsia" w:cs="Times New Roman"/>
                      <w:bCs/>
                      <w:color w:val="auto"/>
                      <w:sz w:val="21"/>
                      <w:szCs w:val="21"/>
                      <w:highlight w:val="none"/>
                      <w:lang w:val="en-US" w:eastAsia="zh-CN"/>
                    </w:rPr>
                    <w:t>2</w:t>
                  </w:r>
                  <w:r>
                    <w:rPr>
                      <w:rFonts w:hint="default" w:ascii="Times New Roman" w:hAnsi="Times New Roman" w:cs="Times New Roman"/>
                      <w:bCs/>
                      <w:color w:val="auto"/>
                      <w:sz w:val="21"/>
                      <w:szCs w:val="21"/>
                      <w:highlight w:val="none"/>
                    </w:rPr>
                    <w:t>X/</w:t>
                  </w:r>
                  <w:r>
                    <w:rPr>
                      <w:rFonts w:hint="eastAsia" w:cs="Times New Roman"/>
                      <w:bCs/>
                      <w:color w:val="auto"/>
                      <w:sz w:val="21"/>
                      <w:szCs w:val="21"/>
                      <w:highlight w:val="none"/>
                      <w:lang w:val="en-US" w:eastAsia="zh-CN"/>
                    </w:rPr>
                    <w:t>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≈1.158</w:t>
                  </w:r>
                  <w:r>
                    <w:rPr>
                      <w:rFonts w:hint="default" w:ascii="Times New Roman" w:hAnsi="Times New Roman" w:cs="Times New Roman"/>
                      <w:bCs/>
                      <w:color w:val="auto"/>
                      <w:sz w:val="21"/>
                      <w:szCs w:val="21"/>
                      <w:highlight w:val="none"/>
                    </w:rPr>
                    <w:t>Xcm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lang w:eastAsia="zh-CN"/>
                    </w:rPr>
                    <w:t>。</w:t>
                  </w:r>
                </w:p>
                <w:p w14:paraId="7BC443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eastAsia" w:eastAsia="宋体"/>
                      <w:color w:val="auto"/>
                      <w:sz w:val="21"/>
                      <w:szCs w:val="21"/>
                      <w:lang w:val="en-US" w:eastAsia="zh-CN"/>
                    </w:rPr>
                  </w:pPr>
                  <w:r>
                    <w:rPr>
                      <w:rFonts w:hint="default" w:ascii="Times New Roman" w:hAnsi="Times New Roman" w:cs="Times New Roman"/>
                      <w:bCs/>
                      <w:color w:val="auto"/>
                      <w:sz w:val="21"/>
                      <w:szCs w:val="21"/>
                      <w:highlight w:val="none"/>
                    </w:rPr>
                    <w:t>调配后的</w:t>
                  </w:r>
                  <w:r>
                    <w:rPr>
                      <w:rFonts w:hint="eastAsia" w:cs="Times New Roman"/>
                      <w:bCs/>
                      <w:color w:val="auto"/>
                      <w:sz w:val="21"/>
                      <w:szCs w:val="21"/>
                      <w:highlight w:val="none"/>
                      <w:lang w:val="en-US" w:eastAsia="zh-CN"/>
                    </w:rPr>
                    <w:t>面</w:t>
                  </w:r>
                  <w:r>
                    <w:rPr>
                      <w:rFonts w:hint="default" w:ascii="Times New Roman" w:hAnsi="Times New Roman" w:cs="Times New Roman"/>
                      <w:bCs/>
                      <w:color w:val="auto"/>
                      <w:sz w:val="21"/>
                      <w:szCs w:val="21"/>
                      <w:highlight w:val="none"/>
                    </w:rPr>
                    <w:t>漆相对密度为：</w:t>
                  </w:r>
                  <w:r>
                    <w:rPr>
                      <w:rFonts w:hint="eastAsia" w:cs="Times New Roman"/>
                      <w:bCs/>
                      <w:color w:val="auto"/>
                      <w:sz w:val="21"/>
                      <w:szCs w:val="21"/>
                      <w:highlight w:val="none"/>
                      <w:lang w:val="en-US" w:eastAsia="zh-CN"/>
                    </w:rPr>
                    <w:t>1.2</w:t>
                  </w:r>
                  <w:r>
                    <w:rPr>
                      <w:rFonts w:hint="default" w:ascii="Times New Roman" w:hAnsi="Times New Roman" w:cs="Times New Roman"/>
                      <w:bCs/>
                      <w:color w:val="auto"/>
                      <w:sz w:val="21"/>
                      <w:szCs w:val="21"/>
                      <w:highlight w:val="none"/>
                    </w:rPr>
                    <w:t>Xg/</w:t>
                  </w:r>
                  <w:r>
                    <w:rPr>
                      <w:rFonts w:hint="eastAsia" w:cs="Times New Roman"/>
                      <w:bCs/>
                      <w:color w:val="auto"/>
                      <w:sz w:val="21"/>
                      <w:szCs w:val="21"/>
                      <w:highlight w:val="none"/>
                      <w:lang w:val="en-US" w:eastAsia="zh-CN"/>
                    </w:rPr>
                    <w:t>1.158</w:t>
                  </w:r>
                  <w:r>
                    <w:rPr>
                      <w:rFonts w:hint="default" w:ascii="Times New Roman" w:hAnsi="Times New Roman" w:cs="Times New Roman"/>
                      <w:bCs/>
                      <w:color w:val="auto"/>
                      <w:sz w:val="21"/>
                      <w:szCs w:val="21"/>
                      <w:highlight w:val="none"/>
                    </w:rPr>
                    <w:t>Xcm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≈1.036</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vertAlign w:val="baseline"/>
                      <w:lang w:eastAsia="zh-CN"/>
                    </w:rPr>
                    <w:t>，</w:t>
                  </w:r>
                  <w:r>
                    <w:rPr>
                      <w:rFonts w:hint="default" w:ascii="Times New Roman" w:hAnsi="Times New Roman" w:cs="Times New Roman"/>
                      <w:bCs/>
                      <w:color w:val="auto"/>
                      <w:sz w:val="21"/>
                      <w:szCs w:val="21"/>
                      <w:highlight w:val="none"/>
                    </w:rPr>
                    <w:t>固含率</w:t>
                  </w:r>
                  <w:r>
                    <w:rPr>
                      <w:rFonts w:hint="eastAsia" w:cs="Times New Roman"/>
                      <w:bCs/>
                      <w:color w:val="auto"/>
                      <w:sz w:val="21"/>
                      <w:szCs w:val="21"/>
                      <w:highlight w:val="none"/>
                      <w:lang w:val="en-US" w:eastAsia="zh-CN"/>
                    </w:rPr>
                    <w:t>=油性面漆的固含量/调配后的油性面漆总年用量=（1-328g/L/1.036</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）X/1.2Xg×100%=57.81</w:t>
                  </w:r>
                  <w:r>
                    <w:rPr>
                      <w:rFonts w:hint="default" w:ascii="Times New Roman" w:hAnsi="Times New Roman" w:cs="Times New Roman"/>
                      <w:bCs/>
                      <w:color w:val="auto"/>
                      <w:sz w:val="21"/>
                      <w:szCs w:val="21"/>
                      <w:highlight w:val="none"/>
                    </w:rPr>
                    <w:t>%</w:t>
                  </w:r>
                  <w:r>
                    <w:rPr>
                      <w:rFonts w:hint="eastAsia" w:ascii="Times New Roman" w:hAnsi="Times New Roman" w:cs="Times New Roman"/>
                      <w:bCs/>
                      <w:color w:val="auto"/>
                      <w:sz w:val="21"/>
                      <w:szCs w:val="21"/>
                      <w:highlight w:val="none"/>
                      <w:lang w:eastAsia="zh-CN"/>
                    </w:rPr>
                    <w:t>。</w:t>
                  </w:r>
                </w:p>
                <w:p w14:paraId="4C2D10AB">
                  <w:pPr>
                    <w:keepNext w:val="0"/>
                    <w:keepLines w:val="0"/>
                    <w:pageBreakBefore w:val="0"/>
                    <w:widowControl w:val="0"/>
                    <w:kinsoku/>
                    <w:wordWrap w:val="0"/>
                    <w:overflowPunct/>
                    <w:topLinePunct w:val="0"/>
                    <w:autoSpaceDE/>
                    <w:autoSpaceDN/>
                    <w:bidi w:val="0"/>
                    <w:adjustRightInd/>
                    <w:snapToGrid/>
                    <w:spacing w:line="240" w:lineRule="auto"/>
                    <w:jc w:val="left"/>
                    <w:textAlignment w:val="auto"/>
                    <w:outlineLvl w:val="9"/>
                    <w:rPr>
                      <w:rFonts w:hint="default" w:ascii="Times New Roman" w:hAnsi="Times New Roman" w:cs="Times New Roman"/>
                      <w:bCs/>
                      <w:color w:val="auto"/>
                      <w:sz w:val="21"/>
                      <w:szCs w:val="21"/>
                      <w:highlight w:val="none"/>
                      <w:lang w:eastAsia="zh-CN"/>
                    </w:rPr>
                  </w:pPr>
                  <w:r>
                    <w:rPr>
                      <w:rFonts w:hint="eastAsia"/>
                      <w:color w:val="auto"/>
                      <w:sz w:val="21"/>
                      <w:szCs w:val="21"/>
                      <w:lang w:val="en-US" w:eastAsia="zh-CN"/>
                    </w:rPr>
                    <w:t>⑧</w:t>
                  </w:r>
                  <w:r>
                    <w:rPr>
                      <w:rFonts w:hint="default" w:ascii="Times New Roman" w:hAnsi="Times New Roman" w:cs="Times New Roman"/>
                      <w:bCs/>
                      <w:color w:val="auto"/>
                      <w:sz w:val="21"/>
                      <w:szCs w:val="21"/>
                      <w:highlight w:val="none"/>
                      <w:lang w:val="en-US" w:eastAsia="zh-CN"/>
                    </w:rPr>
                    <w:t>油性漆-</w:t>
                  </w:r>
                  <w:r>
                    <w:rPr>
                      <w:rFonts w:hint="eastAsia" w:ascii="Times New Roman" w:hAnsi="Times New Roman" w:cs="Times New Roman"/>
                      <w:bCs/>
                      <w:color w:val="auto"/>
                      <w:sz w:val="21"/>
                      <w:szCs w:val="21"/>
                      <w:highlight w:val="none"/>
                      <w:lang w:val="en-US" w:eastAsia="zh-CN"/>
                    </w:rPr>
                    <w:t>清</w:t>
                  </w:r>
                  <w:r>
                    <w:rPr>
                      <w:rFonts w:hint="default" w:ascii="Times New Roman" w:hAnsi="Times New Roman" w:cs="Times New Roman"/>
                      <w:bCs/>
                      <w:color w:val="auto"/>
                      <w:sz w:val="21"/>
                      <w:szCs w:val="21"/>
                      <w:highlight w:val="none"/>
                      <w:lang w:val="en-US" w:eastAsia="zh-CN"/>
                    </w:rPr>
                    <w:t>漆调配方案为：</w:t>
                  </w:r>
                  <w:r>
                    <w:rPr>
                      <w:rFonts w:hint="default" w:ascii="Times New Roman" w:hAnsi="Times New Roman" w:cs="Times New Roman"/>
                      <w:color w:val="auto"/>
                      <w:sz w:val="21"/>
                      <w:szCs w:val="21"/>
                      <w:highlight w:val="none"/>
                      <w:lang w:val="en-US" w:eastAsia="zh-CN"/>
                    </w:rPr>
                    <w:t>面漆:稀释剂=1:0.</w:t>
                  </w:r>
                  <w:r>
                    <w:rPr>
                      <w:rFonts w:hint="eastAsia" w:cs="Times New Roman"/>
                      <w:color w:val="auto"/>
                      <w:sz w:val="21"/>
                      <w:szCs w:val="21"/>
                      <w:highlight w:val="none"/>
                      <w:lang w:val="en-US" w:eastAsia="zh-CN"/>
                    </w:rPr>
                    <w:t>15</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bCs/>
                      <w:color w:val="auto"/>
                      <w:sz w:val="21"/>
                      <w:szCs w:val="21"/>
                      <w:highlight w:val="none"/>
                      <w:lang w:val="en-US" w:eastAsia="zh-CN"/>
                    </w:rPr>
                    <w:t>已知</w:t>
                  </w:r>
                  <w:r>
                    <w:rPr>
                      <w:rFonts w:hint="eastAsia" w:ascii="Times New Roman" w:hAnsi="Times New Roman" w:cs="Times New Roman"/>
                      <w:color w:val="auto"/>
                      <w:sz w:val="21"/>
                      <w:szCs w:val="21"/>
                      <w:highlight w:val="none"/>
                      <w:lang w:val="en-US" w:eastAsia="zh-CN"/>
                    </w:rPr>
                    <w:t>清</w:t>
                  </w:r>
                  <w:r>
                    <w:rPr>
                      <w:rFonts w:hint="default" w:ascii="Times New Roman" w:hAnsi="Times New Roman" w:cs="Times New Roman"/>
                      <w:bCs/>
                      <w:color w:val="auto"/>
                      <w:sz w:val="21"/>
                      <w:szCs w:val="21"/>
                      <w:highlight w:val="none"/>
                    </w:rPr>
                    <w:t>漆的密度为1</w:t>
                  </w:r>
                  <w:r>
                    <w:rPr>
                      <w:rFonts w:hint="default"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val="en-US" w:eastAsia="zh-CN"/>
                    </w:rPr>
                    <w:t>173</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vertAlign w:val="baseline"/>
                      <w:lang w:eastAsia="zh-CN"/>
                    </w:rPr>
                    <w:t>，</w:t>
                  </w:r>
                  <w:r>
                    <w:rPr>
                      <w:rFonts w:hint="default" w:ascii="Times New Roman" w:hAnsi="Times New Roman" w:cs="Times New Roman"/>
                      <w:bCs/>
                      <w:color w:val="auto"/>
                      <w:sz w:val="21"/>
                      <w:szCs w:val="21"/>
                      <w:highlight w:val="none"/>
                      <w:lang w:val="en-US" w:eastAsia="zh-CN"/>
                    </w:rPr>
                    <w:t>稀释</w:t>
                  </w:r>
                  <w:r>
                    <w:rPr>
                      <w:rFonts w:hint="default" w:ascii="Times New Roman" w:hAnsi="Times New Roman" w:cs="Times New Roman"/>
                      <w:bCs/>
                      <w:color w:val="auto"/>
                      <w:sz w:val="21"/>
                      <w:szCs w:val="21"/>
                      <w:highlight w:val="none"/>
                    </w:rPr>
                    <w:t>剂的密度为</w:t>
                  </w:r>
                  <w:r>
                    <w:rPr>
                      <w:rFonts w:hint="eastAsia" w:cs="Times New Roman"/>
                      <w:bCs/>
                      <w:color w:val="auto"/>
                      <w:sz w:val="21"/>
                      <w:szCs w:val="21"/>
                      <w:highlight w:val="none"/>
                      <w:lang w:val="en-US" w:eastAsia="zh-CN"/>
                    </w:rPr>
                    <w:t>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。调配后</w:t>
                  </w:r>
                  <w:r>
                    <w:rPr>
                      <w:rFonts w:hint="eastAsia" w:cs="Times New Roman"/>
                      <w:bCs/>
                      <w:color w:val="auto"/>
                      <w:sz w:val="21"/>
                      <w:szCs w:val="21"/>
                      <w:highlight w:val="none"/>
                      <w:lang w:val="en-US" w:eastAsia="zh-CN"/>
                    </w:rPr>
                    <w:t>油性</w:t>
                  </w:r>
                  <w:r>
                    <w:rPr>
                      <w:rFonts w:hint="eastAsia" w:ascii="Times New Roman" w:hAnsi="Times New Roman" w:cs="Times New Roman"/>
                      <w:bCs/>
                      <w:color w:val="auto"/>
                      <w:sz w:val="21"/>
                      <w:szCs w:val="21"/>
                      <w:highlight w:val="none"/>
                      <w:lang w:val="en-US" w:eastAsia="zh-CN"/>
                    </w:rPr>
                    <w:t>清</w:t>
                  </w:r>
                  <w:r>
                    <w:rPr>
                      <w:rFonts w:hint="default" w:ascii="Times New Roman" w:hAnsi="Times New Roman" w:cs="Times New Roman"/>
                      <w:bCs/>
                      <w:color w:val="auto"/>
                      <w:sz w:val="21"/>
                      <w:szCs w:val="21"/>
                      <w:highlight w:val="none"/>
                      <w:lang w:val="en-US" w:eastAsia="zh-CN"/>
                    </w:rPr>
                    <w:t>漆</w:t>
                  </w:r>
                  <w:r>
                    <w:rPr>
                      <w:rFonts w:hint="default" w:ascii="Times New Roman" w:hAnsi="Times New Roman" w:cs="Times New Roman"/>
                      <w:bCs/>
                      <w:color w:val="auto"/>
                      <w:sz w:val="21"/>
                      <w:szCs w:val="21"/>
                      <w:highlight w:val="none"/>
                    </w:rPr>
                    <w:t>密度、固含量的计算过程如下：设</w:t>
                  </w:r>
                  <w:r>
                    <w:rPr>
                      <w:rFonts w:hint="eastAsia" w:ascii="Times New Roman" w:hAnsi="Times New Roman" w:cs="Times New Roman"/>
                      <w:color w:val="auto"/>
                      <w:sz w:val="21"/>
                      <w:szCs w:val="21"/>
                      <w:highlight w:val="none"/>
                      <w:lang w:val="en-US" w:eastAsia="zh-CN"/>
                    </w:rPr>
                    <w:t>清</w:t>
                  </w:r>
                  <w:r>
                    <w:rPr>
                      <w:rFonts w:hint="default" w:ascii="Times New Roman" w:hAnsi="Times New Roman" w:cs="Times New Roman"/>
                      <w:color w:val="auto"/>
                      <w:sz w:val="21"/>
                      <w:szCs w:val="21"/>
                      <w:highlight w:val="none"/>
                      <w:lang w:val="en-US" w:eastAsia="zh-CN"/>
                    </w:rPr>
                    <w:t>漆</w:t>
                  </w:r>
                  <w:r>
                    <w:rPr>
                      <w:rFonts w:hint="default" w:ascii="Times New Roman" w:hAnsi="Times New Roman" w:cs="Times New Roman"/>
                      <w:bCs/>
                      <w:color w:val="auto"/>
                      <w:sz w:val="21"/>
                      <w:szCs w:val="21"/>
                      <w:highlight w:val="none"/>
                    </w:rPr>
                    <w:t>的年用量约为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X克，</w:t>
                  </w:r>
                  <w:r>
                    <w:rPr>
                      <w:rFonts w:hint="eastAsia" w:ascii="Times New Roman" w:hAnsi="Times New Roman" w:cs="Times New Roman"/>
                      <w:bCs/>
                      <w:color w:val="auto"/>
                      <w:sz w:val="21"/>
                      <w:szCs w:val="21"/>
                      <w:highlight w:val="none"/>
                      <w:lang w:val="en-US" w:eastAsia="zh-CN"/>
                    </w:rPr>
                    <w:t>则</w:t>
                  </w:r>
                  <w:r>
                    <w:rPr>
                      <w:rFonts w:hint="default" w:ascii="Times New Roman" w:hAnsi="Times New Roman" w:cs="Times New Roman"/>
                      <w:bCs/>
                      <w:color w:val="auto"/>
                      <w:sz w:val="21"/>
                      <w:szCs w:val="21"/>
                      <w:highlight w:val="none"/>
                    </w:rPr>
                    <w:t>稀释剂的年用量为</w:t>
                  </w:r>
                  <w:r>
                    <w:rPr>
                      <w:rFonts w:hint="default" w:ascii="Times New Roman" w:hAnsi="Times New Roman" w:cs="Times New Roman"/>
                      <w:bCs/>
                      <w:color w:val="auto"/>
                      <w:sz w:val="21"/>
                      <w:szCs w:val="21"/>
                      <w:highlight w:val="none"/>
                      <w:lang w:val="en-US" w:eastAsia="zh-CN"/>
                    </w:rPr>
                    <w:t>0.</w:t>
                  </w:r>
                  <w:r>
                    <w:rPr>
                      <w:rFonts w:hint="eastAsia" w:ascii="Times New Roman" w:hAnsi="Times New Roman" w:cs="Times New Roman"/>
                      <w:bCs/>
                      <w:color w:val="auto"/>
                      <w:sz w:val="21"/>
                      <w:szCs w:val="21"/>
                      <w:highlight w:val="none"/>
                      <w:lang w:val="en-US" w:eastAsia="zh-CN"/>
                    </w:rPr>
                    <w:t>15</w:t>
                  </w:r>
                  <w:r>
                    <w:rPr>
                      <w:rFonts w:hint="default" w:ascii="Times New Roman" w:hAnsi="Times New Roman" w:cs="Times New Roman"/>
                      <w:bCs/>
                      <w:color w:val="auto"/>
                      <w:sz w:val="21"/>
                      <w:szCs w:val="21"/>
                      <w:highlight w:val="none"/>
                    </w:rPr>
                    <w:t>X克</w:t>
                  </w:r>
                  <w:r>
                    <w:rPr>
                      <w:rFonts w:hint="eastAsia" w:cs="Times New Roman"/>
                      <w:bCs/>
                      <w:color w:val="auto"/>
                      <w:sz w:val="21"/>
                      <w:szCs w:val="21"/>
                      <w:highlight w:val="none"/>
                      <w:lang w:eastAsia="zh-CN"/>
                    </w:rPr>
                    <w:t>；</w:t>
                  </w:r>
                  <w:r>
                    <w:rPr>
                      <w:rFonts w:hint="default" w:ascii="Times New Roman" w:hAnsi="Times New Roman" w:cs="Times New Roman"/>
                      <w:bCs/>
                      <w:color w:val="auto"/>
                      <w:sz w:val="21"/>
                      <w:szCs w:val="21"/>
                      <w:highlight w:val="none"/>
                    </w:rPr>
                    <w:t>调配后的</w:t>
                  </w:r>
                  <w:r>
                    <w:rPr>
                      <w:rFonts w:hint="eastAsia" w:cs="Times New Roman"/>
                      <w:bCs/>
                      <w:color w:val="auto"/>
                      <w:sz w:val="21"/>
                      <w:szCs w:val="21"/>
                      <w:highlight w:val="none"/>
                      <w:lang w:val="en-US" w:eastAsia="zh-CN"/>
                    </w:rPr>
                    <w:t>油性</w:t>
                  </w:r>
                  <w:r>
                    <w:rPr>
                      <w:rFonts w:hint="eastAsia" w:ascii="Times New Roman" w:hAnsi="Times New Roman" w:cs="Times New Roman"/>
                      <w:color w:val="auto"/>
                      <w:sz w:val="21"/>
                      <w:szCs w:val="21"/>
                      <w:highlight w:val="none"/>
                      <w:lang w:val="en-US" w:eastAsia="zh-CN"/>
                    </w:rPr>
                    <w:t>清</w:t>
                  </w:r>
                  <w:r>
                    <w:rPr>
                      <w:rFonts w:hint="default" w:ascii="Times New Roman" w:hAnsi="Times New Roman" w:cs="Times New Roman"/>
                      <w:bCs/>
                      <w:color w:val="auto"/>
                      <w:sz w:val="21"/>
                      <w:szCs w:val="21"/>
                      <w:highlight w:val="none"/>
                      <w:lang w:val="en-US" w:eastAsia="zh-CN"/>
                    </w:rPr>
                    <w:t>漆</w:t>
                  </w:r>
                  <w:r>
                    <w:rPr>
                      <w:rFonts w:hint="default" w:ascii="Times New Roman" w:hAnsi="Times New Roman" w:cs="Times New Roman"/>
                      <w:bCs/>
                      <w:color w:val="auto"/>
                      <w:sz w:val="21"/>
                      <w:szCs w:val="21"/>
                      <w:highlight w:val="none"/>
                    </w:rPr>
                    <w:t>总年用量为：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w:t>
                  </w:r>
                  <w:r>
                    <w:rPr>
                      <w:rFonts w:hint="default" w:ascii="Times New Roman" w:hAnsi="Times New Roman" w:cs="Times New Roman"/>
                      <w:bCs/>
                      <w:color w:val="auto"/>
                      <w:sz w:val="21"/>
                      <w:szCs w:val="21"/>
                      <w:highlight w:val="none"/>
                      <w:lang w:val="en-US" w:eastAsia="zh-CN"/>
                    </w:rPr>
                    <w:t>0.</w:t>
                  </w:r>
                  <w:r>
                    <w:rPr>
                      <w:rFonts w:hint="eastAsia" w:ascii="Times New Roman" w:hAnsi="Times New Roman" w:cs="Times New Roman"/>
                      <w:bCs/>
                      <w:color w:val="auto"/>
                      <w:sz w:val="21"/>
                      <w:szCs w:val="21"/>
                      <w:highlight w:val="none"/>
                      <w:lang w:val="en-US" w:eastAsia="zh-CN"/>
                    </w:rPr>
                    <w:t>15</w:t>
                  </w:r>
                  <w:r>
                    <w:rPr>
                      <w:rFonts w:hint="default" w:ascii="Times New Roman" w:hAnsi="Times New Roman" w:cs="Times New Roman"/>
                      <w:bCs/>
                      <w:color w:val="auto"/>
                      <w:sz w:val="21"/>
                      <w:szCs w:val="21"/>
                      <w:highlight w:val="none"/>
                    </w:rPr>
                    <w:t>X=</w:t>
                  </w:r>
                  <w:r>
                    <w:rPr>
                      <w:rFonts w:hint="eastAsia" w:cs="Times New Roman"/>
                      <w:bCs/>
                      <w:color w:val="auto"/>
                      <w:sz w:val="21"/>
                      <w:szCs w:val="21"/>
                      <w:highlight w:val="none"/>
                      <w:lang w:val="en-US" w:eastAsia="zh-CN"/>
                    </w:rPr>
                    <w:t>1.15</w:t>
                  </w:r>
                  <w:r>
                    <w:rPr>
                      <w:rFonts w:hint="default" w:ascii="Times New Roman" w:hAnsi="Times New Roman" w:cs="Times New Roman"/>
                      <w:bCs/>
                      <w:color w:val="auto"/>
                      <w:sz w:val="21"/>
                      <w:szCs w:val="21"/>
                      <w:highlight w:val="none"/>
                    </w:rPr>
                    <w:t>Xg，总体积为：</w:t>
                  </w:r>
                  <w:r>
                    <w:rPr>
                      <w:rFonts w:hint="default" w:ascii="Times New Roman" w:hAnsi="Times New Roman" w:cs="Times New Roman"/>
                      <w:bCs/>
                      <w:color w:val="auto"/>
                      <w:sz w:val="21"/>
                      <w:szCs w:val="21"/>
                      <w:highlight w:val="none"/>
                      <w:lang w:val="en-US" w:eastAsia="zh-CN"/>
                    </w:rPr>
                    <w:t>1</w:t>
                  </w:r>
                  <w:r>
                    <w:rPr>
                      <w:rFonts w:hint="default" w:ascii="Times New Roman" w:hAnsi="Times New Roman" w:cs="Times New Roman"/>
                      <w:bCs/>
                      <w:color w:val="auto"/>
                      <w:sz w:val="21"/>
                      <w:szCs w:val="21"/>
                      <w:highlight w:val="none"/>
                    </w:rPr>
                    <w:t>X/</w:t>
                  </w:r>
                  <w:r>
                    <w:rPr>
                      <w:rFonts w:hint="default" w:ascii="Times New Roman" w:hAnsi="Times New Roman" w:cs="Times New Roman"/>
                      <w:bCs/>
                      <w:color w:val="auto"/>
                      <w:sz w:val="21"/>
                      <w:szCs w:val="21"/>
                      <w:highlight w:val="none"/>
                      <w:lang w:val="en-US" w:eastAsia="zh-CN"/>
                    </w:rPr>
                    <w:t>1.</w:t>
                  </w:r>
                  <w:r>
                    <w:rPr>
                      <w:rFonts w:hint="eastAsia" w:ascii="Times New Roman" w:hAnsi="Times New Roman" w:cs="Times New Roman"/>
                      <w:bCs/>
                      <w:color w:val="auto"/>
                      <w:sz w:val="21"/>
                      <w:szCs w:val="21"/>
                      <w:highlight w:val="none"/>
                      <w:lang w:val="en-US" w:eastAsia="zh-CN"/>
                    </w:rPr>
                    <w:t>173</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w:t>
                  </w:r>
                  <w:r>
                    <w:rPr>
                      <w:rFonts w:hint="default" w:ascii="Times New Roman" w:hAnsi="Times New Roman" w:cs="Times New Roman"/>
                      <w:bCs/>
                      <w:color w:val="auto"/>
                      <w:sz w:val="21"/>
                      <w:szCs w:val="21"/>
                      <w:highlight w:val="none"/>
                      <w:lang w:val="en-US" w:eastAsia="zh-CN"/>
                    </w:rPr>
                    <w:t>0.</w:t>
                  </w:r>
                  <w:r>
                    <w:rPr>
                      <w:rFonts w:hint="eastAsia" w:ascii="Times New Roman" w:hAnsi="Times New Roman" w:cs="Times New Roman"/>
                      <w:bCs/>
                      <w:color w:val="auto"/>
                      <w:sz w:val="21"/>
                      <w:szCs w:val="21"/>
                      <w:highlight w:val="none"/>
                      <w:lang w:val="en-US" w:eastAsia="zh-CN"/>
                    </w:rPr>
                    <w:t>15</w:t>
                  </w:r>
                  <w:r>
                    <w:rPr>
                      <w:rFonts w:hint="default" w:ascii="Times New Roman" w:hAnsi="Times New Roman" w:cs="Times New Roman"/>
                      <w:bCs/>
                      <w:color w:val="auto"/>
                      <w:sz w:val="21"/>
                      <w:szCs w:val="21"/>
                      <w:highlight w:val="none"/>
                    </w:rPr>
                    <w:t>X/</w:t>
                  </w:r>
                  <w:r>
                    <w:rPr>
                      <w:rFonts w:hint="eastAsia" w:cs="Times New Roman"/>
                      <w:bCs/>
                      <w:color w:val="auto"/>
                      <w:sz w:val="21"/>
                      <w:szCs w:val="21"/>
                      <w:highlight w:val="none"/>
                      <w:lang w:val="en-US" w:eastAsia="zh-CN"/>
                    </w:rPr>
                    <w:t>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≈1.021</w:t>
                  </w:r>
                  <w:r>
                    <w:rPr>
                      <w:rFonts w:hint="default" w:ascii="Times New Roman" w:hAnsi="Times New Roman" w:cs="Times New Roman"/>
                      <w:bCs/>
                      <w:color w:val="auto"/>
                      <w:sz w:val="21"/>
                      <w:szCs w:val="21"/>
                      <w:highlight w:val="none"/>
                    </w:rPr>
                    <w:t>Xcm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lang w:eastAsia="zh-CN"/>
                    </w:rPr>
                    <w:t>。</w:t>
                  </w:r>
                </w:p>
                <w:p w14:paraId="08E302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color w:val="auto"/>
                      <w:sz w:val="21"/>
                      <w:szCs w:val="21"/>
                      <w:lang w:val="en-US" w:eastAsia="zh-CN"/>
                    </w:rPr>
                  </w:pPr>
                  <w:r>
                    <w:rPr>
                      <w:rFonts w:hint="default" w:ascii="Times New Roman" w:hAnsi="Times New Roman" w:cs="Times New Roman"/>
                      <w:bCs/>
                      <w:color w:val="auto"/>
                      <w:sz w:val="21"/>
                      <w:szCs w:val="21"/>
                      <w:highlight w:val="none"/>
                    </w:rPr>
                    <w:t>调配后的</w:t>
                  </w:r>
                  <w:r>
                    <w:rPr>
                      <w:rFonts w:hint="eastAsia" w:cs="Times New Roman"/>
                      <w:bCs/>
                      <w:color w:val="auto"/>
                      <w:sz w:val="21"/>
                      <w:szCs w:val="21"/>
                      <w:highlight w:val="none"/>
                      <w:lang w:val="en-US" w:eastAsia="zh-CN"/>
                    </w:rPr>
                    <w:t>面</w:t>
                  </w:r>
                  <w:r>
                    <w:rPr>
                      <w:rFonts w:hint="default" w:ascii="Times New Roman" w:hAnsi="Times New Roman" w:cs="Times New Roman"/>
                      <w:bCs/>
                      <w:color w:val="auto"/>
                      <w:sz w:val="21"/>
                      <w:szCs w:val="21"/>
                      <w:highlight w:val="none"/>
                    </w:rPr>
                    <w:t>漆相对密度为：</w:t>
                  </w:r>
                  <w:r>
                    <w:rPr>
                      <w:rFonts w:hint="eastAsia" w:cs="Times New Roman"/>
                      <w:bCs/>
                      <w:color w:val="auto"/>
                      <w:sz w:val="21"/>
                      <w:szCs w:val="21"/>
                      <w:highlight w:val="none"/>
                      <w:lang w:val="en-US" w:eastAsia="zh-CN"/>
                    </w:rPr>
                    <w:t>1.15</w:t>
                  </w:r>
                  <w:r>
                    <w:rPr>
                      <w:rFonts w:hint="default" w:ascii="Times New Roman" w:hAnsi="Times New Roman" w:cs="Times New Roman"/>
                      <w:bCs/>
                      <w:color w:val="auto"/>
                      <w:sz w:val="21"/>
                      <w:szCs w:val="21"/>
                      <w:highlight w:val="none"/>
                    </w:rPr>
                    <w:t>Xg/</w:t>
                  </w:r>
                  <w:r>
                    <w:rPr>
                      <w:rFonts w:hint="eastAsia" w:cs="Times New Roman"/>
                      <w:bCs/>
                      <w:color w:val="auto"/>
                      <w:sz w:val="21"/>
                      <w:szCs w:val="21"/>
                      <w:highlight w:val="none"/>
                      <w:lang w:val="en-US" w:eastAsia="zh-CN"/>
                    </w:rPr>
                    <w:t>1.021</w:t>
                  </w:r>
                  <w:r>
                    <w:rPr>
                      <w:rFonts w:hint="default" w:ascii="Times New Roman" w:hAnsi="Times New Roman" w:cs="Times New Roman"/>
                      <w:bCs/>
                      <w:color w:val="auto"/>
                      <w:sz w:val="21"/>
                      <w:szCs w:val="21"/>
                      <w:highlight w:val="none"/>
                    </w:rPr>
                    <w:t>Xcm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≈1.127</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vertAlign w:val="baseline"/>
                      <w:lang w:eastAsia="zh-CN"/>
                    </w:rPr>
                    <w:t>，</w:t>
                  </w:r>
                  <w:r>
                    <w:rPr>
                      <w:rFonts w:hint="default" w:ascii="Times New Roman" w:hAnsi="Times New Roman" w:cs="Times New Roman"/>
                      <w:bCs/>
                      <w:color w:val="auto"/>
                      <w:sz w:val="21"/>
                      <w:szCs w:val="21"/>
                      <w:highlight w:val="none"/>
                    </w:rPr>
                    <w:t>固含率</w:t>
                  </w:r>
                  <w:r>
                    <w:rPr>
                      <w:rFonts w:hint="eastAsia" w:cs="Times New Roman"/>
                      <w:bCs/>
                      <w:color w:val="auto"/>
                      <w:sz w:val="21"/>
                      <w:szCs w:val="21"/>
                      <w:highlight w:val="none"/>
                      <w:lang w:val="en-US" w:eastAsia="zh-CN"/>
                    </w:rPr>
                    <w:t>=油性清漆的固含量/调配后的油性清漆总年用量=（1-288g/L/1.173</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r>
                    <w:rPr>
                      <w:rFonts w:hint="eastAsia" w:cs="Times New Roman"/>
                      <w:bCs/>
                      <w:color w:val="auto"/>
                      <w:sz w:val="21"/>
                      <w:szCs w:val="21"/>
                      <w:highlight w:val="none"/>
                      <w:lang w:val="en-US" w:eastAsia="zh-CN"/>
                    </w:rPr>
                    <w:t>）X/1.15Xg×100%=65.61</w:t>
                  </w:r>
                  <w:r>
                    <w:rPr>
                      <w:rFonts w:hint="default" w:ascii="Times New Roman" w:hAnsi="Times New Roman" w:cs="Times New Roman"/>
                      <w:bCs/>
                      <w:color w:val="auto"/>
                      <w:sz w:val="21"/>
                      <w:szCs w:val="21"/>
                      <w:highlight w:val="none"/>
                    </w:rPr>
                    <w:t>%</w:t>
                  </w:r>
                  <w:r>
                    <w:rPr>
                      <w:rFonts w:hint="eastAsia" w:ascii="Times New Roman" w:hAnsi="Times New Roman" w:cs="Times New Roman"/>
                      <w:bCs/>
                      <w:color w:val="auto"/>
                      <w:sz w:val="21"/>
                      <w:szCs w:val="21"/>
                      <w:highlight w:val="none"/>
                      <w:lang w:eastAsia="zh-CN"/>
                    </w:rPr>
                    <w:t>。</w:t>
                  </w:r>
                </w:p>
              </w:tc>
            </w:tr>
            <w:tr w14:paraId="76D4A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0AA96E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i w:val="0"/>
                      <w:iCs w:val="0"/>
                      <w:color w:val="auto"/>
                      <w:sz w:val="21"/>
                      <w:szCs w:val="21"/>
                      <w:highlight w:val="none"/>
                      <w:u w:val="none"/>
                    </w:rPr>
                  </w:pPr>
                </w:p>
              </w:tc>
            </w:tr>
            <w:tr w14:paraId="6094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39C1C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i w:val="0"/>
                      <w:iCs w:val="0"/>
                      <w:color w:val="auto"/>
                      <w:sz w:val="21"/>
                      <w:szCs w:val="21"/>
                      <w:highlight w:val="none"/>
                      <w:u w:val="none"/>
                    </w:rPr>
                  </w:pPr>
                </w:p>
              </w:tc>
            </w:tr>
            <w:tr w14:paraId="412B8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463B46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i w:val="0"/>
                      <w:iCs w:val="0"/>
                      <w:color w:val="auto"/>
                      <w:sz w:val="21"/>
                      <w:szCs w:val="21"/>
                      <w:highlight w:val="none"/>
                      <w:u w:val="none"/>
                    </w:rPr>
                  </w:pPr>
                </w:p>
              </w:tc>
            </w:tr>
            <w:tr w14:paraId="643DB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87" w:hRule="atLeast"/>
                <w:jc w:val="center"/>
              </w:trPr>
              <w:tc>
                <w:tcPr>
                  <w:tcW w:w="5000" w:type="pct"/>
                  <w:gridSpan w:val="9"/>
                  <w:vMerge w:val="continue"/>
                  <w:tcBorders>
                    <w:top w:val="single" w:color="000000" w:sz="4" w:space="0"/>
                    <w:left w:val="single" w:color="000000" w:sz="4" w:space="0"/>
                    <w:bottom w:val="single" w:color="000000" w:sz="4" w:space="0"/>
                    <w:right w:val="single" w:color="000000" w:sz="4" w:space="0"/>
                  </w:tcBorders>
                  <w:noWrap w:val="0"/>
                  <w:vAlign w:val="center"/>
                </w:tcPr>
                <w:p w14:paraId="71E4B5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rPr>
                      <w:rFonts w:hint="default" w:ascii="Times New Roman" w:hAnsi="Times New Roman" w:eastAsia="宋体" w:cs="Times New Roman"/>
                      <w:i w:val="0"/>
                      <w:iCs w:val="0"/>
                      <w:color w:val="auto"/>
                      <w:sz w:val="21"/>
                      <w:szCs w:val="21"/>
                      <w:highlight w:val="none"/>
                      <w:u w:val="none"/>
                    </w:rPr>
                  </w:pPr>
                </w:p>
              </w:tc>
            </w:tr>
          </w:tbl>
          <w:p w14:paraId="13A3F6C6">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38557F2D">
            <w:pPr>
              <w:pStyle w:val="21"/>
              <w:widowControl/>
              <w:numPr>
                <w:ilvl w:val="4"/>
                <w:numId w:val="0"/>
              </w:numPr>
              <w:suppressLineNumbers w:val="0"/>
              <w:spacing w:before="0" w:beforeAutospacing="0" w:after="0" w:afterAutospacing="0"/>
              <w:ind w:left="0" w:right="0" w:firstLine="482" w:firstLineChars="200"/>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（2）部分原辅材料理化性质</w:t>
            </w:r>
          </w:p>
          <w:p w14:paraId="23CA56BA">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原辅材料性质一览表</w:t>
            </w:r>
          </w:p>
          <w:tbl>
            <w:tblPr>
              <w:tblStyle w:val="49"/>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2"/>
              <w:gridCol w:w="1597"/>
              <w:gridCol w:w="4832"/>
              <w:gridCol w:w="1088"/>
            </w:tblGrid>
            <w:tr w14:paraId="5E49F4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0028298D">
                  <w:pPr>
                    <w:adjustRightInd w:val="0"/>
                    <w:snapToGrid w:val="0"/>
                    <w:spacing w:line="240" w:lineRule="auto"/>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名称</w:t>
                  </w:r>
                </w:p>
              </w:tc>
              <w:tc>
                <w:tcPr>
                  <w:tcW w:w="953" w:type="pct"/>
                  <w:noWrap w:val="0"/>
                  <w:vAlign w:val="center"/>
                </w:tcPr>
                <w:p w14:paraId="02DC465D">
                  <w:pPr>
                    <w:adjustRightInd w:val="0"/>
                    <w:snapToGrid w:val="0"/>
                    <w:spacing w:line="240" w:lineRule="auto"/>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成分</w:t>
                  </w:r>
                </w:p>
              </w:tc>
              <w:tc>
                <w:tcPr>
                  <w:tcW w:w="2882" w:type="pct"/>
                  <w:noWrap w:val="0"/>
                  <w:vAlign w:val="center"/>
                </w:tcPr>
                <w:p w14:paraId="717FA369">
                  <w:pPr>
                    <w:adjustRightInd w:val="0"/>
                    <w:snapToGrid w:val="0"/>
                    <w:spacing w:line="240" w:lineRule="auto"/>
                    <w:jc w:val="center"/>
                    <w:rPr>
                      <w:rFonts w:hint="default" w:ascii="Times New Roman" w:hAnsi="Times New Roman" w:cs="Times New Roman"/>
                      <w:b/>
                      <w:bCs/>
                      <w:color w:val="auto"/>
                      <w:kern w:val="2"/>
                      <w:sz w:val="21"/>
                      <w:szCs w:val="21"/>
                      <w:highlight w:val="none"/>
                    </w:rPr>
                  </w:pPr>
                  <w:r>
                    <w:rPr>
                      <w:rFonts w:hint="default" w:ascii="Times New Roman" w:hAnsi="Times New Roman" w:eastAsia="宋体" w:cs="Times New Roman"/>
                      <w:b/>
                      <w:bCs/>
                      <w:color w:val="auto"/>
                      <w:sz w:val="21"/>
                      <w:szCs w:val="21"/>
                      <w:lang w:val="en-US" w:eastAsia="zh-CN"/>
                    </w:rPr>
                    <w:t>理化</w:t>
                  </w:r>
                  <w:r>
                    <w:rPr>
                      <w:rFonts w:hint="default" w:ascii="Times New Roman" w:hAnsi="Times New Roman" w:cs="Times New Roman"/>
                      <w:b/>
                      <w:bCs/>
                      <w:color w:val="auto"/>
                      <w:kern w:val="2"/>
                      <w:sz w:val="21"/>
                      <w:szCs w:val="21"/>
                      <w:highlight w:val="none"/>
                    </w:rPr>
                    <w:t>性质/简介</w:t>
                  </w:r>
                </w:p>
              </w:tc>
              <w:tc>
                <w:tcPr>
                  <w:tcW w:w="649" w:type="pct"/>
                  <w:noWrap w:val="0"/>
                  <w:vAlign w:val="center"/>
                </w:tcPr>
                <w:p w14:paraId="5740A5F0">
                  <w:pPr>
                    <w:adjustRightInd w:val="0"/>
                    <w:snapToGrid w:val="0"/>
                    <w:spacing w:line="240" w:lineRule="auto"/>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是否危险化学品</w:t>
                  </w:r>
                </w:p>
              </w:tc>
            </w:tr>
            <w:tr w14:paraId="13BA3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7AC9FE10">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天然气</w:t>
                  </w:r>
                </w:p>
              </w:tc>
              <w:tc>
                <w:tcPr>
                  <w:tcW w:w="953" w:type="pct"/>
                  <w:noWrap w:val="0"/>
                  <w:vAlign w:val="center"/>
                </w:tcPr>
                <w:p w14:paraId="337F66EB">
                  <w:pPr>
                    <w:adjustRightInd w:val="0"/>
                    <w:snapToGrid w:val="0"/>
                    <w:spacing w:line="240" w:lineRule="auto"/>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fldChar w:fldCharType="begin"/>
                  </w:r>
                  <w:r>
                    <w:rPr>
                      <w:rFonts w:hint="default" w:ascii="Times New Roman" w:hAnsi="Times New Roman" w:cs="Times New Roman"/>
                      <w:color w:val="auto"/>
                      <w:kern w:val="2"/>
                      <w:sz w:val="21"/>
                      <w:szCs w:val="21"/>
                      <w:highlight w:val="none"/>
                    </w:rPr>
                    <w:instrText xml:space="preserve"> HYPERLINK "https://baike.baidu.com/item/%E7%83%B7%E7%83%83/1138261?fromModule=lemma_inlink" \t "https://baike.baidu.com/item/%E5%A4%A9%E7%84%B6%E6%B0%94/_blank" </w:instrText>
                  </w:r>
                  <w:r>
                    <w:rPr>
                      <w:rFonts w:hint="default" w:ascii="Times New Roman" w:hAnsi="Times New Roman" w:cs="Times New Roman"/>
                      <w:color w:val="auto"/>
                      <w:kern w:val="2"/>
                      <w:sz w:val="21"/>
                      <w:szCs w:val="21"/>
                      <w:highlight w:val="none"/>
                    </w:rPr>
                    <w:fldChar w:fldCharType="separate"/>
                  </w:r>
                  <w:r>
                    <w:rPr>
                      <w:rFonts w:hint="default" w:ascii="Times New Roman" w:hAnsi="Times New Roman" w:cs="Times New Roman"/>
                      <w:color w:val="auto"/>
                      <w:kern w:val="2"/>
                      <w:sz w:val="21"/>
                      <w:szCs w:val="21"/>
                      <w:highlight w:val="none"/>
                    </w:rPr>
                    <w:t>烷烃</w:t>
                  </w:r>
                  <w:r>
                    <w:rPr>
                      <w:rFonts w:hint="default" w:ascii="Times New Roman" w:hAnsi="Times New Roman" w:cs="Times New Roman"/>
                      <w:color w:val="auto"/>
                      <w:kern w:val="2"/>
                      <w:sz w:val="21"/>
                      <w:szCs w:val="21"/>
                      <w:highlight w:val="none"/>
                    </w:rPr>
                    <w:fldChar w:fldCharType="end"/>
                  </w:r>
                  <w:r>
                    <w:rPr>
                      <w:rFonts w:hint="default" w:ascii="Times New Roman" w:hAnsi="Times New Roman" w:cs="Times New Roman"/>
                      <w:color w:val="auto"/>
                      <w:kern w:val="2"/>
                      <w:sz w:val="21"/>
                      <w:szCs w:val="21"/>
                      <w:highlight w:val="none"/>
                    </w:rPr>
                    <w:t>（以甲烷为主）</w:t>
                  </w:r>
                </w:p>
              </w:tc>
              <w:tc>
                <w:tcPr>
                  <w:tcW w:w="2882" w:type="pct"/>
                  <w:noWrap w:val="0"/>
                  <w:vAlign w:val="center"/>
                </w:tcPr>
                <w:p w14:paraId="1BAC3DA9">
                  <w:pPr>
                    <w:adjustRightInd w:val="0"/>
                    <w:snapToGrid w:val="0"/>
                    <w:spacing w:line="240" w:lineRule="auto"/>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不溶于水，密度为0.7174kg/m</w:t>
                  </w:r>
                  <w:r>
                    <w:rPr>
                      <w:rFonts w:hint="default" w:ascii="Times New Roman" w:hAnsi="Times New Roman" w:cs="Times New Roman"/>
                      <w:color w:val="auto"/>
                      <w:kern w:val="2"/>
                      <w:sz w:val="21"/>
                      <w:szCs w:val="21"/>
                      <w:highlight w:val="none"/>
                      <w:vertAlign w:val="superscript"/>
                    </w:rPr>
                    <w:t>3</w:t>
                  </w:r>
                  <w:r>
                    <w:rPr>
                      <w:rFonts w:hint="default" w:ascii="Times New Roman" w:hAnsi="Times New Roman" w:cs="Times New Roman"/>
                      <w:color w:val="auto"/>
                      <w:kern w:val="2"/>
                      <w:sz w:val="21"/>
                      <w:szCs w:val="21"/>
                      <w:highlight w:val="none"/>
                    </w:rPr>
                    <w:t>，相对密度（水）为0.45（液化）燃点（℃）为650，爆炸极限（V%）为5~15。天然气每立方燃烧热值为8000大卡</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8500大卡。每公斤液化气燃烧热值为11000大卡。气态液化气的比重为0.55</w:t>
                  </w:r>
                </w:p>
              </w:tc>
              <w:tc>
                <w:tcPr>
                  <w:tcW w:w="649" w:type="pct"/>
                  <w:noWrap w:val="0"/>
                  <w:vAlign w:val="center"/>
                </w:tcPr>
                <w:p w14:paraId="1A27A5F6">
                  <w:pPr>
                    <w:adjustRightInd w:val="0"/>
                    <w:snapToGrid w:val="0"/>
                    <w:spacing w:line="240" w:lineRule="auto"/>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是</w:t>
                  </w:r>
                </w:p>
              </w:tc>
            </w:tr>
            <w:tr w14:paraId="1F9D6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14124336">
                  <w:pPr>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除油</w:t>
                  </w:r>
                  <w:r>
                    <w:rPr>
                      <w:rFonts w:hint="default" w:ascii="Times New Roman" w:hAnsi="Times New Roman" w:cs="Times New Roman"/>
                      <w:color w:val="auto"/>
                      <w:sz w:val="21"/>
                      <w:szCs w:val="21"/>
                      <w:highlight w:val="none"/>
                    </w:rPr>
                    <w:t>剂</w:t>
                  </w:r>
                </w:p>
              </w:tc>
              <w:tc>
                <w:tcPr>
                  <w:tcW w:w="953" w:type="pct"/>
                  <w:noWrap w:val="0"/>
                  <w:vAlign w:val="center"/>
                </w:tcPr>
                <w:p w14:paraId="6320A348">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磷酸5%</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醋酸</w:t>
                  </w:r>
                  <w:r>
                    <w:rPr>
                      <w:rFonts w:hint="eastAsia" w:ascii="Times New Roman" w:hAnsi="Times New Roman" w:cs="Times New Roman"/>
                      <w:color w:val="auto"/>
                      <w:kern w:val="2"/>
                      <w:sz w:val="21"/>
                      <w:szCs w:val="21"/>
                      <w:highlight w:val="none"/>
                      <w:lang w:val="en-US" w:eastAsia="zh-CN"/>
                    </w:rPr>
                    <w:t>6%、</w:t>
                  </w:r>
                  <w:r>
                    <w:rPr>
                      <w:rFonts w:hint="default" w:ascii="Times New Roman" w:hAnsi="Times New Roman" w:cs="Times New Roman"/>
                      <w:color w:val="auto"/>
                      <w:kern w:val="2"/>
                      <w:sz w:val="21"/>
                      <w:szCs w:val="21"/>
                      <w:highlight w:val="none"/>
                    </w:rPr>
                    <w:t>除油分子</w:t>
                  </w:r>
                  <w:r>
                    <w:rPr>
                      <w:rFonts w:hint="eastAsia" w:ascii="Times New Roman" w:hAnsi="Times New Roman" w:cs="Times New Roman"/>
                      <w:color w:val="auto"/>
                      <w:kern w:val="2"/>
                      <w:sz w:val="21"/>
                      <w:szCs w:val="21"/>
                      <w:highlight w:val="none"/>
                      <w:lang w:val="en-US" w:eastAsia="zh-CN"/>
                    </w:rPr>
                    <w:t>10%、</w:t>
                  </w:r>
                  <w:r>
                    <w:rPr>
                      <w:rFonts w:hint="default" w:ascii="Times New Roman" w:hAnsi="Times New Roman" w:cs="Times New Roman"/>
                      <w:color w:val="auto"/>
                      <w:kern w:val="2"/>
                      <w:sz w:val="21"/>
                      <w:szCs w:val="21"/>
                      <w:highlight w:val="none"/>
                    </w:rPr>
                    <w:t>抗氧化剂10%</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柠檬酸</w:t>
                  </w:r>
                  <w:r>
                    <w:rPr>
                      <w:rFonts w:hint="eastAsia" w:ascii="Times New Roman" w:hAnsi="Times New Roman" w:cs="Times New Roman"/>
                      <w:color w:val="auto"/>
                      <w:kern w:val="2"/>
                      <w:sz w:val="21"/>
                      <w:szCs w:val="21"/>
                      <w:highlight w:val="none"/>
                      <w:lang w:val="en-US" w:eastAsia="zh-CN"/>
                    </w:rPr>
                    <w:t>3%、</w:t>
                  </w:r>
                  <w:r>
                    <w:rPr>
                      <w:rFonts w:hint="default" w:ascii="Times New Roman" w:hAnsi="Times New Roman" w:cs="Times New Roman"/>
                      <w:color w:val="auto"/>
                      <w:kern w:val="2"/>
                      <w:sz w:val="21"/>
                      <w:szCs w:val="21"/>
                      <w:highlight w:val="none"/>
                    </w:rPr>
                    <w:t>活性剂</w:t>
                  </w:r>
                  <w:r>
                    <w:rPr>
                      <w:rFonts w:hint="eastAsia" w:ascii="Times New Roman" w:hAnsi="Times New Roman" w:cs="Times New Roman"/>
                      <w:color w:val="auto"/>
                      <w:kern w:val="2"/>
                      <w:sz w:val="21"/>
                      <w:szCs w:val="21"/>
                      <w:highlight w:val="none"/>
                      <w:lang w:val="en-US" w:eastAsia="zh-CN"/>
                    </w:rPr>
                    <w:t>10%、</w:t>
                  </w:r>
                  <w:r>
                    <w:rPr>
                      <w:rFonts w:hint="default" w:ascii="Times New Roman" w:hAnsi="Times New Roman" w:cs="Times New Roman"/>
                      <w:color w:val="auto"/>
                      <w:kern w:val="2"/>
                      <w:sz w:val="21"/>
                      <w:szCs w:val="21"/>
                      <w:highlight w:val="none"/>
                    </w:rPr>
                    <w:t>氢氟酸</w:t>
                  </w:r>
                  <w:r>
                    <w:rPr>
                      <w:rFonts w:hint="eastAsia" w:ascii="Times New Roman" w:hAnsi="Times New Roman" w:cs="Times New Roman"/>
                      <w:color w:val="auto"/>
                      <w:kern w:val="2"/>
                      <w:sz w:val="21"/>
                      <w:szCs w:val="21"/>
                      <w:highlight w:val="none"/>
                      <w:lang w:val="en-US" w:eastAsia="zh-CN"/>
                    </w:rPr>
                    <w:t>1%其他（水）</w:t>
                  </w:r>
                  <w:r>
                    <w:rPr>
                      <w:rFonts w:hint="default" w:ascii="Times New Roman" w:hAnsi="Times New Roman" w:cs="Times New Roman"/>
                      <w:color w:val="auto"/>
                      <w:kern w:val="2"/>
                      <w:sz w:val="21"/>
                      <w:szCs w:val="21"/>
                      <w:highlight w:val="none"/>
                    </w:rPr>
                    <w:t>55%</w:t>
                  </w:r>
                </w:p>
              </w:tc>
              <w:tc>
                <w:tcPr>
                  <w:tcW w:w="2882" w:type="pct"/>
                  <w:noWrap w:val="0"/>
                  <w:vAlign w:val="center"/>
                </w:tcPr>
                <w:p w14:paraId="20CB209D">
                  <w:pPr>
                    <w:adjustRightInd w:val="0"/>
                    <w:snapToGrid w:val="0"/>
                    <w:spacing w:line="240" w:lineRule="auto"/>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产品性能:弱酸性除油剂，</w:t>
                  </w:r>
                  <w:r>
                    <w:rPr>
                      <w:rFonts w:hint="eastAsia" w:cs="Times New Roman"/>
                      <w:b w:val="0"/>
                      <w:bCs w:val="0"/>
                      <w:color w:val="auto"/>
                      <w:sz w:val="21"/>
                      <w:szCs w:val="21"/>
                      <w:lang w:val="en-US" w:eastAsia="zh-CN"/>
                    </w:rPr>
                    <w:t>密度:1.05~1.07g/cm</w:t>
                  </w:r>
                  <w:r>
                    <w:rPr>
                      <w:rFonts w:hint="eastAsia" w:cs="Times New Roman"/>
                      <w:b w:val="0"/>
                      <w:bCs w:val="0"/>
                      <w:color w:val="auto"/>
                      <w:sz w:val="21"/>
                      <w:szCs w:val="21"/>
                      <w:vertAlign w:val="superscript"/>
                      <w:lang w:val="en-US" w:eastAsia="zh-CN"/>
                    </w:rPr>
                    <w:t>3</w:t>
                  </w:r>
                  <w:r>
                    <w:rPr>
                      <w:rFonts w:hint="eastAsia" w:cs="Times New Roman"/>
                      <w:b w:val="0"/>
                      <w:bCs w:val="0"/>
                      <w:color w:val="auto"/>
                      <w:sz w:val="21"/>
                      <w:szCs w:val="21"/>
                      <w:vertAlign w:val="baseline"/>
                      <w:lang w:val="en-US" w:eastAsia="zh-CN"/>
                    </w:rPr>
                    <w:t>，</w:t>
                  </w:r>
                  <w:r>
                    <w:rPr>
                      <w:rFonts w:hint="default" w:ascii="Times New Roman" w:hAnsi="Times New Roman" w:eastAsia="宋体" w:cs="Times New Roman"/>
                      <w:b w:val="0"/>
                      <w:bCs w:val="0"/>
                      <w:color w:val="auto"/>
                      <w:sz w:val="21"/>
                      <w:szCs w:val="21"/>
                      <w:lang w:val="en-US" w:eastAsia="zh-CN"/>
                    </w:rPr>
                    <w:t>用于铝，铝合金表面除油，除污。尤其对拉伸油有很好的分解效果，并能快速去除铝材表面的氧化层。活性剂先浸润、乳化表层拉伸油污；弱酸 + 氢氟酸溶解铝氧化皮，剥离内嵌深层油污；柠檬酸络合金属杂质、抗氧化剂保护基材，整套体系常温浸泡即可同步完成除油 + 除氧化层</w:t>
                  </w:r>
                  <w:r>
                    <w:rPr>
                      <w:rFonts w:hint="eastAsia" w:cs="Times New Roman"/>
                      <w:b w:val="0"/>
                      <w:bCs w:val="0"/>
                      <w:color w:val="auto"/>
                      <w:sz w:val="21"/>
                      <w:szCs w:val="21"/>
                      <w:lang w:val="en-US" w:eastAsia="zh-CN"/>
                    </w:rPr>
                    <w:t>。</w:t>
                  </w:r>
                </w:p>
              </w:tc>
              <w:tc>
                <w:tcPr>
                  <w:tcW w:w="649" w:type="pct"/>
                  <w:noWrap w:val="0"/>
                  <w:vAlign w:val="center"/>
                </w:tcPr>
                <w:p w14:paraId="74BCACA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否</w:t>
                  </w:r>
                </w:p>
              </w:tc>
            </w:tr>
            <w:tr w14:paraId="4CF00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25A5036A">
                  <w:pPr>
                    <w:keepNext w:val="0"/>
                    <w:keepLines w:val="0"/>
                    <w:pageBreakBefore w:val="0"/>
                    <w:suppressLineNumbers w:val="0"/>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无铬钝化剂</w:t>
                  </w:r>
                </w:p>
              </w:tc>
              <w:tc>
                <w:tcPr>
                  <w:tcW w:w="953" w:type="pct"/>
                  <w:noWrap w:val="0"/>
                  <w:vAlign w:val="center"/>
                </w:tcPr>
                <w:p w14:paraId="4511D2E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氟锆酸5~10%</w:t>
                  </w:r>
                </w:p>
                <w:p w14:paraId="3136D1E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氟钛酸5~10%</w:t>
                  </w:r>
                </w:p>
                <w:p w14:paraId="62D2E18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环氧改性丙烯酸树脂15~20%</w:t>
                  </w:r>
                </w:p>
                <w:p w14:paraId="64C6A34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一水合柠檬酸45~55%</w:t>
                  </w:r>
                </w:p>
              </w:tc>
              <w:tc>
                <w:tcPr>
                  <w:tcW w:w="2882" w:type="pct"/>
                  <w:noWrap w:val="0"/>
                  <w:vAlign w:val="center"/>
                </w:tcPr>
                <w:p w14:paraId="211477B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auto"/>
                      <w:kern w:val="2"/>
                      <w:sz w:val="21"/>
                      <w:szCs w:val="21"/>
                      <w:highlight w:val="none"/>
                    </w:rPr>
                  </w:pPr>
                  <w:r>
                    <w:rPr>
                      <w:rFonts w:hint="eastAsia" w:ascii="Times New Roman" w:hAnsi="Times New Roman" w:cs="Times New Roman"/>
                      <w:color w:val="auto"/>
                      <w:kern w:val="2"/>
                      <w:sz w:val="21"/>
                      <w:szCs w:val="21"/>
                      <w:highlight w:val="none"/>
                      <w:lang w:val="en-US" w:eastAsia="zh-CN"/>
                    </w:rPr>
                    <w:t>液体，</w:t>
                  </w:r>
                  <w:r>
                    <w:rPr>
                      <w:rFonts w:hint="eastAsia" w:cs="Times New Roman"/>
                      <w:b w:val="0"/>
                      <w:bCs w:val="0"/>
                      <w:color w:val="auto"/>
                      <w:sz w:val="21"/>
                      <w:szCs w:val="21"/>
                      <w:lang w:val="en-US" w:eastAsia="zh-CN"/>
                    </w:rPr>
                    <w:t>密</w:t>
                  </w:r>
                  <w:r>
                    <w:rPr>
                      <w:rFonts w:hint="default" w:ascii="Times New Roman" w:hAnsi="Times New Roman" w:cs="Times New Roman"/>
                      <w:b w:val="0"/>
                      <w:bCs w:val="0"/>
                      <w:color w:val="auto"/>
                      <w:sz w:val="21"/>
                      <w:szCs w:val="21"/>
                      <w:lang w:val="en-US" w:eastAsia="zh-CN"/>
                    </w:rPr>
                    <w:t>度:1.32~1.43g/cm</w:t>
                  </w:r>
                  <w:r>
                    <w:rPr>
                      <w:rFonts w:hint="default" w:ascii="Times New Roman" w:hAnsi="Times New Roman" w:cs="Times New Roman"/>
                      <w:b w:val="0"/>
                      <w:bCs w:val="0"/>
                      <w:color w:val="auto"/>
                      <w:sz w:val="21"/>
                      <w:szCs w:val="21"/>
                      <w:vertAlign w:val="superscript"/>
                      <w:lang w:val="en-US" w:eastAsia="zh-CN"/>
                    </w:rPr>
                    <w:t>3</w:t>
                  </w:r>
                  <w:r>
                    <w:rPr>
                      <w:rFonts w:hint="default" w:ascii="Times New Roman" w:hAnsi="Times New Roman" w:cs="Times New Roman"/>
                      <w:b w:val="0"/>
                      <w:bCs w:val="0"/>
                      <w:color w:val="auto"/>
                      <w:sz w:val="21"/>
                      <w:szCs w:val="21"/>
                      <w:vertAlign w:val="baseline"/>
                      <w:lang w:val="en-US" w:eastAsia="zh-CN"/>
                    </w:rPr>
                    <w:t>，</w:t>
                  </w:r>
                  <w:r>
                    <w:rPr>
                      <w:rFonts w:hint="default" w:ascii="Times New Roman" w:hAnsi="Times New Roman" w:cs="Times New Roman"/>
                      <w:color w:val="auto"/>
                      <w:kern w:val="2"/>
                      <w:sz w:val="21"/>
                      <w:szCs w:val="21"/>
                      <w:highlight w:val="none"/>
                    </w:rPr>
                    <w:t>可以在铝表面形成一层无色的耐腐蚀钝化层，能为后续的涂装层提供良好的结合力。本项目使用的无铬钝化剂主要有害成分为氟锆酸，氟钛酸</w:t>
                  </w:r>
                </w:p>
              </w:tc>
              <w:tc>
                <w:tcPr>
                  <w:tcW w:w="649" w:type="pct"/>
                  <w:noWrap w:val="0"/>
                  <w:vAlign w:val="center"/>
                </w:tcPr>
                <w:p w14:paraId="155988D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是</w:t>
                  </w:r>
                </w:p>
              </w:tc>
            </w:tr>
            <w:tr w14:paraId="45A7B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23ACE6ED">
                  <w:pPr>
                    <w:keepNext w:val="0"/>
                    <w:keepLines w:val="0"/>
                    <w:pageBreakBefore w:val="0"/>
                    <w:suppressLineNumbers w:val="0"/>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pH调整剂（硫酸70%）</w:t>
                  </w:r>
                </w:p>
              </w:tc>
              <w:tc>
                <w:tcPr>
                  <w:tcW w:w="953" w:type="pct"/>
                  <w:noWrap w:val="0"/>
                  <w:vAlign w:val="center"/>
                </w:tcPr>
                <w:p w14:paraId="453BAA7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硫酸70%</w:t>
                  </w:r>
                </w:p>
                <w:p w14:paraId="21BA1EB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水30%</w:t>
                  </w:r>
                </w:p>
              </w:tc>
              <w:tc>
                <w:tcPr>
                  <w:tcW w:w="2882" w:type="pct"/>
                  <w:noWrap w:val="0"/>
                  <w:vAlign w:val="center"/>
                </w:tcPr>
                <w:p w14:paraId="44E8882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化学式H</w:t>
                  </w:r>
                  <w:r>
                    <w:rPr>
                      <w:rFonts w:hint="default" w:ascii="Times New Roman" w:hAnsi="Times New Roman" w:cs="Times New Roman"/>
                      <w:color w:val="auto"/>
                      <w:kern w:val="2"/>
                      <w:sz w:val="21"/>
                      <w:szCs w:val="21"/>
                      <w:highlight w:val="none"/>
                      <w:vertAlign w:val="subscript"/>
                    </w:rPr>
                    <w:t>2</w:t>
                  </w:r>
                  <w:r>
                    <w:rPr>
                      <w:rFonts w:hint="default" w:ascii="Times New Roman" w:hAnsi="Times New Roman" w:cs="Times New Roman"/>
                      <w:color w:val="auto"/>
                      <w:kern w:val="2"/>
                      <w:sz w:val="21"/>
                      <w:szCs w:val="21"/>
                      <w:highlight w:val="none"/>
                    </w:rPr>
                    <w:t>SO</w:t>
                  </w:r>
                  <w:r>
                    <w:rPr>
                      <w:rFonts w:hint="default" w:ascii="Times New Roman" w:hAnsi="Times New Roman" w:cs="Times New Roman"/>
                      <w:color w:val="auto"/>
                      <w:kern w:val="2"/>
                      <w:sz w:val="21"/>
                      <w:szCs w:val="21"/>
                      <w:highlight w:val="none"/>
                      <w:vertAlign w:val="subscript"/>
                    </w:rPr>
                    <w:t>4</w:t>
                  </w:r>
                  <w:r>
                    <w:rPr>
                      <w:rFonts w:hint="default" w:ascii="Times New Roman" w:hAnsi="Times New Roman" w:cs="Times New Roman"/>
                      <w:color w:val="auto"/>
                      <w:kern w:val="2"/>
                      <w:sz w:val="21"/>
                      <w:szCs w:val="21"/>
                      <w:highlight w:val="none"/>
                    </w:rPr>
                    <w:t>，是一种活泼的二元无机强酸。无水硫酸为无色油状液体，密度为1.84g/cm</w:t>
                  </w:r>
                  <w:r>
                    <w:rPr>
                      <w:rFonts w:hint="default" w:ascii="Times New Roman" w:hAnsi="Times New Roman" w:cs="Times New Roman"/>
                      <w:color w:val="auto"/>
                      <w:kern w:val="2"/>
                      <w:sz w:val="21"/>
                      <w:szCs w:val="21"/>
                      <w:highlight w:val="none"/>
                      <w:vertAlign w:val="superscript"/>
                    </w:rPr>
                    <w:t>3</w:t>
                  </w:r>
                  <w:r>
                    <w:rPr>
                      <w:rFonts w:hint="default" w:ascii="Times New Roman" w:hAnsi="Times New Roman" w:cs="Times New Roman"/>
                      <w:color w:val="auto"/>
                      <w:kern w:val="2"/>
                      <w:sz w:val="21"/>
                      <w:szCs w:val="21"/>
                      <w:highlight w:val="none"/>
                    </w:rPr>
                    <w:t>，熔点10.4℃，沸点338℃；具有强烈的腐蚀性和氧化性，能和许多金属发生反应，高浓度时有强烈吸水性，可用作脱水剂，碳化含碳水化合物的物质；与水混合时，亦会放出大量热能。</w:t>
                  </w:r>
                </w:p>
              </w:tc>
              <w:tc>
                <w:tcPr>
                  <w:tcW w:w="649" w:type="pct"/>
                  <w:noWrap w:val="0"/>
                  <w:vAlign w:val="center"/>
                </w:tcPr>
                <w:p w14:paraId="5BC1C56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是</w:t>
                  </w:r>
                </w:p>
              </w:tc>
            </w:tr>
            <w:tr w14:paraId="6819D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57358CAF">
                  <w:pPr>
                    <w:keepNext w:val="0"/>
                    <w:keepLines w:val="0"/>
                    <w:pageBreakBefore w:val="0"/>
                    <w:suppressLineNumbers w:val="0"/>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PAC</w:t>
                  </w:r>
                </w:p>
              </w:tc>
              <w:tc>
                <w:tcPr>
                  <w:tcW w:w="953" w:type="pct"/>
                  <w:noWrap w:val="0"/>
                  <w:vAlign w:val="center"/>
                </w:tcPr>
                <w:p w14:paraId="1BEA9F3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聚合氯化铝</w:t>
                  </w:r>
                </w:p>
              </w:tc>
              <w:tc>
                <w:tcPr>
                  <w:tcW w:w="2882" w:type="pct"/>
                  <w:noWrap w:val="0"/>
                  <w:vAlign w:val="center"/>
                </w:tcPr>
                <w:p w14:paraId="37FE067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颜色呈黄色或淡黄色、深褐色、深灰色树脂状固体。该产品有较强的架桥吸附性能，在水解过程中，伴随发生凝聚，吸附和沉淀等物理化学过程。聚合氯化铝与传统无机混凝剂的根本区别在于传统无机混凝剂为低分子结晶盐，而聚合氯化铝的结构由形态多变的多元羧基络合物组成，絮凝沉淀速度快，适用pH值范围宽，对管道设备无腐蚀性，净水效果明显，能有效</w:t>
                  </w:r>
                  <w:r>
                    <w:rPr>
                      <w:rFonts w:hint="default" w:ascii="Times New Roman" w:hAnsi="Times New Roman" w:cs="Times New Roman"/>
                      <w:color w:val="auto"/>
                      <w:kern w:val="2"/>
                      <w:sz w:val="21"/>
                      <w:szCs w:val="21"/>
                      <w:highlight w:val="none"/>
                      <w:lang w:eastAsia="zh-CN"/>
                    </w:rPr>
                    <w:t>去</w:t>
                  </w:r>
                  <w:r>
                    <w:rPr>
                      <w:rFonts w:hint="default" w:ascii="Times New Roman" w:hAnsi="Times New Roman" w:cs="Times New Roman"/>
                      <w:color w:val="auto"/>
                      <w:kern w:val="2"/>
                      <w:sz w:val="21"/>
                      <w:szCs w:val="21"/>
                      <w:highlight w:val="none"/>
                    </w:rPr>
                    <w:t>除水中色质SS、COD、BOD及砷、汞等重金属离子，该产品广泛用于饮用水、工业用水和污水处理领域</w:t>
                  </w:r>
                </w:p>
              </w:tc>
              <w:tc>
                <w:tcPr>
                  <w:tcW w:w="649" w:type="pct"/>
                  <w:noWrap w:val="0"/>
                  <w:vAlign w:val="center"/>
                </w:tcPr>
                <w:p w14:paraId="717251B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否</w:t>
                  </w:r>
                </w:p>
              </w:tc>
            </w:tr>
            <w:tr w14:paraId="696576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61BD338C">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PAM</w:t>
                  </w:r>
                </w:p>
              </w:tc>
              <w:tc>
                <w:tcPr>
                  <w:tcW w:w="953" w:type="pct"/>
                  <w:noWrap w:val="0"/>
                  <w:vAlign w:val="center"/>
                </w:tcPr>
                <w:p w14:paraId="32F4FBA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聚丙烯酰胺</w:t>
                  </w:r>
                </w:p>
              </w:tc>
              <w:tc>
                <w:tcPr>
                  <w:tcW w:w="2882" w:type="pct"/>
                  <w:noWrap w:val="0"/>
                  <w:vAlign w:val="center"/>
                </w:tcPr>
                <w:p w14:paraId="3999C71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聚丙烯酰胺（PAM）是一种线型高分子聚合物，化学式为</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C</w:t>
                  </w:r>
                  <w:r>
                    <w:rPr>
                      <w:rFonts w:hint="default" w:ascii="Times New Roman" w:hAnsi="Times New Roman" w:cs="Times New Roman"/>
                      <w:color w:val="auto"/>
                      <w:kern w:val="2"/>
                      <w:sz w:val="21"/>
                      <w:szCs w:val="21"/>
                      <w:highlight w:val="none"/>
                      <w:vertAlign w:val="subscript"/>
                    </w:rPr>
                    <w:t>3</w:t>
                  </w:r>
                  <w:r>
                    <w:rPr>
                      <w:rFonts w:hint="default" w:ascii="Times New Roman" w:hAnsi="Times New Roman" w:cs="Times New Roman"/>
                      <w:color w:val="auto"/>
                      <w:kern w:val="2"/>
                      <w:sz w:val="21"/>
                      <w:szCs w:val="21"/>
                      <w:highlight w:val="none"/>
                    </w:rPr>
                    <w:t>H</w:t>
                  </w:r>
                  <w:r>
                    <w:rPr>
                      <w:rFonts w:hint="default" w:ascii="Times New Roman" w:hAnsi="Times New Roman" w:cs="Times New Roman"/>
                      <w:color w:val="auto"/>
                      <w:kern w:val="2"/>
                      <w:sz w:val="21"/>
                      <w:szCs w:val="21"/>
                      <w:highlight w:val="none"/>
                      <w:vertAlign w:val="subscript"/>
                    </w:rPr>
                    <w:t>5</w:t>
                  </w:r>
                  <w:r>
                    <w:rPr>
                      <w:rFonts w:hint="default" w:ascii="Times New Roman" w:hAnsi="Times New Roman" w:cs="Times New Roman"/>
                      <w:color w:val="auto"/>
                      <w:kern w:val="2"/>
                      <w:sz w:val="21"/>
                      <w:szCs w:val="21"/>
                      <w:highlight w:val="none"/>
                    </w:rPr>
                    <w:t>NO</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n。在常温下为坚硬的玻璃态固体，产品有胶液、胶乳和白色粉粒、半透明珠粒和薄片等。热稳定性良好。能以任意比例溶于水，水溶液为均匀透明的液体。长期存放后会因聚合物缓慢</w:t>
                  </w:r>
                  <w:r>
                    <w:rPr>
                      <w:rFonts w:hint="default" w:ascii="Times New Roman" w:hAnsi="Times New Roman" w:cs="Times New Roman"/>
                      <w:color w:val="auto"/>
                      <w:kern w:val="2"/>
                      <w:sz w:val="21"/>
                      <w:szCs w:val="21"/>
                      <w:highlight w:val="none"/>
                      <w:lang w:val="en-US" w:eastAsia="zh-CN"/>
                    </w:rPr>
                    <w:t>地</w:t>
                  </w:r>
                  <w:r>
                    <w:rPr>
                      <w:rFonts w:hint="default" w:ascii="Times New Roman" w:hAnsi="Times New Roman" w:cs="Times New Roman"/>
                      <w:color w:val="auto"/>
                      <w:kern w:val="2"/>
                      <w:sz w:val="21"/>
                      <w:szCs w:val="21"/>
                      <w:highlight w:val="none"/>
                    </w:rPr>
                    <w:t>降解而使溶液粘度下降，特别是在贮运条件较差时更为明显。聚丙烯酰胺可作为润滑剂、悬浮剂、粘土稳定剂、驱油剂、降失水剂和增稠剂使用</w:t>
                  </w:r>
                </w:p>
              </w:tc>
              <w:tc>
                <w:tcPr>
                  <w:tcW w:w="649" w:type="pct"/>
                  <w:noWrap w:val="0"/>
                  <w:vAlign w:val="center"/>
                </w:tcPr>
                <w:p w14:paraId="6793217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否</w:t>
                  </w:r>
                </w:p>
              </w:tc>
            </w:tr>
            <w:tr w14:paraId="3BC38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646781B6">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底漆</w:t>
                  </w:r>
                </w:p>
              </w:tc>
              <w:tc>
                <w:tcPr>
                  <w:tcW w:w="953" w:type="pct"/>
                  <w:noWrap w:val="0"/>
                  <w:vAlign w:val="center"/>
                </w:tcPr>
                <w:p w14:paraId="5AD3FE17">
                  <w:pP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rPr>
                    <w:t>PVDF 树脂1</w:t>
                  </w:r>
                  <w:r>
                    <w:rPr>
                      <w:rFonts w:hint="eastAsia" w:cs="Times New Roman"/>
                      <w:color w:val="auto"/>
                      <w:lang w:val="en-US" w:eastAsia="zh-CN"/>
                    </w:rPr>
                    <w:t>3.6</w:t>
                  </w:r>
                  <w:r>
                    <w:rPr>
                      <w:rFonts w:hint="default" w:ascii="Times New Roman" w:hAnsi="Times New Roman" w:cs="Times New Roman"/>
                      <w:color w:val="auto"/>
                      <w:lang w:val="en-US" w:eastAsia="zh-CN"/>
                    </w:rPr>
                    <w:t>%、</w:t>
                  </w:r>
                  <w:r>
                    <w:rPr>
                      <w:rFonts w:hint="default" w:ascii="Times New Roman" w:hAnsi="Times New Roman" w:cs="Times New Roman"/>
                      <w:color w:val="auto"/>
                    </w:rPr>
                    <w:t>丙烯酸树脂</w:t>
                  </w:r>
                  <w:r>
                    <w:rPr>
                      <w:rFonts w:hint="default" w:ascii="Times New Roman" w:hAnsi="Times New Roman" w:cs="Times New Roman"/>
                      <w:color w:val="auto"/>
                    </w:rPr>
                    <w:tab/>
                  </w:r>
                  <w:r>
                    <w:rPr>
                      <w:rFonts w:hint="default" w:ascii="Times New Roman" w:hAnsi="Times New Roman" w:cs="Times New Roman"/>
                      <w:color w:val="auto"/>
                    </w:rPr>
                    <w:t>1</w:t>
                  </w:r>
                  <w:r>
                    <w:rPr>
                      <w:rFonts w:hint="eastAsia" w:cs="Times New Roman"/>
                      <w:color w:val="auto"/>
                      <w:lang w:val="en-US" w:eastAsia="zh-CN"/>
                    </w:rPr>
                    <w:t>5</w:t>
                  </w:r>
                  <w:r>
                    <w:rPr>
                      <w:rFonts w:hint="default" w:ascii="Times New Roman" w:hAnsi="Times New Roman" w:cs="Times New Roman"/>
                      <w:color w:val="auto"/>
                      <w:lang w:val="en-US" w:eastAsia="zh-CN"/>
                    </w:rPr>
                    <w:t>%、</w:t>
                  </w:r>
                  <w:r>
                    <w:rPr>
                      <w:rFonts w:hint="default" w:ascii="Times New Roman" w:hAnsi="Times New Roman" w:cs="Times New Roman"/>
                      <w:color w:val="auto"/>
                    </w:rPr>
                    <w:t>二甲苯</w:t>
                  </w:r>
                  <w:r>
                    <w:rPr>
                      <w:rFonts w:hint="eastAsia" w:cs="Times New Roman"/>
                      <w:color w:val="auto"/>
                      <w:lang w:val="en-US" w:eastAsia="zh-CN"/>
                    </w:rPr>
                    <w:t>10</w:t>
                  </w:r>
                  <w:r>
                    <w:rPr>
                      <w:rFonts w:hint="default" w:ascii="Times New Roman" w:hAnsi="Times New Roman" w:cs="Times New Roman"/>
                      <w:color w:val="auto"/>
                      <w:lang w:val="en-US" w:eastAsia="zh-CN"/>
                    </w:rPr>
                    <w:t>%、</w:t>
                  </w:r>
                  <w:r>
                    <w:rPr>
                      <w:rFonts w:hint="default" w:ascii="Times New Roman" w:hAnsi="Times New Roman" w:cs="Times New Roman"/>
                      <w:color w:val="auto"/>
                    </w:rPr>
                    <w:t>邻苯二甲酸二甲酯</w:t>
                  </w:r>
                  <w:r>
                    <w:rPr>
                      <w:rFonts w:hint="eastAsia" w:cs="Times New Roman"/>
                      <w:color w:val="auto"/>
                      <w:lang w:val="en-US" w:eastAsia="zh-CN"/>
                    </w:rPr>
                    <w:t>8.2</w:t>
                  </w:r>
                  <w:r>
                    <w:rPr>
                      <w:rFonts w:hint="default" w:ascii="Times New Roman" w:hAnsi="Times New Roman" w:cs="Times New Roman"/>
                      <w:color w:val="auto"/>
                      <w:lang w:val="en-US" w:eastAsia="zh-CN"/>
                    </w:rPr>
                    <w:t>%、</w:t>
                  </w:r>
                  <w:r>
                    <w:rPr>
                      <w:rFonts w:hint="default" w:ascii="Times New Roman" w:hAnsi="Times New Roman" w:cs="Times New Roman"/>
                      <w:color w:val="auto"/>
                    </w:rPr>
                    <w:t>丙二醇</w:t>
                  </w:r>
                  <w:r>
                    <w:rPr>
                      <w:rFonts w:hint="eastAsia" w:cs="Times New Roman"/>
                      <w:color w:val="auto"/>
                      <w:lang w:val="en-US" w:eastAsia="zh-CN"/>
                    </w:rPr>
                    <w:t>2</w:t>
                  </w:r>
                  <w:r>
                    <w:rPr>
                      <w:rFonts w:hint="default" w:ascii="Times New Roman" w:hAnsi="Times New Roman" w:cs="Times New Roman"/>
                      <w:color w:val="auto"/>
                      <w:lang w:val="en-US" w:eastAsia="zh-CN"/>
                    </w:rPr>
                    <w:t>%、</w:t>
                  </w:r>
                  <w:r>
                    <w:rPr>
                      <w:rFonts w:hint="default" w:ascii="Times New Roman" w:hAnsi="Times New Roman" w:cs="Times New Roman"/>
                      <w:color w:val="auto"/>
                    </w:rPr>
                    <w:t>颜料</w:t>
                  </w:r>
                  <w:r>
                    <w:rPr>
                      <w:rFonts w:hint="eastAsia" w:cs="Times New Roman"/>
                      <w:color w:val="auto"/>
                      <w:lang w:val="en-US" w:eastAsia="zh-CN"/>
                    </w:rPr>
                    <w:t>24.4</w:t>
                  </w:r>
                  <w:r>
                    <w:rPr>
                      <w:rFonts w:hint="default" w:ascii="Times New Roman" w:hAnsi="Times New Roman" w:cs="Times New Roman"/>
                      <w:color w:val="auto"/>
                      <w:lang w:val="en-US" w:eastAsia="zh-CN"/>
                    </w:rPr>
                    <w:t>%、</w:t>
                  </w:r>
                  <w:r>
                    <w:rPr>
                      <w:rFonts w:hint="default" w:ascii="Times New Roman" w:hAnsi="Times New Roman" w:cs="Times New Roman"/>
                      <w:color w:val="auto"/>
                    </w:rPr>
                    <w:t>填料</w:t>
                  </w:r>
                  <w:r>
                    <w:rPr>
                      <w:rFonts w:hint="eastAsia" w:cs="Times New Roman"/>
                      <w:color w:val="auto"/>
                      <w:lang w:val="en-US" w:eastAsia="zh-CN"/>
                    </w:rPr>
                    <w:t>23.6</w:t>
                  </w:r>
                  <w:r>
                    <w:rPr>
                      <w:rFonts w:hint="default" w:ascii="Times New Roman" w:hAnsi="Times New Roman" w:cs="Times New Roman"/>
                      <w:color w:val="auto"/>
                      <w:lang w:val="en-US" w:eastAsia="zh-CN"/>
                    </w:rPr>
                    <w:t>%、</w:t>
                  </w:r>
                  <w:r>
                    <w:rPr>
                      <w:rFonts w:hint="default" w:ascii="Times New Roman" w:hAnsi="Times New Roman" w:cs="Times New Roman"/>
                      <w:color w:val="auto"/>
                    </w:rPr>
                    <w:t>助剂</w:t>
                  </w:r>
                  <w:r>
                    <w:rPr>
                      <w:rFonts w:hint="eastAsia" w:cs="Times New Roman"/>
                      <w:color w:val="auto"/>
                      <w:lang w:val="en-US" w:eastAsia="zh-CN"/>
                    </w:rPr>
                    <w:t>1.2</w:t>
                  </w:r>
                  <w:r>
                    <w:rPr>
                      <w:rFonts w:hint="default" w:ascii="Times New Roman" w:hAnsi="Times New Roman" w:cs="Times New Roman"/>
                      <w:color w:val="auto"/>
                      <w:lang w:val="en-US" w:eastAsia="zh-CN"/>
                    </w:rPr>
                    <w:t>%</w:t>
                  </w:r>
                </w:p>
              </w:tc>
              <w:tc>
                <w:tcPr>
                  <w:tcW w:w="2882" w:type="pct"/>
                  <w:noWrap w:val="0"/>
                  <w:vAlign w:val="center"/>
                </w:tcPr>
                <w:p w14:paraId="0ABB1CB8">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外观与性状：液体，有刺激味 </w:t>
                  </w:r>
                </w:p>
                <w:p w14:paraId="40F35E72">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燃点（℃）：56 自然温度（℃）： </w:t>
                  </w:r>
                </w:p>
                <w:p w14:paraId="157D53C5">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沸点（℃）：&gt;35 闪点（℃）：45</w:t>
                  </w:r>
                  <w:r>
                    <w:rPr>
                      <w:rFonts w:hint="default" w:ascii="Times New Roman" w:hAnsi="Times New Roman" w:eastAsia="宋体" w:cs="Times New Roman"/>
                      <w:b/>
                      <w:bCs/>
                      <w:color w:val="auto"/>
                      <w:kern w:val="0"/>
                      <w:sz w:val="18"/>
                      <w:szCs w:val="18"/>
                      <w:lang w:val="en-US" w:eastAsia="zh-CN" w:bidi="ar"/>
                    </w:rPr>
                    <w:t xml:space="preserve"> </w:t>
                  </w:r>
                </w:p>
                <w:p w14:paraId="64008496">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爆炸上限（%）： 爆炸下限（%）： </w:t>
                  </w:r>
                </w:p>
                <w:p w14:paraId="1BA119D2">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相对密度（水=1）：1.173 相对蒸汽密度（空气=1）：</w:t>
                  </w:r>
                </w:p>
                <w:p w14:paraId="5D529A64">
                  <w:pPr>
                    <w:keepNext w:val="0"/>
                    <w:keepLines w:val="0"/>
                    <w:widowControl/>
                    <w:suppressLineNumbers w:val="0"/>
                    <w:jc w:val="left"/>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color w:val="auto"/>
                      <w:kern w:val="0"/>
                      <w:sz w:val="21"/>
                      <w:szCs w:val="21"/>
                      <w:lang w:val="en-US" w:eastAsia="zh-CN" w:bidi="ar"/>
                    </w:rPr>
                    <w:t>易燃液体-3、皮肤刺激-1B、吸入危害-1、对水环境的危害-急性 1、严重眼睛刺激-2</w:t>
                  </w:r>
                </w:p>
              </w:tc>
              <w:tc>
                <w:tcPr>
                  <w:tcW w:w="649" w:type="pct"/>
                  <w:noWrap w:val="0"/>
                  <w:vAlign w:val="center"/>
                </w:tcPr>
                <w:p w14:paraId="1BE67F6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是</w:t>
                  </w:r>
                </w:p>
              </w:tc>
            </w:tr>
            <w:tr w14:paraId="50A36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3828D250">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面漆</w:t>
                  </w:r>
                </w:p>
              </w:tc>
              <w:tc>
                <w:tcPr>
                  <w:tcW w:w="953" w:type="pct"/>
                  <w:noWrap w:val="0"/>
                  <w:vAlign w:val="center"/>
                </w:tcPr>
                <w:p w14:paraId="4454743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rPr>
                    <w:t>PVDF 树脂2</w:t>
                  </w:r>
                  <w:r>
                    <w:rPr>
                      <w:rFonts w:hint="eastAsia" w:ascii="Times New Roman" w:hAnsi="Times New Roman" w:cs="Times New Roman"/>
                      <w:color w:val="auto"/>
                      <w:lang w:val="en-US" w:eastAsia="zh-CN"/>
                    </w:rPr>
                    <w:t>5.4</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丙烯酸树脂</w:t>
                  </w:r>
                  <w:r>
                    <w:rPr>
                      <w:rFonts w:hint="eastAsia" w:ascii="Times New Roman" w:hAnsi="Times New Roman" w:cs="Times New Roman"/>
                      <w:color w:val="auto"/>
                      <w:lang w:val="en-US" w:eastAsia="zh-CN"/>
                    </w:rPr>
                    <w:t>21.6</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二甲苯</w:t>
                  </w:r>
                  <w:r>
                    <w:rPr>
                      <w:rFonts w:hint="eastAsia" w:ascii="Times New Roman" w:hAnsi="Times New Roman" w:cs="Times New Roman"/>
                      <w:color w:val="auto"/>
                      <w:lang w:val="en-US" w:eastAsia="zh-CN"/>
                    </w:rPr>
                    <w:t>11</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邻苯二甲酸二甲酯10</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BCS</w:t>
                  </w:r>
                  <w:r>
                    <w:rPr>
                      <w:rFonts w:hint="eastAsia" w:ascii="Times New Roman" w:hAnsi="Times New Roman" w:cs="Times New Roman"/>
                      <w:color w:val="auto"/>
                      <w:lang w:val="en-US" w:eastAsia="zh-CN"/>
                    </w:rPr>
                    <w:t>3</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丙二醇</w:t>
                  </w:r>
                  <w:r>
                    <w:rPr>
                      <w:rFonts w:hint="eastAsia" w:ascii="Times New Roman" w:hAnsi="Times New Roman" w:cs="Times New Roman"/>
                      <w:color w:val="auto"/>
                      <w:lang w:val="en-US" w:eastAsia="zh-CN"/>
                    </w:rPr>
                    <w:t>4.1</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颜填料</w:t>
                  </w:r>
                  <w:r>
                    <w:rPr>
                      <w:rFonts w:hint="eastAsia" w:ascii="Times New Roman" w:hAnsi="Times New Roman" w:cs="Times New Roman"/>
                      <w:color w:val="auto"/>
                      <w:lang w:val="en-US" w:eastAsia="zh-CN"/>
                    </w:rPr>
                    <w:t>24.4</w:t>
                  </w:r>
                  <w:r>
                    <w:rPr>
                      <w:rFonts w:hint="default" w:ascii="Times New Roman" w:hAnsi="Times New Roman" w:cs="Times New Roman"/>
                      <w:color w:val="auto"/>
                      <w:lang w:val="en-US" w:eastAsia="zh-CN"/>
                    </w:rPr>
                    <w:t>%</w:t>
                  </w:r>
                  <w:r>
                    <w:rPr>
                      <w:rFonts w:hint="default" w:ascii="Times New Roman" w:hAnsi="Times New Roman" w:cs="Times New Roman"/>
                      <w:color w:val="auto"/>
                      <w:lang w:eastAsia="zh-CN"/>
                    </w:rPr>
                    <w:t>、</w:t>
                  </w:r>
                  <w:r>
                    <w:rPr>
                      <w:rFonts w:hint="default" w:ascii="Times New Roman" w:hAnsi="Times New Roman" w:cs="Times New Roman"/>
                      <w:color w:val="auto"/>
                    </w:rPr>
                    <w:t>助剂</w:t>
                  </w:r>
                  <w:r>
                    <w:rPr>
                      <w:rFonts w:hint="eastAsia" w:ascii="Times New Roman" w:hAnsi="Times New Roman" w:cs="Times New Roman"/>
                      <w:color w:val="auto"/>
                      <w:lang w:val="en-US" w:eastAsia="zh-CN"/>
                    </w:rPr>
                    <w:t>0.</w:t>
                  </w:r>
                  <w:r>
                    <w:rPr>
                      <w:rFonts w:hint="default" w:ascii="Times New Roman" w:hAnsi="Times New Roman" w:cs="Times New Roman"/>
                      <w:color w:val="auto"/>
                    </w:rPr>
                    <w:t>5</w:t>
                  </w:r>
                  <w:r>
                    <w:rPr>
                      <w:rFonts w:hint="default" w:ascii="Times New Roman" w:hAnsi="Times New Roman" w:cs="Times New Roman"/>
                      <w:color w:val="auto"/>
                      <w:lang w:val="en-US" w:eastAsia="zh-CN"/>
                    </w:rPr>
                    <w:t>%</w:t>
                  </w:r>
                </w:p>
              </w:tc>
              <w:tc>
                <w:tcPr>
                  <w:tcW w:w="2882" w:type="pct"/>
                  <w:noWrap w:val="0"/>
                  <w:vAlign w:val="center"/>
                </w:tcPr>
                <w:p w14:paraId="29756C33">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外观与性状：液体，有刺激味 </w:t>
                  </w:r>
                </w:p>
                <w:p w14:paraId="6ED3B894">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燃点（℃）：44 自然温度（℃）： </w:t>
                  </w:r>
                </w:p>
                <w:p w14:paraId="55D7B88D">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沸点（℃）：&gt;35 闪点（℃）：32</w:t>
                  </w:r>
                  <w:r>
                    <w:rPr>
                      <w:rFonts w:hint="default" w:ascii="Times New Roman" w:hAnsi="Times New Roman" w:eastAsia="宋体" w:cs="Times New Roman"/>
                      <w:b/>
                      <w:bCs/>
                      <w:color w:val="auto"/>
                      <w:kern w:val="0"/>
                      <w:sz w:val="18"/>
                      <w:szCs w:val="18"/>
                      <w:lang w:val="en-US" w:eastAsia="zh-CN" w:bidi="ar"/>
                    </w:rPr>
                    <w:t xml:space="preserve"> </w:t>
                  </w:r>
                </w:p>
                <w:p w14:paraId="09E0397F">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爆炸上限（%）： 爆炸下限（%）： </w:t>
                  </w:r>
                </w:p>
                <w:p w14:paraId="0B5B7391">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相对密度（水=1）：1.071 相对蒸汽密度（空气=1）：</w:t>
                  </w:r>
                </w:p>
                <w:p w14:paraId="5E375DB8">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易燃液体和蒸汽，引起皮肤刺激，引起严重眼睛刺激，长期或反复接触引起器官损伤， </w:t>
                  </w:r>
                </w:p>
                <w:p w14:paraId="4AB518E5">
                  <w:pPr>
                    <w:keepNext w:val="0"/>
                    <w:keepLines w:val="0"/>
                    <w:widowControl/>
                    <w:suppressLineNumbers w:val="0"/>
                    <w:jc w:val="left"/>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color w:val="auto"/>
                      <w:kern w:val="0"/>
                      <w:sz w:val="21"/>
                      <w:szCs w:val="21"/>
                      <w:lang w:val="en-US" w:eastAsia="zh-CN" w:bidi="ar"/>
                    </w:rPr>
                    <w:t>吞咽并进入呼吸道可能致命，对水生生物有害。</w:t>
                  </w:r>
                </w:p>
              </w:tc>
              <w:tc>
                <w:tcPr>
                  <w:tcW w:w="649" w:type="pct"/>
                  <w:noWrap w:val="0"/>
                  <w:vAlign w:val="center"/>
                </w:tcPr>
                <w:p w14:paraId="7033C79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是</w:t>
                  </w:r>
                </w:p>
              </w:tc>
            </w:tr>
            <w:tr w14:paraId="75748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4A170AC7">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清漆</w:t>
                  </w:r>
                </w:p>
              </w:tc>
              <w:tc>
                <w:tcPr>
                  <w:tcW w:w="953" w:type="pct"/>
                  <w:noWrap w:val="0"/>
                  <w:vAlign w:val="center"/>
                </w:tcPr>
                <w:p w14:paraId="565BBDD4">
                  <w:pP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lang w:val="en-US" w:eastAsia="zh-CN"/>
                    </w:rPr>
                    <w:t>PVDF 树脂</w:t>
                  </w:r>
                  <w:r>
                    <w:rPr>
                      <w:rFonts w:hint="eastAsia" w:cs="Times New Roman"/>
                      <w:color w:val="auto"/>
                      <w:lang w:val="en-US" w:eastAsia="zh-CN"/>
                    </w:rPr>
                    <w:t>50.2</w:t>
                  </w:r>
                  <w:r>
                    <w:rPr>
                      <w:rFonts w:hint="default" w:ascii="Times New Roman" w:hAnsi="Times New Roman" w:cs="Times New Roman"/>
                      <w:color w:val="auto"/>
                      <w:lang w:val="en-US" w:eastAsia="zh-CN"/>
                    </w:rPr>
                    <w:t>%、丙烯酸树脂</w:t>
                  </w:r>
                  <w:r>
                    <w:rPr>
                      <w:rFonts w:hint="eastAsia" w:cs="Times New Roman"/>
                      <w:color w:val="auto"/>
                      <w:lang w:val="en-US" w:eastAsia="zh-CN"/>
                    </w:rPr>
                    <w:t>21.6</w:t>
                  </w:r>
                  <w:r>
                    <w:rPr>
                      <w:rFonts w:hint="default" w:ascii="Times New Roman" w:hAnsi="Times New Roman" w:cs="Times New Roman"/>
                      <w:color w:val="auto"/>
                      <w:lang w:val="en-US" w:eastAsia="zh-CN"/>
                    </w:rPr>
                    <w:t>%、二甲苯</w:t>
                  </w:r>
                  <w:r>
                    <w:rPr>
                      <w:rFonts w:hint="eastAsia" w:cs="Times New Roman"/>
                      <w:color w:val="auto"/>
                      <w:lang w:val="en-US" w:eastAsia="zh-CN"/>
                    </w:rPr>
                    <w:t>8.6</w:t>
                  </w:r>
                  <w:r>
                    <w:rPr>
                      <w:rFonts w:hint="default" w:ascii="Times New Roman" w:hAnsi="Times New Roman" w:cs="Times New Roman"/>
                      <w:color w:val="auto"/>
                      <w:lang w:val="en-US" w:eastAsia="zh-CN"/>
                    </w:rPr>
                    <w:t xml:space="preserve">%、BCS </w:t>
                  </w:r>
                  <w:r>
                    <w:rPr>
                      <w:rFonts w:hint="eastAsia" w:cs="Times New Roman"/>
                      <w:color w:val="auto"/>
                      <w:lang w:val="en-US" w:eastAsia="zh-CN"/>
                    </w:rPr>
                    <w:t>7.</w:t>
                  </w:r>
                  <w:r>
                    <w:rPr>
                      <w:rFonts w:hint="default" w:ascii="Times New Roman" w:hAnsi="Times New Roman" w:cs="Times New Roman"/>
                      <w:color w:val="auto"/>
                      <w:lang w:val="en-US" w:eastAsia="zh-CN"/>
                    </w:rPr>
                    <w:t>8%、邻苯二甲酸二甲酯</w:t>
                  </w:r>
                  <w:r>
                    <w:rPr>
                      <w:rFonts w:hint="eastAsia" w:cs="Times New Roman"/>
                      <w:color w:val="auto"/>
                      <w:lang w:val="en-US" w:eastAsia="zh-CN"/>
                    </w:rPr>
                    <w:t>9.8</w:t>
                  </w:r>
                  <w:r>
                    <w:rPr>
                      <w:rFonts w:hint="default" w:ascii="Times New Roman" w:hAnsi="Times New Roman" w:cs="Times New Roman"/>
                      <w:color w:val="auto"/>
                      <w:lang w:val="en-US" w:eastAsia="zh-CN"/>
                    </w:rPr>
                    <w:t>%、丙二醇</w:t>
                  </w:r>
                  <w:r>
                    <w:rPr>
                      <w:rFonts w:hint="eastAsia" w:cs="Times New Roman"/>
                      <w:color w:val="auto"/>
                      <w:lang w:val="en-US" w:eastAsia="zh-CN"/>
                    </w:rPr>
                    <w:t>1.9</w:t>
                  </w:r>
                  <w:r>
                    <w:rPr>
                      <w:rFonts w:hint="default" w:ascii="Times New Roman" w:hAnsi="Times New Roman" w:cs="Times New Roman"/>
                      <w:color w:val="auto"/>
                      <w:lang w:val="en-US" w:eastAsia="zh-CN"/>
                    </w:rPr>
                    <w:t>%、助剂</w:t>
                  </w:r>
                  <w:r>
                    <w:rPr>
                      <w:rFonts w:hint="eastAsia" w:cs="Times New Roman"/>
                      <w:color w:val="auto"/>
                      <w:lang w:val="en-US" w:eastAsia="zh-CN"/>
                    </w:rPr>
                    <w:t>0.3</w:t>
                  </w:r>
                  <w:r>
                    <w:rPr>
                      <w:rFonts w:hint="default" w:ascii="Times New Roman" w:hAnsi="Times New Roman" w:cs="Times New Roman"/>
                      <w:color w:val="auto"/>
                      <w:lang w:val="en-US" w:eastAsia="zh-CN"/>
                    </w:rPr>
                    <w:t>%</w:t>
                  </w:r>
                </w:p>
              </w:tc>
              <w:tc>
                <w:tcPr>
                  <w:tcW w:w="2882" w:type="pct"/>
                  <w:noWrap w:val="0"/>
                  <w:vAlign w:val="center"/>
                </w:tcPr>
                <w:p w14:paraId="5D428710">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外观与性状：液体，有刺激味 </w:t>
                  </w:r>
                </w:p>
                <w:p w14:paraId="0AA0A66D">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燃点（℃）：50 自然温度（℃）： </w:t>
                  </w:r>
                </w:p>
                <w:p w14:paraId="79D18867">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沸点（℃）：&gt;35 闪点（℃）：46 </w:t>
                  </w:r>
                </w:p>
                <w:p w14:paraId="25E567F9">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爆炸上限（%）： 爆炸下限（%）：</w:t>
                  </w:r>
                  <w:r>
                    <w:rPr>
                      <w:rFonts w:hint="default" w:ascii="Times New Roman" w:hAnsi="Times New Roman" w:eastAsia="宋体" w:cs="Times New Roman"/>
                      <w:b/>
                      <w:bCs/>
                      <w:color w:val="auto"/>
                      <w:kern w:val="0"/>
                      <w:sz w:val="18"/>
                      <w:szCs w:val="18"/>
                      <w:lang w:val="en-US" w:eastAsia="zh-CN" w:bidi="ar"/>
                    </w:rPr>
                    <w:t xml:space="preserve"> </w:t>
                  </w:r>
                </w:p>
                <w:p w14:paraId="7EB770D5">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相对密度（水=1）：1.173 相对蒸汽密度（空气=1）：</w:t>
                  </w:r>
                </w:p>
                <w:p w14:paraId="55D5CE86">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lang w:val="en-US" w:eastAsia="zh-CN" w:bidi="ar"/>
                    </w:rPr>
                    <w:t xml:space="preserve">易燃液体和蒸汽，引起皮肤刺激，引起严重眼睛刺激，长期或反复接触引起器官损伤， </w:t>
                  </w:r>
                </w:p>
                <w:p w14:paraId="083C9696">
                  <w:pPr>
                    <w:keepNext w:val="0"/>
                    <w:keepLines w:val="0"/>
                    <w:widowControl/>
                    <w:suppressLineNumbers w:val="0"/>
                    <w:jc w:val="left"/>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color w:val="auto"/>
                      <w:kern w:val="0"/>
                      <w:sz w:val="21"/>
                      <w:szCs w:val="21"/>
                      <w:lang w:val="en-US" w:eastAsia="zh-CN" w:bidi="ar"/>
                    </w:rPr>
                    <w:t>吞咽并进入呼吸道可能致命，对水生生物有害。</w:t>
                  </w:r>
                </w:p>
              </w:tc>
              <w:tc>
                <w:tcPr>
                  <w:tcW w:w="649" w:type="pct"/>
                  <w:noWrap w:val="0"/>
                  <w:vAlign w:val="center"/>
                </w:tcPr>
                <w:p w14:paraId="22F9A6C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是</w:t>
                  </w:r>
                </w:p>
              </w:tc>
            </w:tr>
            <w:tr w14:paraId="7D221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6D1B1688">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eastAsia" w:ascii="Times New Roman" w:hAnsi="Times New Roman" w:eastAsia="宋体"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稀释剂</w:t>
                  </w:r>
                </w:p>
              </w:tc>
              <w:tc>
                <w:tcPr>
                  <w:tcW w:w="953" w:type="pct"/>
                  <w:noWrap w:val="0"/>
                  <w:vAlign w:val="center"/>
                </w:tcPr>
                <w:p w14:paraId="2F723A78">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二甲苯70%</w:t>
                  </w:r>
                </w:p>
                <w:p w14:paraId="43BEB38C">
                  <w:pPr>
                    <w:rPr>
                      <w:rFonts w:hint="default" w:ascii="Times New Roman" w:hAnsi="Times New Roman" w:cs="Times New Roman"/>
                      <w:color w:val="auto"/>
                      <w:kern w:val="2"/>
                      <w:sz w:val="21"/>
                      <w:szCs w:val="21"/>
                      <w:highlight w:val="none"/>
                      <w:lang w:val="en-US"/>
                    </w:rPr>
                  </w:pPr>
                  <w:r>
                    <w:rPr>
                      <w:rFonts w:hint="default" w:ascii="Times New Roman" w:hAnsi="Times New Roman" w:eastAsia="宋体" w:cs="Times New Roman"/>
                      <w:color w:val="auto"/>
                      <w:lang w:val="en-US" w:eastAsia="zh-CN"/>
                    </w:rPr>
                    <w:t>二乙二醇丁醚 30%</w:t>
                  </w:r>
                </w:p>
              </w:tc>
              <w:tc>
                <w:tcPr>
                  <w:tcW w:w="2882" w:type="pct"/>
                  <w:noWrap w:val="0"/>
                  <w:vAlign w:val="center"/>
                </w:tcPr>
                <w:p w14:paraId="686A56C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外观与性状：无色透明液体</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气味：有芳香+轻微醚味</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闪点：约 42℃（闭杯）</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自然温度：约 420℃</w:t>
                  </w:r>
                </w:p>
                <w:p w14:paraId="2EC8D35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left"/>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rPr>
                    <w:t>爆炸极限：约 1.1%-6.5%</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沸点：130-230℃</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rPr>
                    <w:t>溶解性：微溶于水，与多数有机溶剂、涂料混溶</w:t>
                  </w:r>
                  <w:r>
                    <w:rPr>
                      <w:rFonts w:hint="eastAsia"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密度：0.892</w:t>
                  </w:r>
                  <w:r>
                    <w:rPr>
                      <w:rFonts w:hint="default" w:ascii="Times New Roman" w:hAnsi="Times New Roman" w:cs="Times New Roman"/>
                      <w:bCs/>
                      <w:color w:val="auto"/>
                      <w:sz w:val="21"/>
                      <w:szCs w:val="21"/>
                      <w:highlight w:val="none"/>
                    </w:rPr>
                    <w:t>g/cm</w:t>
                  </w:r>
                  <w:r>
                    <w:rPr>
                      <w:rFonts w:hint="default" w:ascii="Times New Roman" w:hAnsi="Times New Roman" w:cs="Times New Roman"/>
                      <w:bCs/>
                      <w:color w:val="auto"/>
                      <w:sz w:val="21"/>
                      <w:szCs w:val="21"/>
                      <w:highlight w:val="none"/>
                      <w:vertAlign w:val="superscript"/>
                    </w:rPr>
                    <w:t>3</w:t>
                  </w:r>
                </w:p>
              </w:tc>
              <w:tc>
                <w:tcPr>
                  <w:tcW w:w="649" w:type="pct"/>
                  <w:noWrap w:val="0"/>
                  <w:vAlign w:val="center"/>
                </w:tcPr>
                <w:p w14:paraId="1691E58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是</w:t>
                  </w:r>
                </w:p>
              </w:tc>
            </w:tr>
            <w:tr w14:paraId="08890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250709C8">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lang w:val="en-US" w:eastAsia="zh-CN"/>
                    </w:rPr>
                  </w:pPr>
                  <w:r>
                    <w:rPr>
                      <w:rFonts w:hint="eastAsia" w:ascii="Times New Roman" w:hAnsi="Times New Roman" w:cs="Times New Roman"/>
                      <w:color w:val="auto"/>
                      <w:kern w:val="0"/>
                      <w:sz w:val="21"/>
                      <w:szCs w:val="21"/>
                      <w:highlight w:val="none"/>
                      <w:lang w:val="en-US" w:eastAsia="zh-CN"/>
                    </w:rPr>
                    <w:t>粉末涂料</w:t>
                  </w:r>
                </w:p>
              </w:tc>
              <w:tc>
                <w:tcPr>
                  <w:tcW w:w="953" w:type="pct"/>
                  <w:noWrap w:val="0"/>
                  <w:vAlign w:val="center"/>
                </w:tcPr>
                <w:p w14:paraId="2036E203">
                  <w:pPr>
                    <w:rPr>
                      <w:rFonts w:hint="default" w:ascii="Times New Roman" w:hAnsi="Times New Roman" w:eastAsia="宋体" w:cs="Times New Roman"/>
                      <w:color w:val="auto"/>
                      <w:lang w:val="en-US" w:eastAsia="zh-CN"/>
                    </w:rPr>
                  </w:pPr>
                  <w:r>
                    <w:rPr>
                      <w:rFonts w:hint="default" w:ascii="Times New Roman" w:hAnsi="Times New Roman" w:cs="Times New Roman"/>
                      <w:color w:val="auto"/>
                    </w:rPr>
                    <w:t>聚酯树脂50-60%</w:t>
                  </w:r>
                  <w:r>
                    <w:rPr>
                      <w:rFonts w:hint="default" w:ascii="Times New Roman" w:hAnsi="Times New Roman" w:cs="Times New Roman"/>
                      <w:color w:val="auto"/>
                      <w:lang w:eastAsia="zh-CN"/>
                    </w:rPr>
                    <w:t>、</w:t>
                  </w:r>
                  <w:r>
                    <w:rPr>
                      <w:rFonts w:hint="default" w:ascii="Times New Roman" w:hAnsi="Times New Roman" w:cs="Times New Roman"/>
                      <w:color w:val="auto"/>
                    </w:rPr>
                    <w:t>硫酸钡30%</w:t>
                  </w:r>
                  <w:r>
                    <w:rPr>
                      <w:rFonts w:hint="default" w:ascii="Times New Roman" w:hAnsi="Times New Roman" w:cs="Times New Roman"/>
                      <w:color w:val="auto"/>
                      <w:lang w:eastAsia="zh-CN"/>
                    </w:rPr>
                    <w:t>、</w:t>
                  </w:r>
                  <w:r>
                    <w:rPr>
                      <w:rFonts w:hint="default" w:ascii="Times New Roman" w:hAnsi="Times New Roman" w:cs="Times New Roman"/>
                      <w:color w:val="auto"/>
                    </w:rPr>
                    <w:t>安息香（脱气剂）1%</w:t>
                  </w:r>
                  <w:r>
                    <w:rPr>
                      <w:rFonts w:hint="default" w:ascii="Times New Roman" w:hAnsi="Times New Roman" w:cs="Times New Roman"/>
                      <w:color w:val="auto"/>
                      <w:lang w:eastAsia="zh-CN"/>
                    </w:rPr>
                    <w:t>、</w:t>
                  </w:r>
                  <w:r>
                    <w:rPr>
                      <w:rFonts w:hint="default" w:ascii="Times New Roman" w:hAnsi="Times New Roman" w:cs="Times New Roman"/>
                      <w:color w:val="auto"/>
                    </w:rPr>
                    <w:t>颜料5%</w:t>
                  </w:r>
                </w:p>
              </w:tc>
              <w:tc>
                <w:tcPr>
                  <w:tcW w:w="2882" w:type="pct"/>
                  <w:noWrap w:val="0"/>
                  <w:vAlign w:val="center"/>
                </w:tcPr>
                <w:p w14:paraId="46935B5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both"/>
                    <w:rPr>
                      <w:rFonts w:hint="default" w:ascii="Times New Roman" w:hAnsi="Times New Roman"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val="en-US" w:eastAsia="zh-CN"/>
                    </w:rPr>
                    <w:t>外观和性状：干性粉末状</w:t>
                  </w:r>
                  <w:r>
                    <w:rPr>
                      <w:rFonts w:hint="eastAsia" w:ascii="Times New Roman" w:hAnsi="Times New Roman" w:cs="Times New Roman"/>
                      <w:color w:val="auto"/>
                      <w:kern w:val="2"/>
                      <w:sz w:val="21"/>
                      <w:szCs w:val="21"/>
                      <w:highlight w:val="none"/>
                      <w:lang w:val="en-US" w:eastAsia="zh-CN"/>
                    </w:rPr>
                    <w:t>，</w:t>
                  </w:r>
                  <w:r>
                    <w:rPr>
                      <w:rFonts w:hint="default" w:ascii="Times New Roman" w:hAnsi="Times New Roman" w:cs="Times New Roman"/>
                      <w:color w:val="auto"/>
                      <w:kern w:val="2"/>
                      <w:sz w:val="21"/>
                      <w:szCs w:val="21"/>
                      <w:highlight w:val="none"/>
                      <w:lang w:val="en-US" w:eastAsia="zh-CN"/>
                    </w:rPr>
                    <w:t>气味：无气味</w:t>
                  </w:r>
                  <w:r>
                    <w:rPr>
                      <w:rFonts w:hint="eastAsia" w:ascii="Times New Roman" w:hAnsi="Times New Roman" w:cs="Times New Roman"/>
                      <w:color w:val="auto"/>
                      <w:kern w:val="2"/>
                      <w:sz w:val="21"/>
                      <w:szCs w:val="21"/>
                      <w:highlight w:val="none"/>
                      <w:lang w:val="en-US" w:eastAsia="zh-CN"/>
                    </w:rPr>
                    <w:t>，</w:t>
                  </w:r>
                  <w:r>
                    <w:rPr>
                      <w:rFonts w:hint="default" w:ascii="Times New Roman" w:hAnsi="Times New Roman" w:cs="Times New Roman"/>
                      <w:color w:val="auto"/>
                      <w:kern w:val="2"/>
                      <w:sz w:val="21"/>
                      <w:szCs w:val="21"/>
                      <w:highlight w:val="none"/>
                      <w:lang w:val="en-US" w:eastAsia="zh-CN"/>
                    </w:rPr>
                    <w:t>分子式：未知 固化条件：170℃/20min()3 / 4</w:t>
                  </w:r>
                  <w:r>
                    <w:rPr>
                      <w:rFonts w:hint="eastAsia" w:ascii="Times New Roman" w:hAnsi="Times New Roman" w:cs="Times New Roman"/>
                      <w:color w:val="auto"/>
                      <w:kern w:val="2"/>
                      <w:sz w:val="21"/>
                      <w:szCs w:val="21"/>
                      <w:highlight w:val="none"/>
                      <w:lang w:val="en-US" w:eastAsia="zh-CN"/>
                    </w:rPr>
                    <w:t>，</w:t>
                  </w:r>
                  <w:r>
                    <w:rPr>
                      <w:rFonts w:hint="default" w:ascii="Times New Roman" w:hAnsi="Times New Roman" w:cs="Times New Roman"/>
                      <w:color w:val="auto"/>
                      <w:kern w:val="2"/>
                      <w:sz w:val="21"/>
                      <w:szCs w:val="21"/>
                      <w:highlight w:val="none"/>
                      <w:lang w:val="en-US" w:eastAsia="zh-CN"/>
                    </w:rPr>
                    <w:t>pH 值：弱碱性 相对密度: 1.3~1.4</w:t>
                  </w:r>
                  <w:r>
                    <w:rPr>
                      <w:rFonts w:hint="eastAsia" w:ascii="Times New Roman" w:hAnsi="Times New Roman" w:cs="Times New Roman"/>
                      <w:color w:val="auto"/>
                      <w:kern w:val="2"/>
                      <w:sz w:val="21"/>
                      <w:szCs w:val="21"/>
                      <w:highlight w:val="none"/>
                      <w:lang w:val="en-US" w:eastAsia="zh-CN"/>
                    </w:rPr>
                    <w:t>，</w:t>
                  </w:r>
                  <w:r>
                    <w:rPr>
                      <w:rFonts w:hint="default" w:ascii="Times New Roman" w:hAnsi="Times New Roman" w:cs="Times New Roman"/>
                      <w:color w:val="auto"/>
                      <w:kern w:val="2"/>
                      <w:sz w:val="21"/>
                      <w:szCs w:val="21"/>
                      <w:highlight w:val="none"/>
                      <w:lang w:val="en-US" w:eastAsia="zh-CN"/>
                    </w:rPr>
                    <w:t>熔点(℃)：120℃ 爆炸上限：无资料</w:t>
                  </w:r>
                  <w:r>
                    <w:rPr>
                      <w:rFonts w:hint="eastAsia" w:ascii="Times New Roman" w:hAnsi="Times New Roman" w:cs="Times New Roman"/>
                      <w:color w:val="auto"/>
                      <w:kern w:val="2"/>
                      <w:sz w:val="21"/>
                      <w:szCs w:val="21"/>
                      <w:highlight w:val="none"/>
                      <w:lang w:val="en-US" w:eastAsia="zh-CN"/>
                    </w:rPr>
                    <w:t>，</w:t>
                  </w:r>
                  <w:r>
                    <w:rPr>
                      <w:rFonts w:hint="default" w:ascii="Times New Roman" w:hAnsi="Times New Roman" w:cs="Times New Roman"/>
                      <w:color w:val="auto"/>
                      <w:kern w:val="2"/>
                      <w:sz w:val="21"/>
                      <w:szCs w:val="21"/>
                      <w:highlight w:val="none"/>
                      <w:lang w:val="en-US" w:eastAsia="zh-CN"/>
                    </w:rPr>
                    <w:t>爆炸下限：无资料 水溶解度：0</w:t>
                  </w:r>
                  <w:r>
                    <w:rPr>
                      <w:rFonts w:hint="eastAsia" w:ascii="Times New Roman" w:hAnsi="Times New Roman" w:cs="Times New Roman"/>
                      <w:color w:val="auto"/>
                      <w:kern w:val="2"/>
                      <w:sz w:val="21"/>
                      <w:szCs w:val="21"/>
                      <w:highlight w:val="none"/>
                      <w:lang w:val="en-US" w:eastAsia="zh-CN"/>
                    </w:rPr>
                    <w:t>，</w:t>
                  </w:r>
                  <w:r>
                    <w:rPr>
                      <w:rFonts w:hint="default" w:ascii="Times New Roman" w:hAnsi="Times New Roman" w:cs="Times New Roman"/>
                      <w:color w:val="auto"/>
                      <w:kern w:val="2"/>
                      <w:sz w:val="21"/>
                      <w:szCs w:val="21"/>
                      <w:highlight w:val="none"/>
                      <w:lang w:val="en-US" w:eastAsia="zh-CN"/>
                    </w:rPr>
                    <w:t>溶解性：微熔于醇、酮、甲苯等非极性有机溶剂</w:t>
                  </w:r>
                </w:p>
              </w:tc>
              <w:tc>
                <w:tcPr>
                  <w:tcW w:w="649" w:type="pct"/>
                  <w:noWrap w:val="0"/>
                  <w:vAlign w:val="center"/>
                </w:tcPr>
                <w:p w14:paraId="79108B3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否</w:t>
                  </w:r>
                </w:p>
              </w:tc>
            </w:tr>
            <w:tr w14:paraId="00C2D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862" w:type="dxa"/>
                  <w:noWrap w:val="0"/>
                  <w:vAlign w:val="center"/>
                </w:tcPr>
                <w:p w14:paraId="5DA91ADB">
                  <w:pPr>
                    <w:spacing w:line="240" w:lineRule="auto"/>
                    <w:jc w:val="both"/>
                    <w:rPr>
                      <w:rFonts w:hint="eastAsia" w:ascii="Times New Roman" w:hAnsi="Times New Roman" w:cs="Times New Roman"/>
                      <w:color w:val="auto"/>
                      <w:kern w:val="0"/>
                      <w:sz w:val="21"/>
                      <w:szCs w:val="21"/>
                      <w:highlight w:val="none"/>
                      <w:lang w:val="en-US" w:eastAsia="zh-CN"/>
                    </w:rPr>
                  </w:pPr>
                  <w:r>
                    <w:rPr>
                      <w:rFonts w:hint="eastAsia"/>
                      <w:color w:val="auto"/>
                      <w:sz w:val="21"/>
                      <w:szCs w:val="21"/>
                      <w:lang w:val="en-US" w:eastAsia="zh-CN"/>
                    </w:rPr>
                    <w:t>清洗剂</w:t>
                  </w:r>
                </w:p>
              </w:tc>
              <w:tc>
                <w:tcPr>
                  <w:tcW w:w="1598" w:type="dxa"/>
                  <w:noWrap w:val="0"/>
                  <w:vAlign w:val="center"/>
                </w:tcPr>
                <w:p w14:paraId="5E81FDDB">
                  <w:pPr>
                    <w:pStyle w:val="109"/>
                    <w:tabs>
                      <w:tab w:val="left" w:pos="-2848"/>
                    </w:tabs>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乙酸乙酯</w:t>
                  </w:r>
                  <w:r>
                    <w:rPr>
                      <w:rFonts w:hint="default" w:ascii="Times New Roman" w:hAnsi="Times New Roman" w:cs="Times New Roman"/>
                      <w:color w:val="auto"/>
                      <w:lang w:val="en-US" w:eastAsia="zh-CN"/>
                    </w:rPr>
                    <w:t>50%</w:t>
                  </w:r>
                </w:p>
                <w:p w14:paraId="6F05BE1E">
                  <w:pPr>
                    <w:pStyle w:val="109"/>
                    <w:tabs>
                      <w:tab w:val="left" w:pos="-2848"/>
                    </w:tabs>
                    <w:rPr>
                      <w:rFonts w:hint="default" w:ascii="Times New Roman" w:hAnsi="Times New Roman" w:cs="Times New Roman"/>
                      <w:color w:val="auto"/>
                    </w:rPr>
                  </w:pPr>
                  <w:r>
                    <w:rPr>
                      <w:rFonts w:hint="default" w:ascii="Times New Roman" w:hAnsi="Times New Roman" w:eastAsia="宋体" w:cs="Times New Roman"/>
                      <w:color w:val="auto"/>
                      <w:lang w:val="en-US" w:eastAsia="zh-CN"/>
                    </w:rPr>
                    <w:t>乙酸正丁酯</w:t>
                  </w:r>
                  <w:r>
                    <w:rPr>
                      <w:rFonts w:hint="default" w:ascii="Times New Roman" w:hAnsi="Times New Roman" w:cs="Times New Roman"/>
                      <w:color w:val="auto"/>
                      <w:lang w:val="en-US" w:eastAsia="zh-CN"/>
                    </w:rPr>
                    <w:t>50%</w:t>
                  </w:r>
                </w:p>
              </w:tc>
              <w:tc>
                <w:tcPr>
                  <w:tcW w:w="4831" w:type="dxa"/>
                  <w:noWrap w:val="0"/>
                  <w:vAlign w:val="center"/>
                </w:tcPr>
                <w:p w14:paraId="7FFED45D">
                  <w:pPr>
                    <w:pStyle w:val="109"/>
                    <w:pageBreakBefore w:val="0"/>
                    <w:tabs>
                      <w:tab w:val="left" w:pos="-2848"/>
                    </w:tabs>
                    <w:wordWrap w:val="0"/>
                    <w:overflowPunct/>
                    <w:bidi w:val="0"/>
                    <w:spacing w:line="240" w:lineRule="auto"/>
                    <w:rPr>
                      <w:rFonts w:hint="default" w:ascii="Times New Roman" w:hAnsi="Times New Roman" w:cs="Times New Roman"/>
                      <w:color w:val="auto"/>
                      <w:kern w:val="2"/>
                      <w:sz w:val="21"/>
                      <w:szCs w:val="21"/>
                      <w:highlight w:val="none"/>
                      <w:lang w:val="en-US" w:eastAsia="zh-CN"/>
                    </w:rPr>
                  </w:pPr>
                  <w:r>
                    <w:rPr>
                      <w:rFonts w:hint="default" w:ascii="Times New Roman" w:hAnsi="Times New Roman" w:cs="Times New Roman"/>
                      <w:color w:val="auto"/>
                      <w:sz w:val="21"/>
                      <w:szCs w:val="21"/>
                      <w:highlight w:val="none"/>
                    </w:rPr>
                    <w:t>外观为无色透明液体，相对密度:0.8</w:t>
                  </w:r>
                  <w:r>
                    <w:rPr>
                      <w:rFonts w:hint="default" w:ascii="Times New Roman" w:hAnsi="Times New Roman" w:cs="Times New Roman"/>
                      <w:color w:val="auto"/>
                      <w:sz w:val="21"/>
                      <w:szCs w:val="21"/>
                      <w:highlight w:val="none"/>
                      <w:lang w:val="en-US" w:eastAsia="zh-CN"/>
                    </w:rPr>
                    <w:t>28</w:t>
                  </w:r>
                  <w:r>
                    <w:rPr>
                      <w:rFonts w:hint="default" w:ascii="Times New Roman" w:hAnsi="Times New Roman" w:cs="Times New Roman"/>
                      <w:color w:val="auto"/>
                      <w:sz w:val="21"/>
                      <w:szCs w:val="21"/>
                      <w:highlight w:val="none"/>
                    </w:rPr>
                    <w:t>，危险特征:易燃，遇明火、高热能引起燃烧爆炸。</w:t>
                  </w:r>
                </w:p>
              </w:tc>
              <w:tc>
                <w:tcPr>
                  <w:tcW w:w="649" w:type="pct"/>
                  <w:noWrap w:val="0"/>
                  <w:vAlign w:val="center"/>
                </w:tcPr>
                <w:p w14:paraId="6C562FE2">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是</w:t>
                  </w:r>
                </w:p>
              </w:tc>
            </w:tr>
            <w:tr w14:paraId="3B593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trPr>
              <w:tc>
                <w:tcPr>
                  <w:tcW w:w="514" w:type="pct"/>
                  <w:noWrap w:val="0"/>
                  <w:vAlign w:val="center"/>
                </w:tcPr>
                <w:p w14:paraId="12877CC0">
                  <w:pPr>
                    <w:keepNext w:val="0"/>
                    <w:keepLines w:val="0"/>
                    <w:pageBreakBefore w:val="0"/>
                    <w:widowControl/>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焊丝</w:t>
                  </w:r>
                </w:p>
              </w:tc>
              <w:tc>
                <w:tcPr>
                  <w:tcW w:w="3836" w:type="pct"/>
                  <w:gridSpan w:val="2"/>
                  <w:noWrap w:val="0"/>
                  <w:vAlign w:val="center"/>
                </w:tcPr>
                <w:p w14:paraId="75610941">
                  <w:pPr>
                    <w:rPr>
                      <w:rFonts w:hint="default" w:ascii="Times New Roman" w:hAnsi="Times New Roman" w:cs="Times New Roman"/>
                      <w:color w:val="auto"/>
                      <w:kern w:val="2"/>
                      <w:sz w:val="21"/>
                      <w:szCs w:val="21"/>
                      <w:highlight w:val="none"/>
                      <w:lang w:val="en-US" w:eastAsia="zh-CN"/>
                    </w:rPr>
                  </w:pPr>
                  <w:r>
                    <w:rPr>
                      <w:rFonts w:hint="default" w:ascii="Times New Roman" w:hAnsi="Times New Roman" w:cs="Times New Roman"/>
                      <w:color w:val="auto"/>
                    </w:rPr>
                    <w:t>ER4043 铝硅焊丝：核心合金成分为 Si（4.5%~6.0%），Mg 含量极低；ER5356 铝镁焊丝：核心合金成分为 Mg（4.5%~5.5%）、Mn（0.05%~0.20%）</w:t>
                  </w:r>
                  <w:r>
                    <w:rPr>
                      <w:rFonts w:hint="eastAsia" w:cs="Times New Roman"/>
                      <w:color w:val="auto"/>
                      <w:lang w:val="en-US" w:eastAsia="zh-CN"/>
                    </w:rPr>
                    <w:t>;</w:t>
                  </w:r>
                  <w:r>
                    <w:rPr>
                      <w:rFonts w:hint="default" w:ascii="Times New Roman" w:hAnsi="Times New Roman" w:cs="Times New Roman"/>
                      <w:color w:val="auto"/>
                    </w:rPr>
                    <w:t>银白色金属丝</w:t>
                  </w:r>
                  <w:r>
                    <w:rPr>
                      <w:rFonts w:hint="eastAsia" w:cs="Times New Roman"/>
                      <w:color w:val="auto"/>
                      <w:lang w:val="en-US" w:eastAsia="zh-CN"/>
                    </w:rPr>
                    <w:t>，</w:t>
                  </w:r>
                  <w:r>
                    <w:rPr>
                      <w:rFonts w:hint="default" w:ascii="Times New Roman" w:hAnsi="Times New Roman" w:cs="Times New Roman"/>
                      <w:color w:val="auto"/>
                    </w:rPr>
                    <w:t>熔点（约560-620℃）、危险性</w:t>
                  </w:r>
                  <w:r>
                    <w:rPr>
                      <w:rFonts w:hint="eastAsia" w:cs="Times New Roman"/>
                      <w:color w:val="auto"/>
                      <w:lang w:eastAsia="zh-CN"/>
                    </w:rPr>
                    <w:t>：</w:t>
                  </w:r>
                  <w:r>
                    <w:rPr>
                      <w:rFonts w:hint="default" w:ascii="Times New Roman" w:hAnsi="Times New Roman" w:cs="Times New Roman"/>
                      <w:color w:val="auto"/>
                    </w:rPr>
                    <w:t>不易燃，熔融状态下有烫伤风险等</w:t>
                  </w:r>
                </w:p>
              </w:tc>
              <w:tc>
                <w:tcPr>
                  <w:tcW w:w="649" w:type="pct"/>
                  <w:noWrap w:val="0"/>
                  <w:vAlign w:val="center"/>
                </w:tcPr>
                <w:p w14:paraId="04D8F42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rPr>
                      <w:rFonts w:hint="default"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否</w:t>
                  </w:r>
                </w:p>
              </w:tc>
            </w:tr>
          </w:tbl>
          <w:p w14:paraId="7944A3D4">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62D7FF59">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auto"/>
                <w:spacing w:val="-1"/>
                <w:sz w:val="24"/>
                <w:szCs w:val="24"/>
                <w:highlight w:val="none"/>
              </w:rPr>
            </w:pPr>
            <w:r>
              <w:rPr>
                <w:rFonts w:hint="default" w:ascii="Times New Roman" w:hAnsi="Times New Roman" w:eastAsia="宋体" w:cs="Times New Roman"/>
                <w:b/>
                <w:bCs/>
                <w:color w:val="auto"/>
                <w:spacing w:val="-1"/>
                <w:sz w:val="24"/>
                <w:szCs w:val="24"/>
                <w:highlight w:val="none"/>
              </w:rPr>
              <w:t>4、生产设备</w:t>
            </w:r>
          </w:p>
          <w:p w14:paraId="0774030F">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本项目生产设备见下表。</w:t>
            </w:r>
          </w:p>
          <w:p w14:paraId="3CD38D38">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生产设备一览表</w:t>
            </w:r>
          </w:p>
          <w:tbl>
            <w:tblPr>
              <w:tblStyle w:val="48"/>
              <w:tblW w:w="505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3"/>
              <w:gridCol w:w="1362"/>
              <w:gridCol w:w="1986"/>
              <w:gridCol w:w="753"/>
              <w:gridCol w:w="1862"/>
              <w:gridCol w:w="1880"/>
            </w:tblGrid>
            <w:tr w14:paraId="399A0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tcBorders>
                    <w:tl2br w:val="nil"/>
                    <w:tr2bl w:val="nil"/>
                  </w:tcBorders>
                  <w:noWrap/>
                  <w:vAlign w:val="center"/>
                </w:tcPr>
                <w:p w14:paraId="29C5E7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序号</w:t>
                  </w:r>
                </w:p>
              </w:tc>
              <w:tc>
                <w:tcPr>
                  <w:tcW w:w="803" w:type="pct"/>
                  <w:tcBorders>
                    <w:tl2br w:val="nil"/>
                    <w:tr2bl w:val="nil"/>
                  </w:tcBorders>
                  <w:noWrap/>
                  <w:vAlign w:val="center"/>
                </w:tcPr>
                <w:p w14:paraId="11F53B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名称</w:t>
                  </w:r>
                </w:p>
              </w:tc>
              <w:tc>
                <w:tcPr>
                  <w:tcW w:w="1171" w:type="pct"/>
                  <w:tcBorders>
                    <w:tl2br w:val="nil"/>
                    <w:tr2bl w:val="nil"/>
                  </w:tcBorders>
                  <w:noWrap/>
                  <w:vAlign w:val="center"/>
                </w:tcPr>
                <w:p w14:paraId="304D02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设备名称</w:t>
                  </w:r>
                </w:p>
              </w:tc>
              <w:tc>
                <w:tcPr>
                  <w:tcW w:w="444" w:type="pct"/>
                  <w:tcBorders>
                    <w:tl2br w:val="nil"/>
                    <w:tr2bl w:val="nil"/>
                  </w:tcBorders>
                  <w:noWrap/>
                  <w:vAlign w:val="center"/>
                </w:tcPr>
                <w:p w14:paraId="4374B7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数量</w:t>
                  </w:r>
                </w:p>
              </w:tc>
              <w:tc>
                <w:tcPr>
                  <w:tcW w:w="1098" w:type="pct"/>
                  <w:tcBorders>
                    <w:tl2br w:val="nil"/>
                    <w:tr2bl w:val="nil"/>
                  </w:tcBorders>
                  <w:noWrap/>
                  <w:vAlign w:val="center"/>
                </w:tcPr>
                <w:p w14:paraId="767817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规格型号</w:t>
                  </w:r>
                </w:p>
              </w:tc>
              <w:tc>
                <w:tcPr>
                  <w:tcW w:w="1109" w:type="pct"/>
                  <w:tcBorders>
                    <w:tl2br w:val="nil"/>
                    <w:tr2bl w:val="nil"/>
                  </w:tcBorders>
                  <w:noWrap/>
                  <w:vAlign w:val="center"/>
                </w:tcPr>
                <w:p w14:paraId="628DAC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0"/>
                      <w:sz w:val="21"/>
                      <w:szCs w:val="21"/>
                      <w:highlight w:val="none"/>
                      <w:lang w:bidi="ar"/>
                    </w:rPr>
                    <w:t>用途</w:t>
                  </w:r>
                </w:p>
              </w:tc>
            </w:tr>
            <w:tr w14:paraId="54D04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restart"/>
                  <w:tcBorders>
                    <w:tl2br w:val="nil"/>
                    <w:tr2bl w:val="nil"/>
                  </w:tcBorders>
                  <w:noWrap/>
                  <w:vAlign w:val="center"/>
                </w:tcPr>
                <w:p w14:paraId="73CF2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bidi="ar"/>
                    </w:rPr>
                    <w:t>1</w:t>
                  </w:r>
                </w:p>
              </w:tc>
              <w:tc>
                <w:tcPr>
                  <w:tcW w:w="803" w:type="pct"/>
                  <w:vMerge w:val="restart"/>
                  <w:tcBorders>
                    <w:tl2br w:val="nil"/>
                    <w:tr2bl w:val="nil"/>
                  </w:tcBorders>
                  <w:noWrap/>
                  <w:vAlign w:val="center"/>
                </w:tcPr>
                <w:p w14:paraId="32729A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工件表面预处理</w:t>
                  </w:r>
                  <w:r>
                    <w:rPr>
                      <w:rFonts w:hint="default" w:ascii="Times New Roman" w:hAnsi="Times New Roman" w:eastAsia="宋体" w:cs="Times New Roman"/>
                      <w:color w:val="auto"/>
                      <w:sz w:val="21"/>
                      <w:szCs w:val="21"/>
                      <w:highlight w:val="none"/>
                    </w:rPr>
                    <w:t>生产线</w:t>
                  </w:r>
                </w:p>
              </w:tc>
              <w:tc>
                <w:tcPr>
                  <w:tcW w:w="1171" w:type="pct"/>
                  <w:tcBorders>
                    <w:tl2br w:val="nil"/>
                    <w:tr2bl w:val="nil"/>
                  </w:tcBorders>
                  <w:noWrap/>
                  <w:vAlign w:val="center"/>
                </w:tcPr>
                <w:p w14:paraId="475205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张力机</w:t>
                  </w:r>
                </w:p>
              </w:tc>
              <w:tc>
                <w:tcPr>
                  <w:tcW w:w="444" w:type="pct"/>
                  <w:tcBorders>
                    <w:tl2br w:val="nil"/>
                    <w:tr2bl w:val="nil"/>
                  </w:tcBorders>
                  <w:noWrap/>
                  <w:vAlign w:val="center"/>
                </w:tcPr>
                <w:p w14:paraId="07915A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台</w:t>
                  </w:r>
                </w:p>
              </w:tc>
              <w:tc>
                <w:tcPr>
                  <w:tcW w:w="1098" w:type="pct"/>
                  <w:tcBorders>
                    <w:tl2br w:val="nil"/>
                    <w:tr2bl w:val="nil"/>
                  </w:tcBorders>
                  <w:noWrap/>
                  <w:vAlign w:val="center"/>
                </w:tcPr>
                <w:p w14:paraId="1FD634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m/min</w:t>
                  </w:r>
                </w:p>
              </w:tc>
              <w:tc>
                <w:tcPr>
                  <w:tcW w:w="1109" w:type="pct"/>
                  <w:vMerge w:val="restart"/>
                  <w:tcBorders>
                    <w:tl2br w:val="nil"/>
                    <w:tr2bl w:val="nil"/>
                  </w:tcBorders>
                  <w:noWrap/>
                  <w:vAlign w:val="center"/>
                </w:tcPr>
                <w:p w14:paraId="0694FD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行进动力</w:t>
                  </w:r>
                </w:p>
              </w:tc>
            </w:tr>
            <w:tr w14:paraId="71955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7E999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55BA96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ign w:val="center"/>
                </w:tcPr>
                <w:p w14:paraId="3B7922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牵引机</w:t>
                  </w:r>
                </w:p>
              </w:tc>
              <w:tc>
                <w:tcPr>
                  <w:tcW w:w="444" w:type="pct"/>
                  <w:tcBorders>
                    <w:tl2br w:val="nil"/>
                    <w:tr2bl w:val="nil"/>
                  </w:tcBorders>
                  <w:noWrap/>
                  <w:vAlign w:val="center"/>
                </w:tcPr>
                <w:p w14:paraId="78598B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台</w:t>
                  </w:r>
                </w:p>
              </w:tc>
              <w:tc>
                <w:tcPr>
                  <w:tcW w:w="1098" w:type="pct"/>
                  <w:tcBorders>
                    <w:tl2br w:val="nil"/>
                    <w:tr2bl w:val="nil"/>
                  </w:tcBorders>
                  <w:noWrap/>
                  <w:vAlign w:val="center"/>
                </w:tcPr>
                <w:p w14:paraId="7387FB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m/min</w:t>
                  </w:r>
                </w:p>
              </w:tc>
              <w:tc>
                <w:tcPr>
                  <w:tcW w:w="1109" w:type="pct"/>
                  <w:vMerge w:val="continue"/>
                  <w:tcBorders>
                    <w:tl2br w:val="nil"/>
                    <w:tr2bl w:val="nil"/>
                  </w:tcBorders>
                  <w:noWrap/>
                  <w:vAlign w:val="center"/>
                </w:tcPr>
                <w:p w14:paraId="69B01D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r>
            <w:tr w14:paraId="1B7F4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204C1ED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6BE85F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0AFB88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预</w:t>
                  </w:r>
                  <w:r>
                    <w:rPr>
                      <w:rFonts w:hint="default" w:ascii="Times New Roman" w:hAnsi="Times New Roman" w:eastAsia="宋体" w:cs="Times New Roman"/>
                      <w:color w:val="auto"/>
                      <w:sz w:val="21"/>
                      <w:szCs w:val="21"/>
                      <w:highlight w:val="none"/>
                      <w:lang w:val="en-US" w:eastAsia="zh-CN"/>
                    </w:rPr>
                    <w:t>水洗</w:t>
                  </w:r>
                  <w:r>
                    <w:rPr>
                      <w:rFonts w:hint="default" w:ascii="Times New Roman" w:hAnsi="Times New Roman" w:eastAsia="宋体" w:cs="Times New Roman"/>
                      <w:color w:val="auto"/>
                      <w:sz w:val="21"/>
                      <w:szCs w:val="21"/>
                      <w:highlight w:val="none"/>
                    </w:rPr>
                    <w:t>池</w:t>
                  </w:r>
                </w:p>
              </w:tc>
              <w:tc>
                <w:tcPr>
                  <w:tcW w:w="444" w:type="pct"/>
                  <w:tcBorders>
                    <w:tl2br w:val="nil"/>
                    <w:tr2bl w:val="nil"/>
                  </w:tcBorders>
                  <w:noWrap w:val="0"/>
                  <w:vAlign w:val="center"/>
                </w:tcPr>
                <w:p w14:paraId="36DB71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2D647F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m×2m×1m</w:t>
                  </w:r>
                </w:p>
              </w:tc>
              <w:tc>
                <w:tcPr>
                  <w:tcW w:w="1109" w:type="pct"/>
                  <w:tcBorders>
                    <w:tl2br w:val="nil"/>
                    <w:tr2bl w:val="nil"/>
                  </w:tcBorders>
                  <w:noWrap/>
                  <w:vAlign w:val="center"/>
                </w:tcPr>
                <w:p w14:paraId="390592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预水洗</w:t>
                  </w:r>
                </w:p>
              </w:tc>
            </w:tr>
            <w:tr w14:paraId="3639F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E2D93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4C606D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4E9CCD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
                    </w:rPr>
                    <w:t>预脱脂</w:t>
                  </w:r>
                  <w:r>
                    <w:rPr>
                      <w:rFonts w:hint="default" w:ascii="Times New Roman" w:hAnsi="Times New Roman" w:eastAsia="宋体" w:cs="Times New Roman"/>
                      <w:color w:val="auto"/>
                      <w:sz w:val="21"/>
                      <w:szCs w:val="21"/>
                      <w:highlight w:val="none"/>
                      <w:lang w:bidi="ar"/>
                    </w:rPr>
                    <w:t>池</w:t>
                  </w:r>
                </w:p>
              </w:tc>
              <w:tc>
                <w:tcPr>
                  <w:tcW w:w="444" w:type="pct"/>
                  <w:tcBorders>
                    <w:tl2br w:val="nil"/>
                    <w:tr2bl w:val="nil"/>
                  </w:tcBorders>
                  <w:noWrap w:val="0"/>
                  <w:vAlign w:val="center"/>
                </w:tcPr>
                <w:p w14:paraId="2A45B2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3A8717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m×2m×1m</w:t>
                  </w:r>
                </w:p>
              </w:tc>
              <w:tc>
                <w:tcPr>
                  <w:tcW w:w="1109" w:type="pct"/>
                  <w:tcBorders>
                    <w:tl2br w:val="nil"/>
                    <w:tr2bl w:val="nil"/>
                  </w:tcBorders>
                  <w:noWrap/>
                  <w:vAlign w:val="center"/>
                </w:tcPr>
                <w:p w14:paraId="1B5EC2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bidi="ar"/>
                    </w:rPr>
                    <w:t>预脱脂</w:t>
                  </w:r>
                </w:p>
              </w:tc>
            </w:tr>
            <w:tr w14:paraId="70019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0902A5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03B873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0A56B5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
                    </w:rPr>
                    <w:t>脱脂</w:t>
                  </w:r>
                  <w:r>
                    <w:rPr>
                      <w:rFonts w:hint="default" w:ascii="Times New Roman" w:hAnsi="Times New Roman" w:eastAsia="宋体" w:cs="Times New Roman"/>
                      <w:color w:val="auto"/>
                      <w:sz w:val="21"/>
                      <w:szCs w:val="21"/>
                      <w:highlight w:val="none"/>
                      <w:lang w:bidi="ar"/>
                    </w:rPr>
                    <w:t>池</w:t>
                  </w:r>
                </w:p>
              </w:tc>
              <w:tc>
                <w:tcPr>
                  <w:tcW w:w="444" w:type="pct"/>
                  <w:tcBorders>
                    <w:tl2br w:val="nil"/>
                    <w:tr2bl w:val="nil"/>
                  </w:tcBorders>
                  <w:noWrap w:val="0"/>
                  <w:vAlign w:val="center"/>
                </w:tcPr>
                <w:p w14:paraId="095619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6F2DA3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m×2m×1m</w:t>
                  </w:r>
                </w:p>
              </w:tc>
              <w:tc>
                <w:tcPr>
                  <w:tcW w:w="1109" w:type="pct"/>
                  <w:tcBorders>
                    <w:tl2br w:val="nil"/>
                    <w:tr2bl w:val="nil"/>
                  </w:tcBorders>
                  <w:noWrap/>
                  <w:vAlign w:val="center"/>
                </w:tcPr>
                <w:p w14:paraId="4682DD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bidi="ar"/>
                    </w:rPr>
                    <w:t>脱脂</w:t>
                  </w:r>
                </w:p>
              </w:tc>
            </w:tr>
            <w:tr w14:paraId="1D06B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6EC3F9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402540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7B5FA1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bidi="ar"/>
                    </w:rPr>
                    <w:t>1</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444" w:type="pct"/>
                  <w:tcBorders>
                    <w:tl2br w:val="nil"/>
                    <w:tr2bl w:val="nil"/>
                  </w:tcBorders>
                  <w:noWrap w:val="0"/>
                  <w:vAlign w:val="center"/>
                </w:tcPr>
                <w:p w14:paraId="740874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4197458E">
                  <w:pPr>
                    <w:keepNext w:val="0"/>
                    <w:keepLines w:val="0"/>
                    <w:pageBreakBefore w:val="0"/>
                    <w:widowControl/>
                    <w:suppressLineNumbers w:val="0"/>
                    <w:tabs>
                      <w:tab w:val="left" w:pos="674"/>
                      <w:tab w:val="center" w:pos="1470"/>
                    </w:tabs>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.5m×2m×1m</w:t>
                  </w:r>
                </w:p>
              </w:tc>
              <w:tc>
                <w:tcPr>
                  <w:tcW w:w="1109" w:type="pct"/>
                  <w:vMerge w:val="restart"/>
                  <w:tcBorders>
                    <w:tl2br w:val="nil"/>
                    <w:tr2bl w:val="nil"/>
                  </w:tcBorders>
                  <w:noWrap/>
                  <w:vAlign w:val="center"/>
                </w:tcPr>
                <w:p w14:paraId="141AD5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水洗</w:t>
                  </w:r>
                </w:p>
              </w:tc>
            </w:tr>
            <w:tr w14:paraId="038139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273003F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6B4276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231454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2</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444" w:type="pct"/>
                  <w:tcBorders>
                    <w:tl2br w:val="nil"/>
                    <w:tr2bl w:val="nil"/>
                  </w:tcBorders>
                  <w:noWrap w:val="0"/>
                  <w:vAlign w:val="center"/>
                </w:tcPr>
                <w:p w14:paraId="71B9D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117A13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m×2m×1m</w:t>
                  </w:r>
                </w:p>
              </w:tc>
              <w:tc>
                <w:tcPr>
                  <w:tcW w:w="1109" w:type="pct"/>
                  <w:vMerge w:val="continue"/>
                  <w:tcBorders>
                    <w:tl2br w:val="nil"/>
                    <w:tr2bl w:val="nil"/>
                  </w:tcBorders>
                  <w:noWrap/>
                  <w:vAlign w:val="center"/>
                </w:tcPr>
                <w:p w14:paraId="376EC9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r>
            <w:tr w14:paraId="2ADEC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6A7900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12BDAF3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2A8E1E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清</w:t>
                  </w:r>
                  <w:r>
                    <w:rPr>
                      <w:rFonts w:hint="default" w:ascii="Times New Roman" w:hAnsi="Times New Roman" w:eastAsia="宋体" w:cs="Times New Roman"/>
                      <w:color w:val="auto"/>
                      <w:sz w:val="21"/>
                      <w:szCs w:val="21"/>
                      <w:highlight w:val="none"/>
                      <w:lang w:bidi="ar"/>
                    </w:rPr>
                    <w:t>水洗池</w:t>
                  </w:r>
                </w:p>
              </w:tc>
              <w:tc>
                <w:tcPr>
                  <w:tcW w:w="444" w:type="pct"/>
                  <w:tcBorders>
                    <w:tl2br w:val="nil"/>
                    <w:tr2bl w:val="nil"/>
                  </w:tcBorders>
                  <w:noWrap w:val="0"/>
                  <w:vAlign w:val="center"/>
                </w:tcPr>
                <w:p w14:paraId="5A8616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024EDA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m×2m×1m</w:t>
                  </w:r>
                </w:p>
              </w:tc>
              <w:tc>
                <w:tcPr>
                  <w:tcW w:w="1109" w:type="pct"/>
                  <w:tcBorders>
                    <w:tl2br w:val="nil"/>
                    <w:tr2bl w:val="nil"/>
                  </w:tcBorders>
                  <w:noWrap/>
                  <w:vAlign w:val="center"/>
                </w:tcPr>
                <w:p w14:paraId="28BEDE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bidi="ar"/>
                    </w:rPr>
                    <w:t>清</w:t>
                  </w:r>
                  <w:r>
                    <w:rPr>
                      <w:rFonts w:hint="default" w:ascii="Times New Roman" w:hAnsi="Times New Roman" w:eastAsia="宋体" w:cs="Times New Roman"/>
                      <w:color w:val="auto"/>
                      <w:sz w:val="21"/>
                      <w:szCs w:val="21"/>
                      <w:highlight w:val="none"/>
                      <w:lang w:bidi="ar"/>
                    </w:rPr>
                    <w:t>水洗</w:t>
                  </w:r>
                </w:p>
              </w:tc>
            </w:tr>
            <w:tr w14:paraId="1246F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26F6B8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0276F5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6E9563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无铬钝化池</w:t>
                  </w:r>
                </w:p>
              </w:tc>
              <w:tc>
                <w:tcPr>
                  <w:tcW w:w="444" w:type="pct"/>
                  <w:tcBorders>
                    <w:tl2br w:val="nil"/>
                    <w:tr2bl w:val="nil"/>
                  </w:tcBorders>
                  <w:noWrap w:val="0"/>
                  <w:vAlign w:val="center"/>
                </w:tcPr>
                <w:p w14:paraId="570FD7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5151D8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.5m×2m×1m</w:t>
                  </w:r>
                </w:p>
              </w:tc>
              <w:tc>
                <w:tcPr>
                  <w:tcW w:w="1109" w:type="pct"/>
                  <w:tcBorders>
                    <w:tl2br w:val="nil"/>
                    <w:tr2bl w:val="nil"/>
                  </w:tcBorders>
                  <w:noWrap/>
                  <w:vAlign w:val="center"/>
                </w:tcPr>
                <w:p w14:paraId="62AD65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bidi="ar"/>
                    </w:rPr>
                    <w:t>无铬钝化</w:t>
                  </w:r>
                </w:p>
              </w:tc>
            </w:tr>
            <w:tr w14:paraId="72572A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7485BFE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3E6E66B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7DF7F8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3</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444" w:type="pct"/>
                  <w:tcBorders>
                    <w:tl2br w:val="nil"/>
                    <w:tr2bl w:val="nil"/>
                  </w:tcBorders>
                  <w:noWrap w:val="0"/>
                  <w:vAlign w:val="center"/>
                </w:tcPr>
                <w:p w14:paraId="54D10B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座</w:t>
                  </w:r>
                </w:p>
              </w:tc>
              <w:tc>
                <w:tcPr>
                  <w:tcW w:w="1098" w:type="pct"/>
                  <w:tcBorders>
                    <w:tl2br w:val="nil"/>
                    <w:tr2bl w:val="nil"/>
                  </w:tcBorders>
                  <w:noWrap/>
                  <w:vAlign w:val="center"/>
                </w:tcPr>
                <w:p w14:paraId="517CD3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m×2m×1m</w:t>
                  </w:r>
                </w:p>
              </w:tc>
              <w:tc>
                <w:tcPr>
                  <w:tcW w:w="1109" w:type="pct"/>
                  <w:tcBorders>
                    <w:tl2br w:val="nil"/>
                    <w:tr2bl w:val="nil"/>
                  </w:tcBorders>
                  <w:noWrap/>
                  <w:vAlign w:val="center"/>
                </w:tcPr>
                <w:p w14:paraId="230738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水洗</w:t>
                  </w:r>
                </w:p>
              </w:tc>
            </w:tr>
            <w:tr w14:paraId="5EF3F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07E9C7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29BE74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5A1936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烘水通道</w:t>
                  </w:r>
                </w:p>
              </w:tc>
              <w:tc>
                <w:tcPr>
                  <w:tcW w:w="444" w:type="pct"/>
                  <w:tcBorders>
                    <w:tl2br w:val="nil"/>
                    <w:tr2bl w:val="nil"/>
                  </w:tcBorders>
                  <w:noWrap w:val="0"/>
                  <w:vAlign w:val="center"/>
                </w:tcPr>
                <w:p w14:paraId="439166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条</w:t>
                  </w:r>
                </w:p>
              </w:tc>
              <w:tc>
                <w:tcPr>
                  <w:tcW w:w="1098" w:type="pct"/>
                  <w:tcBorders>
                    <w:tl2br w:val="nil"/>
                    <w:tr2bl w:val="nil"/>
                  </w:tcBorders>
                  <w:noWrap/>
                  <w:vAlign w:val="center"/>
                </w:tcPr>
                <w:p w14:paraId="1D6237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rPr>
                    <w:t>m×</w:t>
                  </w:r>
                  <w:r>
                    <w:rPr>
                      <w:rFonts w:hint="default" w:ascii="Times New Roman" w:hAnsi="Times New Roman" w:eastAsia="宋体" w:cs="Times New Roman"/>
                      <w:color w:val="auto"/>
                      <w:sz w:val="21"/>
                      <w:szCs w:val="21"/>
                      <w:highlight w:val="none"/>
                      <w:lang w:val="en-US" w:eastAsia="zh-CN"/>
                    </w:rPr>
                    <w:t>2570</w:t>
                  </w:r>
                  <w:r>
                    <w:rPr>
                      <w:rFonts w:hint="default" w:ascii="Times New Roman" w:hAnsi="Times New Roman" w:eastAsia="宋体" w:cs="Times New Roman"/>
                      <w:color w:val="auto"/>
                      <w:sz w:val="21"/>
                      <w:szCs w:val="21"/>
                      <w:highlight w:val="none"/>
                    </w:rPr>
                    <w:t>mm×</w:t>
                  </w:r>
                  <w:r>
                    <w:rPr>
                      <w:rFonts w:hint="default" w:ascii="Times New Roman" w:hAnsi="Times New Roman" w:eastAsia="宋体" w:cs="Times New Roman"/>
                      <w:color w:val="auto"/>
                      <w:sz w:val="21"/>
                      <w:szCs w:val="21"/>
                      <w:highlight w:val="none"/>
                      <w:lang w:val="en-US" w:eastAsia="zh-CN"/>
                    </w:rPr>
                    <w:t>1.5</w:t>
                  </w:r>
                  <w:r>
                    <w:rPr>
                      <w:rFonts w:hint="default" w:ascii="Times New Roman" w:hAnsi="Times New Roman" w:eastAsia="宋体" w:cs="Times New Roman"/>
                      <w:color w:val="auto"/>
                      <w:sz w:val="21"/>
                      <w:szCs w:val="21"/>
                      <w:highlight w:val="none"/>
                    </w:rPr>
                    <w:t>m</w:t>
                  </w:r>
                </w:p>
              </w:tc>
              <w:tc>
                <w:tcPr>
                  <w:tcW w:w="1109" w:type="pct"/>
                  <w:vMerge w:val="restart"/>
                  <w:tcBorders>
                    <w:tl2br w:val="nil"/>
                    <w:tr2bl w:val="nil"/>
                  </w:tcBorders>
                  <w:noWrap/>
                  <w:vAlign w:val="center"/>
                </w:tcPr>
                <w:p w14:paraId="3004DC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烘干</w:t>
                  </w:r>
                </w:p>
              </w:tc>
            </w:tr>
            <w:tr w14:paraId="64CDA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06BF6D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1D0D18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3A57EF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rPr>
                    <w:t>烘水炉</w:t>
                  </w:r>
                  <w:r>
                    <w:rPr>
                      <w:rFonts w:hint="eastAsia" w:cs="Times New Roman"/>
                      <w:color w:val="auto"/>
                      <w:sz w:val="21"/>
                      <w:szCs w:val="21"/>
                      <w:highlight w:val="none"/>
                      <w:lang w:val="en-US" w:eastAsia="zh-CN"/>
                    </w:rPr>
                    <w:t>加热</w:t>
                  </w:r>
                  <w:r>
                    <w:rPr>
                      <w:rFonts w:hint="default" w:ascii="Times New Roman" w:hAnsi="Times New Roman" w:eastAsia="宋体" w:cs="Times New Roman"/>
                      <w:color w:val="auto"/>
                      <w:sz w:val="21"/>
                      <w:szCs w:val="21"/>
                      <w:highlight w:val="none"/>
                    </w:rPr>
                    <w:t>机</w:t>
                  </w:r>
                </w:p>
              </w:tc>
              <w:tc>
                <w:tcPr>
                  <w:tcW w:w="444" w:type="pct"/>
                  <w:tcBorders>
                    <w:tl2br w:val="nil"/>
                    <w:tr2bl w:val="nil"/>
                  </w:tcBorders>
                  <w:noWrap w:val="0"/>
                  <w:vAlign w:val="center"/>
                </w:tcPr>
                <w:p w14:paraId="157EF6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套</w:t>
                  </w:r>
                </w:p>
              </w:tc>
              <w:tc>
                <w:tcPr>
                  <w:tcW w:w="1098" w:type="pct"/>
                  <w:tcBorders>
                    <w:tl2br w:val="nil"/>
                    <w:tr2bl w:val="nil"/>
                  </w:tcBorders>
                  <w:noWrap/>
                  <w:vAlign w:val="center"/>
                </w:tcPr>
                <w:p w14:paraId="49428A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w:t>
                  </w:r>
                </w:p>
              </w:tc>
              <w:tc>
                <w:tcPr>
                  <w:tcW w:w="1109" w:type="pct"/>
                  <w:vMerge w:val="continue"/>
                  <w:tcBorders>
                    <w:tl2br w:val="nil"/>
                    <w:tr2bl w:val="nil"/>
                  </w:tcBorders>
                  <w:noWrap/>
                  <w:vAlign w:val="center"/>
                </w:tcPr>
                <w:p w14:paraId="13DC8D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r>
            <w:tr w14:paraId="39F2D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restart"/>
                  <w:tcBorders>
                    <w:tl2br w:val="nil"/>
                    <w:tr2bl w:val="nil"/>
                  </w:tcBorders>
                  <w:noWrap/>
                  <w:vAlign w:val="center"/>
                </w:tcPr>
                <w:p w14:paraId="14F931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803" w:type="pct"/>
                  <w:vMerge w:val="restart"/>
                  <w:tcBorders>
                    <w:tl2br w:val="nil"/>
                    <w:tr2bl w:val="nil"/>
                  </w:tcBorders>
                  <w:noWrap/>
                  <w:vAlign w:val="center"/>
                </w:tcPr>
                <w:p w14:paraId="601633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钣金加工车间</w:t>
                  </w:r>
                </w:p>
              </w:tc>
              <w:tc>
                <w:tcPr>
                  <w:tcW w:w="1171" w:type="pct"/>
                  <w:tcBorders>
                    <w:tl2br w:val="nil"/>
                    <w:tr2bl w:val="nil"/>
                  </w:tcBorders>
                  <w:noWrap w:val="0"/>
                  <w:vAlign w:val="center"/>
                </w:tcPr>
                <w:p w14:paraId="4DD9BEF9">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激光切割生产线</w:t>
                  </w:r>
                </w:p>
              </w:tc>
              <w:tc>
                <w:tcPr>
                  <w:tcW w:w="444" w:type="pct"/>
                  <w:tcBorders>
                    <w:tl2br w:val="nil"/>
                    <w:tr2bl w:val="nil"/>
                  </w:tcBorders>
                  <w:noWrap w:val="0"/>
                  <w:vAlign w:val="center"/>
                </w:tcPr>
                <w:p w14:paraId="0418246F">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10条</w:t>
                  </w:r>
                </w:p>
              </w:tc>
              <w:tc>
                <w:tcPr>
                  <w:tcW w:w="1098" w:type="pct"/>
                  <w:tcBorders>
                    <w:tl2br w:val="nil"/>
                    <w:tr2bl w:val="nil"/>
                  </w:tcBorders>
                  <w:noWrap w:val="0"/>
                  <w:vAlign w:val="center"/>
                </w:tcPr>
                <w:p w14:paraId="726169B8">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AWING</w:t>
                  </w:r>
                  <w:r>
                    <w:rPr>
                      <w:rStyle w:val="156"/>
                      <w:rFonts w:hint="default" w:ascii="Times New Roman" w:hAnsi="Times New Roman" w:eastAsia="宋体" w:cs="Times New Roman"/>
                      <w:color w:val="auto"/>
                      <w:sz w:val="21"/>
                      <w:szCs w:val="21"/>
                      <w:highlight w:val="none"/>
                      <w:lang w:val="en-US" w:eastAsia="zh-CN" w:bidi="ar"/>
                    </w:rPr>
                    <w:t xml:space="preserve"> 6025</w:t>
                  </w:r>
                </w:p>
              </w:tc>
              <w:tc>
                <w:tcPr>
                  <w:tcW w:w="1109" w:type="pct"/>
                  <w:vMerge w:val="restart"/>
                  <w:tcBorders>
                    <w:tl2br w:val="nil"/>
                    <w:tr2bl w:val="nil"/>
                  </w:tcBorders>
                  <w:noWrap/>
                  <w:vAlign w:val="center"/>
                </w:tcPr>
                <w:p w14:paraId="244B9AE3">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开料</w:t>
                  </w:r>
                </w:p>
              </w:tc>
            </w:tr>
            <w:tr w14:paraId="32E857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433E45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013B39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2C1FEC5F">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数控切割机</w:t>
                  </w:r>
                </w:p>
              </w:tc>
              <w:tc>
                <w:tcPr>
                  <w:tcW w:w="444" w:type="pct"/>
                  <w:tcBorders>
                    <w:tl2br w:val="nil"/>
                    <w:tr2bl w:val="nil"/>
                  </w:tcBorders>
                  <w:noWrap w:val="0"/>
                  <w:vAlign w:val="center"/>
                </w:tcPr>
                <w:p w14:paraId="66980BF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10台</w:t>
                  </w:r>
                </w:p>
              </w:tc>
              <w:tc>
                <w:tcPr>
                  <w:tcW w:w="1098" w:type="pct"/>
                  <w:tcBorders>
                    <w:tl2br w:val="nil"/>
                    <w:tr2bl w:val="nil"/>
                  </w:tcBorders>
                  <w:noWrap w:val="0"/>
                  <w:vAlign w:val="center"/>
                </w:tcPr>
                <w:p w14:paraId="317941FF">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HPI-3058-36LA</w:t>
                  </w:r>
                </w:p>
              </w:tc>
              <w:tc>
                <w:tcPr>
                  <w:tcW w:w="1109" w:type="pct"/>
                  <w:vMerge w:val="continue"/>
                  <w:tcBorders>
                    <w:tl2br w:val="nil"/>
                    <w:tr2bl w:val="nil"/>
                  </w:tcBorders>
                  <w:noWrap/>
                  <w:vAlign w:val="center"/>
                </w:tcPr>
                <w:p w14:paraId="4013651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p>
              </w:tc>
            </w:tr>
            <w:tr w14:paraId="1F37AD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16737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412239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22084A32">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数控转塔冲床</w:t>
                  </w:r>
                </w:p>
              </w:tc>
              <w:tc>
                <w:tcPr>
                  <w:tcW w:w="444" w:type="pct"/>
                  <w:tcBorders>
                    <w:tl2br w:val="nil"/>
                    <w:tr2bl w:val="nil"/>
                  </w:tcBorders>
                  <w:noWrap w:val="0"/>
                  <w:vAlign w:val="center"/>
                </w:tcPr>
                <w:p w14:paraId="46EC57D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40台</w:t>
                  </w:r>
                </w:p>
              </w:tc>
              <w:tc>
                <w:tcPr>
                  <w:tcW w:w="1098" w:type="pct"/>
                  <w:tcBorders>
                    <w:tl2br w:val="nil"/>
                    <w:tr2bl w:val="nil"/>
                  </w:tcBorders>
                  <w:noWrap w:val="0"/>
                  <w:vAlign w:val="center"/>
                </w:tcPr>
                <w:p w14:paraId="5370E6B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HPE-3078</w:t>
                  </w:r>
                </w:p>
              </w:tc>
              <w:tc>
                <w:tcPr>
                  <w:tcW w:w="1109" w:type="pct"/>
                  <w:vMerge w:val="restart"/>
                  <w:tcBorders>
                    <w:tl2br w:val="nil"/>
                    <w:tr2bl w:val="nil"/>
                  </w:tcBorders>
                  <w:noWrap/>
                  <w:vAlign w:val="center"/>
                </w:tcPr>
                <w:p w14:paraId="42C57631">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冲压、折弯、焊接</w:t>
                  </w:r>
                </w:p>
              </w:tc>
            </w:tr>
            <w:tr w14:paraId="31B8B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E4184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4D0937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0D053613">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精密剪板机</w:t>
                  </w:r>
                </w:p>
              </w:tc>
              <w:tc>
                <w:tcPr>
                  <w:tcW w:w="444" w:type="pct"/>
                  <w:tcBorders>
                    <w:tl2br w:val="nil"/>
                    <w:tr2bl w:val="nil"/>
                  </w:tcBorders>
                  <w:noWrap w:val="0"/>
                  <w:vAlign w:val="center"/>
                </w:tcPr>
                <w:p w14:paraId="4910D217">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3台</w:t>
                  </w:r>
                </w:p>
              </w:tc>
              <w:tc>
                <w:tcPr>
                  <w:tcW w:w="1098" w:type="pct"/>
                  <w:tcBorders>
                    <w:tl2br w:val="nil"/>
                    <w:tr2bl w:val="nil"/>
                  </w:tcBorders>
                  <w:noWrap w:val="0"/>
                  <w:vAlign w:val="center"/>
                </w:tcPr>
                <w:p w14:paraId="78DA1F39">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w:t>
                  </w:r>
                </w:p>
              </w:tc>
              <w:tc>
                <w:tcPr>
                  <w:tcW w:w="1109" w:type="pct"/>
                  <w:vMerge w:val="continue"/>
                  <w:tcBorders>
                    <w:tl2br w:val="nil"/>
                    <w:tr2bl w:val="nil"/>
                  </w:tcBorders>
                  <w:noWrap/>
                  <w:vAlign w:val="center"/>
                </w:tcPr>
                <w:p w14:paraId="6B72041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p>
              </w:tc>
            </w:tr>
            <w:tr w14:paraId="30347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 w:hRule="atLeast"/>
                <w:jc w:val="center"/>
              </w:trPr>
              <w:tc>
                <w:tcPr>
                  <w:tcW w:w="373" w:type="pct"/>
                  <w:vMerge w:val="continue"/>
                  <w:tcBorders>
                    <w:tl2br w:val="nil"/>
                    <w:tr2bl w:val="nil"/>
                  </w:tcBorders>
                  <w:noWrap/>
                  <w:vAlign w:val="center"/>
                </w:tcPr>
                <w:p w14:paraId="3C21D3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7233BF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52A37E3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卧式数控刨槽机</w:t>
                  </w:r>
                </w:p>
              </w:tc>
              <w:tc>
                <w:tcPr>
                  <w:tcW w:w="444" w:type="pct"/>
                  <w:tcBorders>
                    <w:tl2br w:val="nil"/>
                    <w:tr2bl w:val="nil"/>
                  </w:tcBorders>
                  <w:noWrap w:val="0"/>
                  <w:vAlign w:val="center"/>
                </w:tcPr>
                <w:p w14:paraId="4BFBFBE1">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3台</w:t>
                  </w:r>
                </w:p>
              </w:tc>
              <w:tc>
                <w:tcPr>
                  <w:tcW w:w="1098" w:type="pct"/>
                  <w:tcBorders>
                    <w:tl2br w:val="nil"/>
                    <w:tr2bl w:val="nil"/>
                  </w:tcBorders>
                  <w:noWrap w:val="0"/>
                  <w:vAlign w:val="center"/>
                </w:tcPr>
                <w:p w14:paraId="3FD5C9AF">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w:t>
                  </w:r>
                </w:p>
              </w:tc>
              <w:tc>
                <w:tcPr>
                  <w:tcW w:w="1109" w:type="pct"/>
                  <w:vMerge w:val="continue"/>
                  <w:tcBorders>
                    <w:tl2br w:val="nil"/>
                    <w:tr2bl w:val="nil"/>
                  </w:tcBorders>
                  <w:noWrap/>
                  <w:vAlign w:val="center"/>
                </w:tcPr>
                <w:p w14:paraId="316CD66F">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p>
              </w:tc>
            </w:tr>
            <w:tr w14:paraId="246DD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66A25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4F959E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257EDF9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数控折弯机</w:t>
                  </w:r>
                </w:p>
              </w:tc>
              <w:tc>
                <w:tcPr>
                  <w:tcW w:w="444" w:type="pct"/>
                  <w:tcBorders>
                    <w:tl2br w:val="nil"/>
                    <w:tr2bl w:val="nil"/>
                  </w:tcBorders>
                  <w:noWrap w:val="0"/>
                  <w:vAlign w:val="center"/>
                </w:tcPr>
                <w:p w14:paraId="5BADD3C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60台</w:t>
                  </w:r>
                </w:p>
              </w:tc>
              <w:tc>
                <w:tcPr>
                  <w:tcW w:w="1098" w:type="pct"/>
                  <w:tcBorders>
                    <w:tl2br w:val="nil"/>
                    <w:tr2bl w:val="nil"/>
                  </w:tcBorders>
                  <w:noWrap w:val="0"/>
                  <w:vAlign w:val="center"/>
                </w:tcPr>
                <w:p w14:paraId="7EB088D9">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NP20-150-400H</w:t>
                  </w:r>
                </w:p>
              </w:tc>
              <w:tc>
                <w:tcPr>
                  <w:tcW w:w="1109" w:type="pct"/>
                  <w:vMerge w:val="continue"/>
                  <w:tcBorders>
                    <w:tl2br w:val="nil"/>
                    <w:tr2bl w:val="nil"/>
                  </w:tcBorders>
                  <w:noWrap/>
                  <w:vAlign w:val="center"/>
                </w:tcPr>
                <w:p w14:paraId="41618CD7">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p>
              </w:tc>
            </w:tr>
            <w:tr w14:paraId="4E41B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373" w:type="pct"/>
                  <w:vMerge w:val="continue"/>
                  <w:tcBorders>
                    <w:tl2br w:val="nil"/>
                    <w:tr2bl w:val="nil"/>
                  </w:tcBorders>
                  <w:noWrap/>
                  <w:vAlign w:val="center"/>
                </w:tcPr>
                <w:p w14:paraId="42C41E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084463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02EA05C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滚压成型设备</w:t>
                  </w:r>
                </w:p>
              </w:tc>
              <w:tc>
                <w:tcPr>
                  <w:tcW w:w="444" w:type="pct"/>
                  <w:tcBorders>
                    <w:tl2br w:val="nil"/>
                    <w:tr2bl w:val="nil"/>
                  </w:tcBorders>
                  <w:noWrap w:val="0"/>
                  <w:vAlign w:val="center"/>
                </w:tcPr>
                <w:p w14:paraId="6E553A0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60台</w:t>
                  </w:r>
                </w:p>
              </w:tc>
              <w:tc>
                <w:tcPr>
                  <w:tcW w:w="1098" w:type="pct"/>
                  <w:tcBorders>
                    <w:tl2br w:val="nil"/>
                    <w:tr2bl w:val="nil"/>
                  </w:tcBorders>
                  <w:noWrap w:val="0"/>
                  <w:vAlign w:val="center"/>
                </w:tcPr>
                <w:p w14:paraId="6E91A7C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QA28Y-4X200</w:t>
                  </w:r>
                </w:p>
              </w:tc>
              <w:tc>
                <w:tcPr>
                  <w:tcW w:w="1109" w:type="pct"/>
                  <w:vMerge w:val="continue"/>
                  <w:tcBorders>
                    <w:tl2br w:val="nil"/>
                    <w:tr2bl w:val="nil"/>
                  </w:tcBorders>
                  <w:noWrap/>
                  <w:vAlign w:val="center"/>
                </w:tcPr>
                <w:p w14:paraId="493E4C9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p>
              </w:tc>
            </w:tr>
            <w:tr w14:paraId="4E1DE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50C198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46C257E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0E51A38C">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全自动冲孔设备</w:t>
                  </w:r>
                </w:p>
              </w:tc>
              <w:tc>
                <w:tcPr>
                  <w:tcW w:w="444" w:type="pct"/>
                  <w:tcBorders>
                    <w:tl2br w:val="nil"/>
                    <w:tr2bl w:val="nil"/>
                  </w:tcBorders>
                  <w:noWrap w:val="0"/>
                  <w:vAlign w:val="center"/>
                </w:tcPr>
                <w:p w14:paraId="40013DB3">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30台</w:t>
                  </w:r>
                </w:p>
              </w:tc>
              <w:tc>
                <w:tcPr>
                  <w:tcW w:w="1098" w:type="pct"/>
                  <w:tcBorders>
                    <w:tl2br w:val="nil"/>
                    <w:tr2bl w:val="nil"/>
                  </w:tcBorders>
                  <w:noWrap w:val="0"/>
                  <w:vAlign w:val="center"/>
                </w:tcPr>
                <w:p w14:paraId="5447A21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CKSL150400S</w:t>
                  </w:r>
                </w:p>
              </w:tc>
              <w:tc>
                <w:tcPr>
                  <w:tcW w:w="1109" w:type="pct"/>
                  <w:vMerge w:val="continue"/>
                  <w:tcBorders>
                    <w:tl2br w:val="nil"/>
                    <w:tr2bl w:val="nil"/>
                  </w:tcBorders>
                  <w:noWrap/>
                  <w:vAlign w:val="center"/>
                </w:tcPr>
                <w:p w14:paraId="12D5578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p>
              </w:tc>
            </w:tr>
            <w:tr w14:paraId="2875B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66AB8E9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2C3FAB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5D47B8E4">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高速激光焊机</w:t>
                  </w:r>
                </w:p>
              </w:tc>
              <w:tc>
                <w:tcPr>
                  <w:tcW w:w="444" w:type="pct"/>
                  <w:tcBorders>
                    <w:tl2br w:val="nil"/>
                    <w:tr2bl w:val="nil"/>
                  </w:tcBorders>
                  <w:noWrap w:val="0"/>
                  <w:vAlign w:val="center"/>
                </w:tcPr>
                <w:p w14:paraId="51988B73">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30台</w:t>
                  </w:r>
                </w:p>
              </w:tc>
              <w:tc>
                <w:tcPr>
                  <w:tcW w:w="1098" w:type="pct"/>
                  <w:tcBorders>
                    <w:tl2br w:val="nil"/>
                    <w:tr2bl w:val="nil"/>
                  </w:tcBorders>
                  <w:noWrap w:val="0"/>
                  <w:vAlign w:val="center"/>
                </w:tcPr>
                <w:p w14:paraId="0AD0FB7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250DX</w:t>
                  </w:r>
                  <w:r>
                    <w:rPr>
                      <w:rStyle w:val="156"/>
                      <w:rFonts w:hint="default" w:ascii="Times New Roman" w:hAnsi="Times New Roman" w:eastAsia="宋体" w:cs="Times New Roman"/>
                      <w:color w:val="auto"/>
                      <w:sz w:val="21"/>
                      <w:szCs w:val="21"/>
                      <w:highlight w:val="none"/>
                      <w:lang w:val="en-US" w:eastAsia="zh-CN" w:bidi="ar"/>
                    </w:rPr>
                    <w:t>/350DX</w:t>
                  </w:r>
                </w:p>
              </w:tc>
              <w:tc>
                <w:tcPr>
                  <w:tcW w:w="1109" w:type="pct"/>
                  <w:vMerge w:val="continue"/>
                  <w:tcBorders>
                    <w:tl2br w:val="nil"/>
                    <w:tr2bl w:val="nil"/>
                  </w:tcBorders>
                  <w:noWrap/>
                  <w:vAlign w:val="center"/>
                </w:tcPr>
                <w:p w14:paraId="0154B7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p>
              </w:tc>
            </w:tr>
            <w:tr w14:paraId="74408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689F37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020CEF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04677528">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进口氩弧焊机</w:t>
                  </w:r>
                </w:p>
              </w:tc>
              <w:tc>
                <w:tcPr>
                  <w:tcW w:w="444" w:type="pct"/>
                  <w:tcBorders>
                    <w:tl2br w:val="nil"/>
                    <w:tr2bl w:val="nil"/>
                  </w:tcBorders>
                  <w:noWrap w:val="0"/>
                  <w:vAlign w:val="center"/>
                </w:tcPr>
                <w:p w14:paraId="3E12E7D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20台</w:t>
                  </w:r>
                </w:p>
              </w:tc>
              <w:tc>
                <w:tcPr>
                  <w:tcW w:w="1098" w:type="pct"/>
                  <w:tcBorders>
                    <w:tl2br w:val="nil"/>
                    <w:tr2bl w:val="nil"/>
                  </w:tcBorders>
                  <w:noWrap w:val="0"/>
                  <w:vAlign w:val="center"/>
                </w:tcPr>
                <w:p w14:paraId="207F2593">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BMS-8N</w:t>
                  </w:r>
                </w:p>
              </w:tc>
              <w:tc>
                <w:tcPr>
                  <w:tcW w:w="1109" w:type="pct"/>
                  <w:vMerge w:val="continue"/>
                  <w:tcBorders>
                    <w:tl2br w:val="nil"/>
                    <w:tr2bl w:val="nil"/>
                  </w:tcBorders>
                  <w:noWrap/>
                  <w:vAlign w:val="center"/>
                </w:tcPr>
                <w:p w14:paraId="23B72004">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p>
              </w:tc>
            </w:tr>
            <w:tr w14:paraId="22D48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1A8A27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3701F1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7C5F9CA3">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多功能焊机</w:t>
                  </w:r>
                </w:p>
              </w:tc>
              <w:tc>
                <w:tcPr>
                  <w:tcW w:w="444" w:type="pct"/>
                  <w:tcBorders>
                    <w:tl2br w:val="nil"/>
                    <w:tr2bl w:val="nil"/>
                  </w:tcBorders>
                  <w:noWrap w:val="0"/>
                  <w:vAlign w:val="center"/>
                </w:tcPr>
                <w:p w14:paraId="0390BB3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20台</w:t>
                  </w:r>
                </w:p>
              </w:tc>
              <w:tc>
                <w:tcPr>
                  <w:tcW w:w="1098" w:type="pct"/>
                  <w:tcBorders>
                    <w:tl2br w:val="nil"/>
                    <w:tr2bl w:val="nil"/>
                  </w:tcBorders>
                  <w:noWrap w:val="0"/>
                  <w:vAlign w:val="center"/>
                </w:tcPr>
                <w:p w14:paraId="1CB28E8C">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w:t>
                  </w:r>
                </w:p>
              </w:tc>
              <w:tc>
                <w:tcPr>
                  <w:tcW w:w="1109" w:type="pct"/>
                  <w:vMerge w:val="continue"/>
                  <w:tcBorders>
                    <w:tl2br w:val="nil"/>
                    <w:tr2bl w:val="nil"/>
                  </w:tcBorders>
                  <w:noWrap/>
                  <w:vAlign w:val="center"/>
                </w:tcPr>
                <w:p w14:paraId="1D8D91D3">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rPr>
                  </w:pPr>
                </w:p>
              </w:tc>
            </w:tr>
            <w:tr w14:paraId="1FA26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ign w:val="center"/>
                </w:tcPr>
                <w:p w14:paraId="0EB6FD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ign w:val="center"/>
                </w:tcPr>
                <w:p w14:paraId="315AA1D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6764E07B">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eastAsia" w:cs="Times New Roman"/>
                      <w:i w:val="0"/>
                      <w:color w:val="auto"/>
                      <w:kern w:val="0"/>
                      <w:sz w:val="21"/>
                      <w:szCs w:val="21"/>
                      <w:highlight w:val="none"/>
                      <w:u w:val="none"/>
                      <w:lang w:val="en-US" w:eastAsia="zh-CN" w:bidi="ar"/>
                    </w:rPr>
                    <w:t>手磨机</w:t>
                  </w:r>
                </w:p>
              </w:tc>
              <w:tc>
                <w:tcPr>
                  <w:tcW w:w="444" w:type="pct"/>
                  <w:tcBorders>
                    <w:tl2br w:val="nil"/>
                    <w:tr2bl w:val="nil"/>
                  </w:tcBorders>
                  <w:noWrap w:val="0"/>
                  <w:vAlign w:val="center"/>
                </w:tcPr>
                <w:p w14:paraId="2DFE385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eastAsia" w:cs="Times New Roman"/>
                      <w:i w:val="0"/>
                      <w:color w:val="auto"/>
                      <w:kern w:val="0"/>
                      <w:sz w:val="21"/>
                      <w:szCs w:val="21"/>
                      <w:highlight w:val="none"/>
                      <w:u w:val="none"/>
                      <w:lang w:val="en-US" w:eastAsia="zh-CN" w:bidi="ar"/>
                    </w:rPr>
                    <w:t>3台</w:t>
                  </w:r>
                </w:p>
              </w:tc>
              <w:tc>
                <w:tcPr>
                  <w:tcW w:w="1098" w:type="pct"/>
                  <w:tcBorders>
                    <w:tl2br w:val="nil"/>
                    <w:tr2bl w:val="nil"/>
                  </w:tcBorders>
                  <w:noWrap w:val="0"/>
                  <w:vAlign w:val="center"/>
                </w:tcPr>
                <w:p w14:paraId="053E3450">
                  <w:pPr>
                    <w:spacing w:line="240" w:lineRule="auto"/>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eastAsia" w:cs="Times New Roman"/>
                      <w:i w:val="0"/>
                      <w:color w:val="auto"/>
                      <w:kern w:val="0"/>
                      <w:sz w:val="21"/>
                      <w:szCs w:val="21"/>
                      <w:highlight w:val="none"/>
                      <w:u w:val="none"/>
                      <w:lang w:val="en-US" w:eastAsia="zh-CN" w:bidi="ar"/>
                    </w:rPr>
                    <w:t>/</w:t>
                  </w:r>
                </w:p>
              </w:tc>
              <w:tc>
                <w:tcPr>
                  <w:tcW w:w="1109" w:type="pct"/>
                  <w:tcBorders>
                    <w:tl2br w:val="nil"/>
                    <w:tr2bl w:val="nil"/>
                  </w:tcBorders>
                  <w:noWrap/>
                  <w:vAlign w:val="center"/>
                </w:tcPr>
                <w:p w14:paraId="20201129">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手工打磨</w:t>
                  </w:r>
                </w:p>
              </w:tc>
            </w:tr>
            <w:tr w14:paraId="2D997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5B0B38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803" w:type="pct"/>
                  <w:vMerge w:val="continue"/>
                  <w:tcBorders>
                    <w:tl2br w:val="nil"/>
                    <w:tr2bl w:val="nil"/>
                  </w:tcBorders>
                  <w:noWrap w:val="0"/>
                  <w:vAlign w:val="center"/>
                </w:tcPr>
                <w:p w14:paraId="0F6A0B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rPr>
                  </w:pPr>
                </w:p>
              </w:tc>
              <w:tc>
                <w:tcPr>
                  <w:tcW w:w="1171" w:type="pct"/>
                  <w:tcBorders>
                    <w:tl2br w:val="nil"/>
                    <w:tr2bl w:val="nil"/>
                  </w:tcBorders>
                  <w:noWrap w:val="0"/>
                  <w:vAlign w:val="center"/>
                </w:tcPr>
                <w:p w14:paraId="3B095FE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各类组装设备</w:t>
                  </w:r>
                </w:p>
              </w:tc>
              <w:tc>
                <w:tcPr>
                  <w:tcW w:w="444" w:type="pct"/>
                  <w:tcBorders>
                    <w:tl2br w:val="nil"/>
                    <w:tr2bl w:val="nil"/>
                  </w:tcBorders>
                  <w:noWrap w:val="0"/>
                  <w:vAlign w:val="center"/>
                </w:tcPr>
                <w:p w14:paraId="364BB8C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30台</w:t>
                  </w:r>
                </w:p>
              </w:tc>
              <w:tc>
                <w:tcPr>
                  <w:tcW w:w="1098" w:type="pct"/>
                  <w:tcBorders>
                    <w:tl2br w:val="nil"/>
                    <w:tr2bl w:val="nil"/>
                  </w:tcBorders>
                  <w:noWrap w:val="0"/>
                  <w:vAlign w:val="center"/>
                </w:tcPr>
                <w:p w14:paraId="2048B2A8">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w:t>
                  </w:r>
                </w:p>
              </w:tc>
              <w:tc>
                <w:tcPr>
                  <w:tcW w:w="1109" w:type="pct"/>
                  <w:tcBorders>
                    <w:tl2br w:val="nil"/>
                    <w:tr2bl w:val="nil"/>
                  </w:tcBorders>
                  <w:noWrap w:val="0"/>
                  <w:vAlign w:val="center"/>
                </w:tcPr>
                <w:p w14:paraId="3117AEBA">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color w:val="auto"/>
                      <w:kern w:val="0"/>
                      <w:sz w:val="21"/>
                      <w:szCs w:val="21"/>
                      <w:highlight w:val="none"/>
                      <w:u w:val="none"/>
                      <w:lang w:val="en-US" w:eastAsia="zh-CN" w:bidi="ar"/>
                    </w:rPr>
                    <w:t>组装</w:t>
                  </w:r>
                </w:p>
              </w:tc>
            </w:tr>
            <w:tr w14:paraId="7AB76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restart"/>
                  <w:tcBorders>
                    <w:tl2br w:val="nil"/>
                    <w:tr2bl w:val="nil"/>
                  </w:tcBorders>
                  <w:noWrap w:val="0"/>
                  <w:vAlign w:val="center"/>
                </w:tcPr>
                <w:p w14:paraId="36BCA0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803" w:type="pct"/>
                  <w:vMerge w:val="restart"/>
                  <w:tcBorders>
                    <w:tl2br w:val="nil"/>
                    <w:tr2bl w:val="nil"/>
                  </w:tcBorders>
                  <w:noWrap w:val="0"/>
                  <w:vAlign w:val="center"/>
                </w:tcPr>
                <w:p w14:paraId="08335A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喷涂固化车间</w:t>
                  </w:r>
                </w:p>
              </w:tc>
              <w:tc>
                <w:tcPr>
                  <w:tcW w:w="1171" w:type="pct"/>
                  <w:tcBorders>
                    <w:tl2br w:val="nil"/>
                    <w:tr2bl w:val="nil"/>
                  </w:tcBorders>
                  <w:noWrap w:val="0"/>
                  <w:vAlign w:val="center"/>
                </w:tcPr>
                <w:p w14:paraId="7D6F455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喷粉房</w:t>
                  </w:r>
                </w:p>
              </w:tc>
              <w:tc>
                <w:tcPr>
                  <w:tcW w:w="444" w:type="pct"/>
                  <w:tcBorders>
                    <w:tl2br w:val="nil"/>
                    <w:tr2bl w:val="nil"/>
                  </w:tcBorders>
                  <w:noWrap w:val="0"/>
                  <w:vAlign w:val="center"/>
                </w:tcPr>
                <w:p w14:paraId="5FFD9E2E">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1个</w:t>
                  </w:r>
                </w:p>
              </w:tc>
              <w:tc>
                <w:tcPr>
                  <w:tcW w:w="1098" w:type="pct"/>
                  <w:tcBorders>
                    <w:tl2br w:val="nil"/>
                    <w:tr2bl w:val="nil"/>
                  </w:tcBorders>
                  <w:noWrap w:val="0"/>
                  <w:vAlign w:val="center"/>
                </w:tcPr>
                <w:p w14:paraId="307909C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02DB85D4">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喷粉</w:t>
                  </w:r>
                </w:p>
              </w:tc>
            </w:tr>
            <w:tr w14:paraId="5AC7C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5EB12E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61529D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28E0C972">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手持喷枪</w:t>
                  </w:r>
                </w:p>
              </w:tc>
              <w:tc>
                <w:tcPr>
                  <w:tcW w:w="444" w:type="pct"/>
                  <w:tcBorders>
                    <w:tl2br w:val="nil"/>
                    <w:tr2bl w:val="nil"/>
                  </w:tcBorders>
                  <w:noWrap w:val="0"/>
                  <w:vAlign w:val="center"/>
                </w:tcPr>
                <w:p w14:paraId="5D77D698">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2个</w:t>
                  </w:r>
                </w:p>
              </w:tc>
              <w:tc>
                <w:tcPr>
                  <w:tcW w:w="1098" w:type="pct"/>
                  <w:tcBorders>
                    <w:tl2br w:val="nil"/>
                    <w:tr2bl w:val="nil"/>
                  </w:tcBorders>
                  <w:noWrap w:val="0"/>
                  <w:vAlign w:val="center"/>
                </w:tcPr>
                <w:p w14:paraId="25B8AD4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5E7CD29E">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喷粉</w:t>
                  </w:r>
                </w:p>
              </w:tc>
            </w:tr>
            <w:tr w14:paraId="34D07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62735F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0B85A7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649CA1B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精涂机</w:t>
                  </w:r>
                </w:p>
              </w:tc>
              <w:tc>
                <w:tcPr>
                  <w:tcW w:w="444" w:type="pct"/>
                  <w:tcBorders>
                    <w:tl2br w:val="nil"/>
                    <w:tr2bl w:val="nil"/>
                  </w:tcBorders>
                  <w:noWrap w:val="0"/>
                  <w:vAlign w:val="center"/>
                </w:tcPr>
                <w:p w14:paraId="2ED8FC1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2台</w:t>
                  </w:r>
                </w:p>
              </w:tc>
              <w:tc>
                <w:tcPr>
                  <w:tcW w:w="1098" w:type="pct"/>
                  <w:tcBorders>
                    <w:tl2br w:val="nil"/>
                    <w:tr2bl w:val="nil"/>
                  </w:tcBorders>
                  <w:noWrap w:val="0"/>
                  <w:vAlign w:val="center"/>
                </w:tcPr>
                <w:p w14:paraId="1262862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507115F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精涂</w:t>
                  </w:r>
                </w:p>
              </w:tc>
            </w:tr>
            <w:tr w14:paraId="077CC2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0A6ED4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64826F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48B9C69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底漆喷房</w:t>
                  </w:r>
                </w:p>
              </w:tc>
              <w:tc>
                <w:tcPr>
                  <w:tcW w:w="444" w:type="pct"/>
                  <w:tcBorders>
                    <w:tl2br w:val="nil"/>
                    <w:tr2bl w:val="nil"/>
                  </w:tcBorders>
                  <w:noWrap w:val="0"/>
                  <w:vAlign w:val="center"/>
                </w:tcPr>
                <w:p w14:paraId="7C3AA3D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2台</w:t>
                  </w:r>
                </w:p>
              </w:tc>
              <w:tc>
                <w:tcPr>
                  <w:tcW w:w="1098" w:type="pct"/>
                  <w:tcBorders>
                    <w:tl2br w:val="nil"/>
                    <w:tr2bl w:val="nil"/>
                  </w:tcBorders>
                  <w:noWrap w:val="0"/>
                  <w:vAlign w:val="center"/>
                </w:tcPr>
                <w:p w14:paraId="105806C8">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16m*5m*3.5m</w:t>
                  </w:r>
                </w:p>
              </w:tc>
              <w:tc>
                <w:tcPr>
                  <w:tcW w:w="1109" w:type="pct"/>
                  <w:tcBorders>
                    <w:tl2br w:val="nil"/>
                    <w:tr2bl w:val="nil"/>
                  </w:tcBorders>
                  <w:noWrap w:val="0"/>
                  <w:vAlign w:val="center"/>
                </w:tcPr>
                <w:p w14:paraId="64022170">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喷漆</w:t>
                  </w:r>
                </w:p>
              </w:tc>
            </w:tr>
            <w:tr w14:paraId="2A7CA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6F2933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68FE8F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1E2289A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底漆流平室</w:t>
                  </w:r>
                </w:p>
              </w:tc>
              <w:tc>
                <w:tcPr>
                  <w:tcW w:w="444" w:type="pct"/>
                  <w:tcBorders>
                    <w:tl2br w:val="nil"/>
                    <w:tr2bl w:val="nil"/>
                  </w:tcBorders>
                  <w:noWrap w:val="0"/>
                  <w:vAlign w:val="center"/>
                </w:tcPr>
                <w:p w14:paraId="03B45BA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1个</w:t>
                  </w:r>
                </w:p>
              </w:tc>
              <w:tc>
                <w:tcPr>
                  <w:tcW w:w="1098" w:type="pct"/>
                  <w:tcBorders>
                    <w:tl2br w:val="nil"/>
                    <w:tr2bl w:val="nil"/>
                  </w:tcBorders>
                  <w:noWrap w:val="0"/>
                  <w:vAlign w:val="center"/>
                </w:tcPr>
                <w:p w14:paraId="5A0D93B7">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13.5m*5m*3.5m</w:t>
                  </w:r>
                </w:p>
              </w:tc>
              <w:tc>
                <w:tcPr>
                  <w:tcW w:w="1109" w:type="pct"/>
                  <w:tcBorders>
                    <w:tl2br w:val="nil"/>
                    <w:tr2bl w:val="nil"/>
                  </w:tcBorders>
                  <w:noWrap w:val="0"/>
                  <w:vAlign w:val="center"/>
                </w:tcPr>
                <w:p w14:paraId="1E586168">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流平</w:t>
                  </w:r>
                </w:p>
              </w:tc>
            </w:tr>
            <w:tr w14:paraId="3E63E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4E2D5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76F09F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0517E7D4">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面漆喷房</w:t>
                  </w:r>
                </w:p>
              </w:tc>
              <w:tc>
                <w:tcPr>
                  <w:tcW w:w="444" w:type="pct"/>
                  <w:tcBorders>
                    <w:tl2br w:val="nil"/>
                    <w:tr2bl w:val="nil"/>
                  </w:tcBorders>
                  <w:noWrap w:val="0"/>
                  <w:vAlign w:val="center"/>
                </w:tcPr>
                <w:p w14:paraId="644F5F7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2个</w:t>
                  </w:r>
                </w:p>
              </w:tc>
              <w:tc>
                <w:tcPr>
                  <w:tcW w:w="1098" w:type="pct"/>
                  <w:tcBorders>
                    <w:tl2br w:val="nil"/>
                    <w:tr2bl w:val="nil"/>
                  </w:tcBorders>
                  <w:noWrap w:val="0"/>
                  <w:vAlign w:val="center"/>
                </w:tcPr>
                <w:p w14:paraId="744A861D">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16m*5m*3.5m</w:t>
                  </w:r>
                </w:p>
              </w:tc>
              <w:tc>
                <w:tcPr>
                  <w:tcW w:w="1109" w:type="pct"/>
                  <w:tcBorders>
                    <w:tl2br w:val="nil"/>
                    <w:tr2bl w:val="nil"/>
                  </w:tcBorders>
                  <w:noWrap w:val="0"/>
                  <w:vAlign w:val="center"/>
                </w:tcPr>
                <w:p w14:paraId="70FABB36">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喷漆</w:t>
                  </w:r>
                </w:p>
              </w:tc>
            </w:tr>
            <w:tr w14:paraId="02DE4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4E30F8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68B9F5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546979B5">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面漆流平室</w:t>
                  </w:r>
                </w:p>
              </w:tc>
              <w:tc>
                <w:tcPr>
                  <w:tcW w:w="444" w:type="pct"/>
                  <w:tcBorders>
                    <w:tl2br w:val="nil"/>
                    <w:tr2bl w:val="nil"/>
                  </w:tcBorders>
                  <w:noWrap w:val="0"/>
                  <w:vAlign w:val="center"/>
                </w:tcPr>
                <w:p w14:paraId="19211D0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1个</w:t>
                  </w:r>
                </w:p>
              </w:tc>
              <w:tc>
                <w:tcPr>
                  <w:tcW w:w="1098" w:type="pct"/>
                  <w:tcBorders>
                    <w:tl2br w:val="nil"/>
                    <w:tr2bl w:val="nil"/>
                  </w:tcBorders>
                  <w:noWrap w:val="0"/>
                  <w:vAlign w:val="center"/>
                </w:tcPr>
                <w:p w14:paraId="5C26E75A">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13.5m*5m*3.5m</w:t>
                  </w:r>
                </w:p>
              </w:tc>
              <w:tc>
                <w:tcPr>
                  <w:tcW w:w="1109" w:type="pct"/>
                  <w:tcBorders>
                    <w:tl2br w:val="nil"/>
                    <w:tr2bl w:val="nil"/>
                  </w:tcBorders>
                  <w:noWrap w:val="0"/>
                  <w:vAlign w:val="center"/>
                </w:tcPr>
                <w:p w14:paraId="2D5936C6">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流平</w:t>
                  </w:r>
                </w:p>
              </w:tc>
            </w:tr>
            <w:tr w14:paraId="42638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2359C7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247823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6518A6EE">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清漆喷房</w:t>
                  </w:r>
                </w:p>
              </w:tc>
              <w:tc>
                <w:tcPr>
                  <w:tcW w:w="444" w:type="pct"/>
                  <w:tcBorders>
                    <w:tl2br w:val="nil"/>
                    <w:tr2bl w:val="nil"/>
                  </w:tcBorders>
                  <w:noWrap w:val="0"/>
                  <w:vAlign w:val="center"/>
                </w:tcPr>
                <w:p w14:paraId="32E2E80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2个</w:t>
                  </w:r>
                </w:p>
              </w:tc>
              <w:tc>
                <w:tcPr>
                  <w:tcW w:w="1098" w:type="pct"/>
                  <w:tcBorders>
                    <w:tl2br w:val="nil"/>
                    <w:tr2bl w:val="nil"/>
                  </w:tcBorders>
                  <w:noWrap w:val="0"/>
                  <w:vAlign w:val="center"/>
                </w:tcPr>
                <w:p w14:paraId="0C33CF36">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16m*5m*3.5m</w:t>
                  </w:r>
                </w:p>
              </w:tc>
              <w:tc>
                <w:tcPr>
                  <w:tcW w:w="1109" w:type="pct"/>
                  <w:tcBorders>
                    <w:tl2br w:val="nil"/>
                    <w:tr2bl w:val="nil"/>
                  </w:tcBorders>
                  <w:noWrap w:val="0"/>
                  <w:vAlign w:val="center"/>
                </w:tcPr>
                <w:p w14:paraId="0AEE002C">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喷漆</w:t>
                  </w:r>
                </w:p>
              </w:tc>
            </w:tr>
            <w:tr w14:paraId="095E6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1E7797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37D456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171581F5">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清漆流平室</w:t>
                  </w:r>
                </w:p>
              </w:tc>
              <w:tc>
                <w:tcPr>
                  <w:tcW w:w="444" w:type="pct"/>
                  <w:tcBorders>
                    <w:tl2br w:val="nil"/>
                    <w:tr2bl w:val="nil"/>
                  </w:tcBorders>
                  <w:noWrap w:val="0"/>
                  <w:vAlign w:val="center"/>
                </w:tcPr>
                <w:p w14:paraId="7724A71E">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1个</w:t>
                  </w:r>
                </w:p>
              </w:tc>
              <w:tc>
                <w:tcPr>
                  <w:tcW w:w="1098" w:type="pct"/>
                  <w:tcBorders>
                    <w:tl2br w:val="nil"/>
                    <w:tr2bl w:val="nil"/>
                  </w:tcBorders>
                  <w:noWrap w:val="0"/>
                  <w:vAlign w:val="center"/>
                </w:tcPr>
                <w:p w14:paraId="1AA8D4EA">
                  <w:pPr>
                    <w:keepNext w:val="0"/>
                    <w:keepLines w:val="0"/>
                    <w:widowControl/>
                    <w:suppressLineNumbers w:val="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13.5m*5m*3.5m</w:t>
                  </w:r>
                </w:p>
              </w:tc>
              <w:tc>
                <w:tcPr>
                  <w:tcW w:w="1109" w:type="pct"/>
                  <w:tcBorders>
                    <w:tl2br w:val="nil"/>
                    <w:tr2bl w:val="nil"/>
                  </w:tcBorders>
                  <w:noWrap w:val="0"/>
                  <w:vAlign w:val="center"/>
                </w:tcPr>
                <w:p w14:paraId="7B33BC76">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流平</w:t>
                  </w:r>
                </w:p>
              </w:tc>
            </w:tr>
            <w:tr w14:paraId="67C56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7D1ED2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46C1E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071AED20">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手持喷枪</w:t>
                  </w:r>
                </w:p>
              </w:tc>
              <w:tc>
                <w:tcPr>
                  <w:tcW w:w="444" w:type="pct"/>
                  <w:tcBorders>
                    <w:tl2br w:val="nil"/>
                    <w:tr2bl w:val="nil"/>
                  </w:tcBorders>
                  <w:noWrap w:val="0"/>
                  <w:vAlign w:val="center"/>
                </w:tcPr>
                <w:p w14:paraId="135EEB9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6个</w:t>
                  </w:r>
                </w:p>
              </w:tc>
              <w:tc>
                <w:tcPr>
                  <w:tcW w:w="1098" w:type="pct"/>
                  <w:tcBorders>
                    <w:tl2br w:val="nil"/>
                    <w:tr2bl w:val="nil"/>
                  </w:tcBorders>
                  <w:noWrap w:val="0"/>
                  <w:vAlign w:val="center"/>
                </w:tcPr>
                <w:p w14:paraId="12831C1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7DB662EF">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喷漆</w:t>
                  </w:r>
                </w:p>
              </w:tc>
            </w:tr>
            <w:tr w14:paraId="08900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719F0C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67ECFC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0CF5DFA5">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精涂机</w:t>
                  </w:r>
                </w:p>
              </w:tc>
              <w:tc>
                <w:tcPr>
                  <w:tcW w:w="444" w:type="pct"/>
                  <w:tcBorders>
                    <w:tl2br w:val="nil"/>
                    <w:tr2bl w:val="nil"/>
                  </w:tcBorders>
                  <w:noWrap w:val="0"/>
                  <w:vAlign w:val="center"/>
                </w:tcPr>
                <w:p w14:paraId="19B10AA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6台</w:t>
                  </w:r>
                </w:p>
              </w:tc>
              <w:tc>
                <w:tcPr>
                  <w:tcW w:w="1098" w:type="pct"/>
                  <w:tcBorders>
                    <w:tl2br w:val="nil"/>
                    <w:tr2bl w:val="nil"/>
                  </w:tcBorders>
                  <w:noWrap w:val="0"/>
                  <w:vAlign w:val="center"/>
                </w:tcPr>
                <w:p w14:paraId="363FC8B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2053CFFD">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精</w:t>
                  </w:r>
                  <w:r>
                    <w:rPr>
                      <w:rFonts w:hint="eastAsia" w:cs="Times New Roman"/>
                      <w:i w:val="0"/>
                      <w:color w:val="auto"/>
                      <w:kern w:val="0"/>
                      <w:sz w:val="21"/>
                      <w:szCs w:val="21"/>
                      <w:u w:val="none"/>
                      <w:lang w:val="en-US" w:eastAsia="zh-CN" w:bidi="ar"/>
                    </w:rPr>
                    <w:t>涂</w:t>
                  </w:r>
                </w:p>
              </w:tc>
            </w:tr>
            <w:tr w14:paraId="6538B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283B1B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26C6E2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4FC6EB21">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调漆房</w:t>
                  </w:r>
                </w:p>
              </w:tc>
              <w:tc>
                <w:tcPr>
                  <w:tcW w:w="444" w:type="pct"/>
                  <w:tcBorders>
                    <w:tl2br w:val="nil"/>
                    <w:tr2bl w:val="nil"/>
                  </w:tcBorders>
                  <w:noWrap w:val="0"/>
                  <w:vAlign w:val="center"/>
                </w:tcPr>
                <w:p w14:paraId="5615ACF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1个</w:t>
                  </w:r>
                </w:p>
              </w:tc>
              <w:tc>
                <w:tcPr>
                  <w:tcW w:w="1098" w:type="pct"/>
                  <w:tcBorders>
                    <w:tl2br w:val="nil"/>
                    <w:tr2bl w:val="nil"/>
                  </w:tcBorders>
                  <w:noWrap w:val="0"/>
                  <w:vAlign w:val="center"/>
                </w:tcPr>
                <w:p w14:paraId="647D86D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07BC493B">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调漆</w:t>
                  </w:r>
                </w:p>
              </w:tc>
            </w:tr>
            <w:tr w14:paraId="4FB94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334A6A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1625D3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5995D571">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固化通道</w:t>
                  </w:r>
                </w:p>
              </w:tc>
              <w:tc>
                <w:tcPr>
                  <w:tcW w:w="444" w:type="pct"/>
                  <w:tcBorders>
                    <w:tl2br w:val="nil"/>
                    <w:tr2bl w:val="nil"/>
                  </w:tcBorders>
                  <w:noWrap w:val="0"/>
                  <w:vAlign w:val="center"/>
                </w:tcPr>
                <w:p w14:paraId="6C500E0D">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条</w:t>
                  </w:r>
                </w:p>
              </w:tc>
              <w:tc>
                <w:tcPr>
                  <w:tcW w:w="1098" w:type="pct"/>
                  <w:tcBorders>
                    <w:tl2br w:val="nil"/>
                    <w:tr2bl w:val="nil"/>
                  </w:tcBorders>
                  <w:noWrap w:val="0"/>
                  <w:vAlign w:val="center"/>
                </w:tcPr>
                <w:p w14:paraId="788B249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eastAsia" w:cs="Times New Roman"/>
                      <w:i w:val="0"/>
                      <w:color w:val="auto"/>
                      <w:kern w:val="0"/>
                      <w:sz w:val="21"/>
                      <w:szCs w:val="21"/>
                      <w:u w:val="none"/>
                      <w:lang w:val="en-US" w:eastAsia="zh-CN" w:bidi="ar"/>
                    </w:rPr>
                    <w:t>65m×2m</w:t>
                  </w:r>
                </w:p>
              </w:tc>
              <w:tc>
                <w:tcPr>
                  <w:tcW w:w="1109" w:type="pct"/>
                  <w:tcBorders>
                    <w:tl2br w:val="nil"/>
                    <w:tr2bl w:val="nil"/>
                  </w:tcBorders>
                  <w:noWrap w:val="0"/>
                  <w:vAlign w:val="center"/>
                </w:tcPr>
                <w:p w14:paraId="527E6224">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固化通道</w:t>
                  </w:r>
                </w:p>
              </w:tc>
            </w:tr>
            <w:tr w14:paraId="767A5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79B894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0F7B08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78236EC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牵引机</w:t>
                  </w:r>
                </w:p>
              </w:tc>
              <w:tc>
                <w:tcPr>
                  <w:tcW w:w="444" w:type="pct"/>
                  <w:tcBorders>
                    <w:tl2br w:val="nil"/>
                    <w:tr2bl w:val="nil"/>
                  </w:tcBorders>
                  <w:noWrap w:val="0"/>
                  <w:vAlign w:val="center"/>
                </w:tcPr>
                <w:p w14:paraId="180A8CC1">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1台</w:t>
                  </w:r>
                </w:p>
              </w:tc>
              <w:tc>
                <w:tcPr>
                  <w:tcW w:w="1098" w:type="pct"/>
                  <w:tcBorders>
                    <w:tl2br w:val="nil"/>
                    <w:tr2bl w:val="nil"/>
                  </w:tcBorders>
                  <w:noWrap w:val="0"/>
                  <w:vAlign w:val="center"/>
                </w:tcPr>
                <w:p w14:paraId="797B7A8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3F979A6E">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牵引</w:t>
                  </w:r>
                </w:p>
              </w:tc>
            </w:tr>
            <w:tr w14:paraId="35F3A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7F218D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3340BE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356F3EA3">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物料预热通道</w:t>
                  </w:r>
                </w:p>
              </w:tc>
              <w:tc>
                <w:tcPr>
                  <w:tcW w:w="444" w:type="pct"/>
                  <w:tcBorders>
                    <w:tl2br w:val="nil"/>
                    <w:tr2bl w:val="nil"/>
                  </w:tcBorders>
                  <w:noWrap w:val="0"/>
                  <w:vAlign w:val="center"/>
                </w:tcPr>
                <w:p w14:paraId="1EEFC696">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1条</w:t>
                  </w:r>
                </w:p>
              </w:tc>
              <w:tc>
                <w:tcPr>
                  <w:tcW w:w="1098" w:type="pct"/>
                  <w:tcBorders>
                    <w:tl2br w:val="nil"/>
                    <w:tr2bl w:val="nil"/>
                  </w:tcBorders>
                  <w:noWrap w:val="0"/>
                  <w:vAlign w:val="center"/>
                </w:tcPr>
                <w:p w14:paraId="6B314FA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194D81D1">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预热</w:t>
                  </w:r>
                </w:p>
              </w:tc>
            </w:tr>
            <w:tr w14:paraId="6B359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010AB8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3E4292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45D29BA8">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喷粉房</w:t>
                  </w:r>
                </w:p>
              </w:tc>
              <w:tc>
                <w:tcPr>
                  <w:tcW w:w="444" w:type="pct"/>
                  <w:tcBorders>
                    <w:tl2br w:val="nil"/>
                    <w:tr2bl w:val="nil"/>
                  </w:tcBorders>
                  <w:noWrap w:val="0"/>
                  <w:vAlign w:val="center"/>
                </w:tcPr>
                <w:p w14:paraId="7ED5D98A">
                  <w:pPr>
                    <w:keepNext w:val="0"/>
                    <w:keepLines w:val="0"/>
                    <w:widowControl/>
                    <w:suppressLineNumbers w:val="0"/>
                    <w:spacing w:line="240" w:lineRule="auto"/>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1个</w:t>
                  </w:r>
                </w:p>
              </w:tc>
              <w:tc>
                <w:tcPr>
                  <w:tcW w:w="1098" w:type="pct"/>
                  <w:tcBorders>
                    <w:tl2br w:val="nil"/>
                    <w:tr2bl w:val="nil"/>
                  </w:tcBorders>
                  <w:noWrap w:val="0"/>
                  <w:vAlign w:val="center"/>
                </w:tcPr>
                <w:p w14:paraId="616F1A1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22E7B392">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喷粉</w:t>
                  </w:r>
                </w:p>
              </w:tc>
            </w:tr>
            <w:tr w14:paraId="10C25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vMerge w:val="continue"/>
                  <w:tcBorders>
                    <w:tl2br w:val="nil"/>
                    <w:tr2bl w:val="nil"/>
                  </w:tcBorders>
                  <w:noWrap w:val="0"/>
                  <w:vAlign w:val="center"/>
                </w:tcPr>
                <w:p w14:paraId="301949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p>
              </w:tc>
              <w:tc>
                <w:tcPr>
                  <w:tcW w:w="803" w:type="pct"/>
                  <w:vMerge w:val="continue"/>
                  <w:tcBorders>
                    <w:tl2br w:val="nil"/>
                    <w:tr2bl w:val="nil"/>
                  </w:tcBorders>
                  <w:noWrap w:val="0"/>
                  <w:vAlign w:val="center"/>
                </w:tcPr>
                <w:p w14:paraId="5AC9D2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1171" w:type="pct"/>
                  <w:tcBorders>
                    <w:tl2br w:val="nil"/>
                    <w:tr2bl w:val="nil"/>
                  </w:tcBorders>
                  <w:noWrap w:val="0"/>
                  <w:vAlign w:val="center"/>
                </w:tcPr>
                <w:p w14:paraId="4DD718AD">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sz w:val="21"/>
                      <w:szCs w:val="21"/>
                    </w:rPr>
                  </w:pPr>
                  <w:r>
                    <w:rPr>
                      <w:rFonts w:hint="eastAsia" w:cs="Times New Roman"/>
                      <w:i w:val="0"/>
                      <w:color w:val="auto"/>
                      <w:kern w:val="0"/>
                      <w:sz w:val="21"/>
                      <w:szCs w:val="21"/>
                      <w:u w:val="none"/>
                      <w:lang w:val="en-US" w:eastAsia="zh-CN" w:bidi="ar"/>
                    </w:rPr>
                    <w:t>固化</w:t>
                  </w:r>
                  <w:r>
                    <w:rPr>
                      <w:rFonts w:hint="default" w:ascii="Times New Roman" w:hAnsi="Times New Roman" w:eastAsia="宋体" w:cs="Times New Roman"/>
                      <w:i w:val="0"/>
                      <w:color w:val="auto"/>
                      <w:kern w:val="0"/>
                      <w:sz w:val="21"/>
                      <w:szCs w:val="21"/>
                      <w:u w:val="none"/>
                      <w:lang w:val="en-US" w:eastAsia="zh-CN" w:bidi="ar"/>
                    </w:rPr>
                    <w:t>炉</w:t>
                  </w:r>
                </w:p>
              </w:tc>
              <w:tc>
                <w:tcPr>
                  <w:tcW w:w="444" w:type="pct"/>
                  <w:tcBorders>
                    <w:tl2br w:val="nil"/>
                    <w:tr2bl w:val="nil"/>
                  </w:tcBorders>
                  <w:noWrap w:val="0"/>
                  <w:vAlign w:val="center"/>
                </w:tcPr>
                <w:p w14:paraId="609DE37A">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4个</w:t>
                  </w:r>
                </w:p>
              </w:tc>
              <w:tc>
                <w:tcPr>
                  <w:tcW w:w="1098" w:type="pct"/>
                  <w:tcBorders>
                    <w:tl2br w:val="nil"/>
                    <w:tr2bl w:val="nil"/>
                  </w:tcBorders>
                  <w:noWrap w:val="0"/>
                  <w:vAlign w:val="center"/>
                </w:tcPr>
                <w:p w14:paraId="7009D87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电气两用</w:t>
                  </w:r>
                </w:p>
              </w:tc>
              <w:tc>
                <w:tcPr>
                  <w:tcW w:w="1109" w:type="pct"/>
                  <w:tcBorders>
                    <w:tl2br w:val="nil"/>
                    <w:tr2bl w:val="nil"/>
                  </w:tcBorders>
                  <w:noWrap w:val="0"/>
                  <w:vAlign w:val="center"/>
                </w:tcPr>
                <w:p w14:paraId="25F98EFA">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烘烤固化</w:t>
                  </w:r>
                </w:p>
              </w:tc>
            </w:tr>
            <w:tr w14:paraId="25E76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373" w:type="pct"/>
                  <w:tcBorders>
                    <w:tl2br w:val="nil"/>
                    <w:tr2bl w:val="nil"/>
                  </w:tcBorders>
                  <w:noWrap w:val="0"/>
                  <w:vAlign w:val="center"/>
                </w:tcPr>
                <w:p w14:paraId="76EDA5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803" w:type="pct"/>
                  <w:tcBorders>
                    <w:tl2br w:val="nil"/>
                    <w:tr2bl w:val="nil"/>
                  </w:tcBorders>
                  <w:noWrap w:val="0"/>
                  <w:vAlign w:val="center"/>
                </w:tcPr>
                <w:p w14:paraId="5EF530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公用工程</w:t>
                  </w:r>
                </w:p>
              </w:tc>
              <w:tc>
                <w:tcPr>
                  <w:tcW w:w="1171" w:type="pct"/>
                  <w:tcBorders>
                    <w:tl2br w:val="nil"/>
                    <w:tr2bl w:val="nil"/>
                  </w:tcBorders>
                  <w:noWrap w:val="0"/>
                  <w:vAlign w:val="center"/>
                </w:tcPr>
                <w:p w14:paraId="4AD5B0D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空压机</w:t>
                  </w:r>
                </w:p>
              </w:tc>
              <w:tc>
                <w:tcPr>
                  <w:tcW w:w="444" w:type="pct"/>
                  <w:tcBorders>
                    <w:tl2br w:val="nil"/>
                    <w:tr2bl w:val="nil"/>
                  </w:tcBorders>
                  <w:noWrap w:val="0"/>
                  <w:vAlign w:val="center"/>
                </w:tcPr>
                <w:p w14:paraId="540FABD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3台</w:t>
                  </w:r>
                </w:p>
              </w:tc>
              <w:tc>
                <w:tcPr>
                  <w:tcW w:w="1098" w:type="pct"/>
                  <w:tcBorders>
                    <w:tl2br w:val="nil"/>
                    <w:tr2bl w:val="nil"/>
                  </w:tcBorders>
                  <w:noWrap w:val="0"/>
                  <w:vAlign w:val="center"/>
                </w:tcPr>
                <w:p w14:paraId="24DD208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w:t>
                  </w:r>
                </w:p>
              </w:tc>
              <w:tc>
                <w:tcPr>
                  <w:tcW w:w="1109" w:type="pct"/>
                  <w:tcBorders>
                    <w:tl2br w:val="nil"/>
                    <w:tr2bl w:val="nil"/>
                  </w:tcBorders>
                  <w:noWrap w:val="0"/>
                  <w:vAlign w:val="center"/>
                </w:tcPr>
                <w:p w14:paraId="2B21ED34">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auto"/>
                      <w:kern w:val="0"/>
                      <w:sz w:val="21"/>
                      <w:szCs w:val="21"/>
                      <w:u w:val="none"/>
                      <w:lang w:val="en-US" w:eastAsia="zh-CN" w:bidi="ar"/>
                    </w:rPr>
                    <w:t>吹扫、气动设施</w:t>
                  </w:r>
                </w:p>
              </w:tc>
            </w:tr>
          </w:tbl>
          <w:p w14:paraId="7B760590">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49CC267D">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auto"/>
                <w:spacing w:val="-1"/>
                <w:sz w:val="24"/>
                <w:szCs w:val="24"/>
                <w:highlight w:val="none"/>
              </w:rPr>
            </w:pPr>
            <w:r>
              <w:rPr>
                <w:rFonts w:hint="default" w:ascii="Times New Roman" w:hAnsi="Times New Roman" w:eastAsia="宋体" w:cs="Times New Roman"/>
                <w:b/>
                <w:bCs/>
                <w:color w:val="auto"/>
                <w:spacing w:val="-1"/>
                <w:sz w:val="24"/>
                <w:szCs w:val="24"/>
                <w:highlight w:val="none"/>
              </w:rPr>
              <w:t>5、劳动定员和工作制度</w:t>
            </w:r>
          </w:p>
          <w:p w14:paraId="1BF1E840">
            <w:pPr>
              <w:widowControl/>
              <w:kinsoku/>
              <w:autoSpaceDE/>
              <w:autoSpaceDN/>
              <w:adjustRightInd/>
              <w:snapToGrid/>
              <w:spacing w:line="360" w:lineRule="auto"/>
              <w:ind w:firstLine="480" w:firstLineChars="200"/>
              <w:jc w:val="left"/>
              <w:textAlignment w:val="auto"/>
              <w:rPr>
                <w:rFonts w:hint="eastAsia" w:ascii="Times New Roman" w:hAnsi="Times New Roman" w:eastAsia="宋体" w:cs="Times New Roman"/>
                <w:b/>
                <w:bCs/>
                <w:color w:val="auto"/>
                <w:spacing w:val="-1"/>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项目劳动定员</w:t>
            </w:r>
            <w:r>
              <w:rPr>
                <w:rFonts w:hint="eastAsia" w:ascii="Times New Roman" w:hAnsi="Times New Roman" w:eastAsia="宋体" w:cs="Times New Roman"/>
                <w:color w:val="auto"/>
                <w:sz w:val="24"/>
                <w:szCs w:val="24"/>
                <w:highlight w:val="none"/>
                <w:lang w:val="en-US" w:eastAsia="zh-CN"/>
              </w:rPr>
              <w:t>160</w:t>
            </w:r>
            <w:r>
              <w:rPr>
                <w:rFonts w:hint="default" w:ascii="Times New Roman" w:hAnsi="Times New Roman" w:eastAsia="宋体" w:cs="Times New Roman"/>
                <w:color w:val="auto"/>
                <w:sz w:val="24"/>
                <w:szCs w:val="24"/>
                <w:highlight w:val="none"/>
                <w:lang w:val="en-US" w:eastAsia="zh-CN"/>
              </w:rPr>
              <w:t>人</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其中140人</w:t>
            </w:r>
            <w:r>
              <w:rPr>
                <w:rFonts w:hint="default" w:ascii="Times New Roman" w:hAnsi="Times New Roman" w:eastAsia="宋体" w:cs="Times New Roman"/>
                <w:color w:val="auto"/>
                <w:sz w:val="24"/>
                <w:szCs w:val="24"/>
                <w:highlight w:val="none"/>
              </w:rPr>
              <w:t>在厂内食宿；</w:t>
            </w:r>
            <w:r>
              <w:rPr>
                <w:rFonts w:hint="eastAsia" w:ascii="Times New Roman" w:hAnsi="Times New Roman" w:eastAsia="宋体" w:cs="Times New Roman"/>
                <w:color w:val="auto"/>
                <w:sz w:val="24"/>
                <w:szCs w:val="24"/>
                <w:highlight w:val="none"/>
                <w:lang w:val="en-US" w:eastAsia="zh-CN"/>
              </w:rPr>
              <w:t>项目工作制度为1班制，</w:t>
            </w:r>
            <w:r>
              <w:rPr>
                <w:rFonts w:hint="default" w:ascii="Times New Roman" w:hAnsi="Times New Roman" w:eastAsia="宋体" w:cs="Times New Roman"/>
                <w:color w:val="auto"/>
                <w:sz w:val="24"/>
                <w:szCs w:val="24"/>
                <w:highlight w:val="none"/>
              </w:rPr>
              <w:t>每天工作8小时，年工作天数</w:t>
            </w:r>
            <w:r>
              <w:rPr>
                <w:rFonts w:hint="eastAsia" w:ascii="Times New Roman" w:hAnsi="Times New Roman" w:eastAsia="宋体" w:cs="Times New Roman"/>
                <w:color w:val="auto"/>
                <w:sz w:val="24"/>
                <w:szCs w:val="24"/>
                <w:highlight w:val="none"/>
                <w:lang w:val="en-US" w:eastAsia="zh-CN"/>
              </w:rPr>
              <w:t>241</w:t>
            </w:r>
            <w:r>
              <w:rPr>
                <w:rFonts w:hint="default" w:ascii="Times New Roman" w:hAnsi="Times New Roman" w:eastAsia="宋体" w:cs="Times New Roman"/>
                <w:color w:val="auto"/>
                <w:sz w:val="24"/>
                <w:szCs w:val="24"/>
                <w:highlight w:val="none"/>
              </w:rPr>
              <w:t>天</w:t>
            </w:r>
            <w:r>
              <w:rPr>
                <w:rFonts w:hint="eastAsia" w:ascii="Times New Roman" w:hAnsi="Times New Roman" w:eastAsia="宋体" w:cs="Times New Roman"/>
                <w:color w:val="auto"/>
                <w:sz w:val="24"/>
                <w:szCs w:val="24"/>
                <w:highlight w:val="none"/>
                <w:lang w:eastAsia="zh-CN"/>
              </w:rPr>
              <w:t>。</w:t>
            </w:r>
          </w:p>
          <w:p w14:paraId="1DBB6E01">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auto"/>
                <w:spacing w:val="-1"/>
                <w:sz w:val="24"/>
                <w:szCs w:val="24"/>
                <w:highlight w:val="none"/>
              </w:rPr>
            </w:pPr>
            <w:r>
              <w:rPr>
                <w:rFonts w:hint="default" w:ascii="Times New Roman" w:hAnsi="Times New Roman" w:eastAsia="宋体" w:cs="Times New Roman"/>
                <w:b/>
                <w:bCs/>
                <w:color w:val="auto"/>
                <w:spacing w:val="-1"/>
                <w:sz w:val="24"/>
                <w:szCs w:val="24"/>
                <w:highlight w:val="none"/>
              </w:rPr>
              <w:t>6、能源和资源消耗</w:t>
            </w:r>
          </w:p>
          <w:p w14:paraId="0EB00DCD">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（1）供电</w:t>
            </w:r>
          </w:p>
          <w:p w14:paraId="5790F33A">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本项目用电由市政供电网提供，年用电量约</w:t>
            </w:r>
            <w:r>
              <w:rPr>
                <w:rFonts w:hint="eastAsia" w:cs="Times New Roman"/>
                <w:color w:val="auto"/>
                <w:spacing w:val="-1"/>
                <w:sz w:val="24"/>
                <w:szCs w:val="24"/>
                <w:highlight w:val="none"/>
                <w:lang w:val="en-US" w:eastAsia="zh-CN"/>
              </w:rPr>
              <w:t>235</w:t>
            </w:r>
            <w:r>
              <w:rPr>
                <w:rFonts w:hint="default" w:ascii="Times New Roman" w:hAnsi="Times New Roman" w:eastAsia="宋体" w:cs="Times New Roman"/>
                <w:color w:val="auto"/>
                <w:spacing w:val="-1"/>
                <w:sz w:val="24"/>
                <w:szCs w:val="24"/>
                <w:highlight w:val="none"/>
              </w:rPr>
              <w:t>万千瓦·时，不设备用发电机或锅炉。</w:t>
            </w:r>
          </w:p>
          <w:p w14:paraId="22C6CA7D">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（2）给水</w:t>
            </w:r>
          </w:p>
          <w:p w14:paraId="71252184">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本项目营运期用水主要为生活用水和生产用水，废水产生主要为生活污水和生产废水。</w:t>
            </w:r>
          </w:p>
          <w:p w14:paraId="0525C2E2">
            <w:pPr>
              <w:pStyle w:val="27"/>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①生活用水：本项目</w:t>
            </w:r>
            <w:r>
              <w:rPr>
                <w:rFonts w:hint="default" w:ascii="Times New Roman" w:hAnsi="Times New Roman" w:cs="Times New Roman"/>
                <w:color w:val="auto"/>
                <w:sz w:val="24"/>
                <w:szCs w:val="24"/>
                <w:highlight w:val="none"/>
                <w:lang w:val="en-US" w:eastAsia="zh-CN"/>
              </w:rPr>
              <w:t>设置</w:t>
            </w:r>
            <w:r>
              <w:rPr>
                <w:rFonts w:hint="default" w:ascii="Times New Roman" w:hAnsi="Times New Roman" w:cs="Times New Roman"/>
                <w:color w:val="auto"/>
                <w:sz w:val="24"/>
                <w:szCs w:val="24"/>
                <w:highlight w:val="none"/>
              </w:rPr>
              <w:t>职工宿舍</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设</w:t>
            </w:r>
            <w:r>
              <w:rPr>
                <w:rFonts w:hint="eastAsia" w:cs="Times New Roman"/>
                <w:color w:val="auto"/>
                <w:sz w:val="24"/>
                <w:szCs w:val="24"/>
                <w:highlight w:val="none"/>
                <w:lang w:val="en-US" w:eastAsia="zh-CN"/>
              </w:rPr>
              <w:t>有</w:t>
            </w:r>
            <w:r>
              <w:rPr>
                <w:rFonts w:hint="default" w:ascii="Times New Roman" w:hAnsi="Times New Roman" w:cs="Times New Roman"/>
                <w:color w:val="auto"/>
                <w:sz w:val="24"/>
                <w:szCs w:val="24"/>
                <w:highlight w:val="none"/>
                <w:lang w:val="en-US" w:eastAsia="zh-CN"/>
              </w:rPr>
              <w:t>食堂</w:t>
            </w:r>
            <w:r>
              <w:rPr>
                <w:rFonts w:hint="default" w:ascii="Times New Roman" w:hAnsi="Times New Roman" w:cs="Times New Roman"/>
                <w:color w:val="auto"/>
                <w:sz w:val="24"/>
                <w:szCs w:val="24"/>
                <w:highlight w:val="none"/>
              </w:rPr>
              <w:t>，劳动定员</w:t>
            </w:r>
            <w:r>
              <w:rPr>
                <w:rFonts w:hint="eastAsia" w:cs="Times New Roman"/>
                <w:color w:val="auto"/>
                <w:sz w:val="24"/>
                <w:szCs w:val="24"/>
                <w:highlight w:val="none"/>
                <w:lang w:val="en-US" w:eastAsia="zh-CN"/>
              </w:rPr>
              <w:t>16</w:t>
            </w:r>
            <w:r>
              <w:rPr>
                <w:rFonts w:hint="default"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人</w:t>
            </w:r>
            <w:r>
              <w:rPr>
                <w:rFonts w:hint="default"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其中140人</w:t>
            </w:r>
            <w:r>
              <w:rPr>
                <w:rFonts w:hint="default" w:ascii="Times New Roman" w:hAnsi="Times New Roman" w:eastAsia="宋体" w:cs="Times New Roman"/>
                <w:color w:val="auto"/>
                <w:sz w:val="24"/>
                <w:szCs w:val="24"/>
                <w:highlight w:val="none"/>
              </w:rPr>
              <w:t>在厂内食宿</w:t>
            </w:r>
            <w:r>
              <w:rPr>
                <w:rFonts w:hint="default" w:ascii="Times New Roman" w:hAnsi="Times New Roman" w:cs="Times New Roman"/>
                <w:color w:val="auto"/>
                <w:sz w:val="24"/>
                <w:szCs w:val="24"/>
                <w:highlight w:val="none"/>
              </w:rPr>
              <w:t>，年工作时间为</w:t>
            </w:r>
            <w:r>
              <w:rPr>
                <w:rFonts w:hint="eastAsia" w:cs="Times New Roman"/>
                <w:color w:val="auto"/>
                <w:sz w:val="24"/>
                <w:szCs w:val="24"/>
                <w:highlight w:val="none"/>
                <w:lang w:val="en-US" w:eastAsia="zh-CN"/>
              </w:rPr>
              <w:t>241</w:t>
            </w:r>
            <w:r>
              <w:rPr>
                <w:rFonts w:hint="default" w:ascii="Times New Roman" w:hAnsi="Times New Roman" w:cs="Times New Roman"/>
                <w:color w:val="auto"/>
                <w:sz w:val="24"/>
                <w:szCs w:val="24"/>
                <w:highlight w:val="none"/>
              </w:rPr>
              <w:t>天，每天工作8小时，生活用水量为</w:t>
            </w:r>
            <w:r>
              <w:rPr>
                <w:rFonts w:hint="eastAsia" w:cs="Times New Roman"/>
                <w:color w:val="auto"/>
                <w:sz w:val="24"/>
                <w:szCs w:val="24"/>
                <w:highlight w:val="none"/>
                <w:lang w:val="en-US" w:eastAsia="zh-CN"/>
              </w:rPr>
              <w:t>2300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p>
          <w:p w14:paraId="74C4F9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②生产用水：本项目生产用水为</w:t>
            </w:r>
            <w:r>
              <w:rPr>
                <w:rFonts w:hint="eastAsia" w:ascii="Times New Roman" w:hAnsi="Times New Roman" w:cs="Times New Roman"/>
                <w:color w:val="auto"/>
                <w:sz w:val="24"/>
                <w:szCs w:val="24"/>
                <w:highlight w:val="none"/>
                <w:lang w:val="en-US" w:eastAsia="zh-CN"/>
              </w:rPr>
              <w:t>水帘柜用水、喷淋塔用水</w:t>
            </w:r>
            <w:r>
              <w:rPr>
                <w:rFonts w:hint="eastAsia" w:cs="Times New Roman"/>
                <w:color w:val="auto"/>
                <w:sz w:val="24"/>
                <w:szCs w:val="24"/>
                <w:highlight w:val="none"/>
                <w:lang w:val="en-US" w:eastAsia="zh-CN"/>
              </w:rPr>
              <w:t>和</w:t>
            </w:r>
            <w:r>
              <w:rPr>
                <w:rFonts w:hint="eastAsia" w:ascii="Times New Roman" w:hAnsi="Times New Roman" w:cs="Times New Roman"/>
                <w:color w:val="auto"/>
                <w:sz w:val="24"/>
                <w:szCs w:val="24"/>
                <w:highlight w:val="none"/>
                <w:lang w:val="en-US" w:eastAsia="zh-CN"/>
              </w:rPr>
              <w:t>前处理用水。</w:t>
            </w:r>
            <w:r>
              <w:rPr>
                <w:rFonts w:hint="eastAsia" w:cs="Times New Roman"/>
                <w:color w:val="auto"/>
                <w:sz w:val="24"/>
                <w:szCs w:val="24"/>
                <w:highlight w:val="none"/>
                <w:lang w:val="en-US" w:eastAsia="zh-CN"/>
              </w:rPr>
              <w:t>根据建设单位提供资料，项目设备自带封闭式冷却功能，无需额外设置冷却塔等敞开式冷却设备，无冷却用新鲜水。</w:t>
            </w:r>
          </w:p>
          <w:p w14:paraId="57577C14">
            <w:pPr>
              <w:pStyle w:val="34"/>
              <w:wordWrap w:val="0"/>
              <w:topLinePunct/>
              <w:spacing w:line="360" w:lineRule="auto"/>
              <w:ind w:firstLine="482" w:firstLineChars="200"/>
              <w:rPr>
                <w:rFonts w:hint="default" w:ascii="Times New Roman" w:hAnsi="Times New Roman" w:eastAsia="宋体" w:cs="Times New Roman"/>
                <w:b/>
                <w:bCs/>
                <w:color w:val="auto"/>
                <w:sz w:val="24"/>
                <w:highlight w:val="none"/>
                <w:lang w:val="en-US" w:eastAsia="zh-CN"/>
              </w:rPr>
            </w:pPr>
            <w:r>
              <w:rPr>
                <w:rFonts w:hint="eastAsia" w:ascii="Times New Roman" w:hAnsi="Times New Roman" w:cs="Times New Roman"/>
                <w:b/>
                <w:bCs/>
                <w:color w:val="auto"/>
                <w:sz w:val="24"/>
                <w:highlight w:val="none"/>
                <w:lang w:val="en-US" w:eastAsia="zh-CN"/>
              </w:rPr>
              <w:t>A.水帘柜用水</w:t>
            </w:r>
          </w:p>
          <w:p w14:paraId="2AEADD55">
            <w:pPr>
              <w:pStyle w:val="34"/>
              <w:wordWrap w:val="0"/>
              <w:topLinePunct/>
              <w:spacing w:line="360" w:lineRule="auto"/>
              <w:ind w:firstLine="480" w:firstLineChars="20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根据</w:t>
            </w:r>
            <w:r>
              <w:rPr>
                <w:rFonts w:ascii="Times New Roman" w:hAnsi="Times New Roman" w:cs="Times New Roman"/>
                <w:color w:val="auto"/>
                <w:sz w:val="24"/>
                <w:highlight w:val="none"/>
              </w:rPr>
              <w:t>《简明通风设计手册》（孙一坚主编）第527页表10-48“各种吸收装置的技术经济比较”内容，</w:t>
            </w:r>
            <w:r>
              <w:rPr>
                <w:rFonts w:hint="eastAsia" w:ascii="Times New Roman" w:hAnsi="Times New Roman" w:cs="Times New Roman"/>
                <w:color w:val="auto"/>
                <w:sz w:val="24"/>
                <w:szCs w:val="24"/>
                <w:highlight w:val="none"/>
              </w:rPr>
              <w:t>喷淋塔的液气比0.1 L/m</w:t>
            </w:r>
            <w:r>
              <w:rPr>
                <w:rFonts w:hint="eastAsia" w:ascii="Times New Roman" w:hAnsi="Times New Roman" w:cs="Times New Roman"/>
                <w:color w:val="auto"/>
                <w:sz w:val="24"/>
                <w:szCs w:val="24"/>
                <w:highlight w:val="none"/>
                <w:vertAlign w:val="superscript"/>
              </w:rPr>
              <w:t>3</w:t>
            </w:r>
            <w:r>
              <w:rPr>
                <w:rFonts w:hint="eastAsia" w:ascii="Times New Roman" w:hAnsi="Times New Roman" w:cs="Times New Roman"/>
                <w:color w:val="auto"/>
                <w:sz w:val="24"/>
                <w:szCs w:val="24"/>
                <w:highlight w:val="none"/>
              </w:rPr>
              <w:t>～1.0 L/m</w:t>
            </w:r>
            <w:r>
              <w:rPr>
                <w:rFonts w:hint="eastAsia" w:ascii="Times New Roman" w:hAnsi="Times New Roman" w:cs="Times New Roman"/>
                <w:color w:val="auto"/>
                <w:sz w:val="24"/>
                <w:szCs w:val="24"/>
                <w:highlight w:val="none"/>
                <w:vertAlign w:val="superscript"/>
              </w:rPr>
              <w:t>3</w:t>
            </w:r>
            <w:r>
              <w:rPr>
                <w:rFonts w:hint="eastAsia" w:ascii="Times New Roman" w:hAnsi="Times New Roman" w:cs="Times New Roman"/>
                <w:color w:val="auto"/>
                <w:sz w:val="24"/>
                <w:szCs w:val="24"/>
                <w:highlight w:val="none"/>
              </w:rPr>
              <w:t>，水帘柜喷淋用水参考液气比1.0 L/m</w:t>
            </w:r>
            <w:r>
              <w:rPr>
                <w:rFonts w:hint="eastAsia" w:ascii="Times New Roman" w:hAnsi="Times New Roman" w:cs="Times New Roman"/>
                <w:color w:val="auto"/>
                <w:sz w:val="24"/>
                <w:szCs w:val="24"/>
                <w:highlight w:val="none"/>
                <w:vertAlign w:val="superscript"/>
              </w:rPr>
              <w:t>3</w:t>
            </w:r>
            <w:r>
              <w:rPr>
                <w:rFonts w:hint="eastAsia" w:ascii="Times New Roman" w:hAnsi="Times New Roman" w:cs="Times New Roman"/>
                <w:color w:val="auto"/>
                <w:sz w:val="24"/>
                <w:szCs w:val="24"/>
                <w:highlight w:val="none"/>
              </w:rPr>
              <w:t>算，本次评价取</w:t>
            </w:r>
            <w:r>
              <w:rPr>
                <w:rFonts w:hint="eastAsia" w:ascii="Times New Roman" w:hAnsi="Times New Roman" w:cs="Times New Roman"/>
                <w:color w:val="auto"/>
                <w:sz w:val="24"/>
                <w:szCs w:val="24"/>
                <w:highlight w:val="none"/>
                <w:lang w:val="en-US" w:eastAsia="zh-CN"/>
              </w:rPr>
              <w:t>1</w:t>
            </w:r>
            <w:r>
              <w:rPr>
                <w:rFonts w:ascii="Times New Roman" w:hAnsi="Times New Roman" w:cs="Times New Roman"/>
                <w:color w:val="auto"/>
                <w:sz w:val="24"/>
                <w:szCs w:val="24"/>
                <w:highlight w:val="none"/>
              </w:rPr>
              <w:t>L/m</w:t>
            </w:r>
            <w:r>
              <w:rPr>
                <w:rFonts w:ascii="Times New Roman" w:hAnsi="Times New Roman" w:cs="Times New Roman"/>
                <w:color w:val="auto"/>
                <w:sz w:val="24"/>
                <w:szCs w:val="24"/>
                <w:highlight w:val="none"/>
                <w:vertAlign w:val="superscript"/>
              </w:rPr>
              <w:t>3</w:t>
            </w:r>
            <w:r>
              <w:rPr>
                <w:rFonts w:ascii="Times New Roman" w:hAnsi="Times New Roman" w:cs="Times New Roman"/>
                <w:color w:val="auto"/>
                <w:sz w:val="24"/>
                <w:szCs w:val="24"/>
                <w:highlight w:val="none"/>
              </w:rPr>
              <w:t>计算，</w:t>
            </w:r>
            <w:r>
              <w:rPr>
                <w:rFonts w:ascii="Times New Roman" w:hAnsi="Times New Roman" w:cs="Times New Roman"/>
                <w:color w:val="auto"/>
                <w:sz w:val="24"/>
                <w:highlight w:val="none"/>
              </w:rPr>
              <w:t>在</w:t>
            </w:r>
            <w:r>
              <w:rPr>
                <w:rFonts w:hint="eastAsia" w:ascii="Times New Roman" w:hAnsi="Times New Roman" w:cs="Times New Roman"/>
                <w:color w:val="auto"/>
                <w:sz w:val="24"/>
                <w:highlight w:val="none"/>
              </w:rPr>
              <w:t>喷漆工序收集</w:t>
            </w:r>
            <w:r>
              <w:rPr>
                <w:rFonts w:ascii="Times New Roman" w:hAnsi="Times New Roman" w:cs="Times New Roman"/>
                <w:color w:val="auto"/>
                <w:sz w:val="24"/>
                <w:highlight w:val="none"/>
              </w:rPr>
              <w:t>风量为</w:t>
            </w:r>
            <w:r>
              <w:rPr>
                <w:rFonts w:hint="eastAsia" w:ascii="Times New Roman" w:hAnsi="Times New Roman" w:cs="Times New Roman"/>
                <w:color w:val="auto"/>
                <w:sz w:val="24"/>
                <w:highlight w:val="none"/>
                <w:lang w:val="en-US" w:eastAsia="zh-CN"/>
              </w:rPr>
              <w:t>181200</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/h的情况下</w:t>
            </w:r>
            <w:r>
              <w:rPr>
                <w:rFonts w:hint="eastAsia" w:ascii="Times New Roman" w:hAnsi="Times New Roman" w:cs="Times New Roman"/>
                <w:color w:val="auto"/>
                <w:sz w:val="24"/>
                <w:highlight w:val="none"/>
              </w:rPr>
              <w:t>（不含固化过程）</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eastAsia="zh-CN"/>
              </w:rPr>
              <w:t>漆粉涂装线</w:t>
            </w:r>
            <w:r>
              <w:rPr>
                <w:rFonts w:ascii="Times New Roman" w:hAnsi="Times New Roman" w:cs="Times New Roman"/>
                <w:color w:val="auto"/>
                <w:sz w:val="24"/>
                <w:highlight w:val="none"/>
              </w:rPr>
              <w:t>的</w:t>
            </w:r>
            <w:r>
              <w:rPr>
                <w:rFonts w:hint="eastAsia" w:ascii="Times New Roman" w:hAnsi="Times New Roman" w:cs="Times New Roman"/>
                <w:color w:val="auto"/>
                <w:sz w:val="24"/>
                <w:highlight w:val="none"/>
                <w:lang w:eastAsia="zh-CN"/>
              </w:rPr>
              <w:t>水帘柜</w:t>
            </w:r>
            <w:r>
              <w:rPr>
                <w:rFonts w:ascii="Times New Roman" w:hAnsi="Times New Roman" w:cs="Times New Roman"/>
                <w:color w:val="auto"/>
                <w:sz w:val="24"/>
                <w:highlight w:val="none"/>
              </w:rPr>
              <w:t>循环用水量为</w:t>
            </w:r>
            <w:r>
              <w:rPr>
                <w:rFonts w:hint="eastAsia" w:ascii="Times New Roman" w:hAnsi="Times New Roman" w:cs="Times New Roman"/>
                <w:color w:val="auto"/>
                <w:sz w:val="24"/>
                <w:highlight w:val="none"/>
                <w:lang w:val="en-US" w:eastAsia="zh-CN"/>
              </w:rPr>
              <w:t>181.2</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/h，即</w:t>
            </w:r>
            <w:r>
              <w:rPr>
                <w:rFonts w:hint="eastAsia" w:ascii="Times New Roman" w:hAnsi="Times New Roman" w:cs="Times New Roman"/>
                <w:color w:val="auto"/>
                <w:sz w:val="24"/>
                <w:highlight w:val="none"/>
                <w:lang w:val="en-US" w:eastAsia="zh-CN"/>
              </w:rPr>
              <w:t>349353.6</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p>
          <w:p w14:paraId="32B4AD05">
            <w:pPr>
              <w:pStyle w:val="34"/>
              <w:wordWrap w:val="0"/>
              <w:topLinePunct/>
              <w:spacing w:line="360" w:lineRule="auto"/>
              <w:ind w:firstLine="480" w:firstLineChars="200"/>
              <w:rPr>
                <w:rFonts w:ascii="Times New Roman" w:hAnsi="Times New Roman" w:cs="Times New Roman"/>
                <w:color w:val="auto"/>
                <w:sz w:val="24"/>
                <w:highlight w:val="none"/>
              </w:rPr>
            </w:pPr>
            <w:r>
              <w:rPr>
                <w:rFonts w:hint="eastAsia" w:ascii="Times New Roman" w:hAnsi="Times New Roman" w:cs="Times New Roman"/>
                <w:color w:val="auto"/>
                <w:sz w:val="24"/>
                <w:highlight w:val="none"/>
                <w:lang w:eastAsia="zh-CN"/>
              </w:rPr>
              <w:t>水帘柜</w:t>
            </w:r>
            <w:r>
              <w:rPr>
                <w:rFonts w:ascii="Times New Roman" w:hAnsi="Times New Roman" w:cs="Times New Roman"/>
                <w:color w:val="auto"/>
                <w:sz w:val="24"/>
                <w:highlight w:val="none"/>
              </w:rPr>
              <w:t>喷淋损耗量根据《给水排水设计手册2-建筑集水排水》（第二版，中国建筑工业出版社）P559表7-32水量损失表，水膜、冰塔、孔流等风吹损失占循环流量的0.5~1.5%（本项目取1%），蒸发损失占循环流量的0.4~0.6%（本项目取0.</w:t>
            </w:r>
            <w:r>
              <w:rPr>
                <w:rFonts w:hint="eastAsia" w:ascii="Times New Roman" w:hAnsi="Times New Roman" w:cs="Times New Roman"/>
                <w:color w:val="auto"/>
                <w:sz w:val="24"/>
                <w:highlight w:val="none"/>
              </w:rPr>
              <w:t>5</w:t>
            </w:r>
            <w:r>
              <w:rPr>
                <w:rFonts w:ascii="Times New Roman" w:hAnsi="Times New Roman" w:cs="Times New Roman"/>
                <w:color w:val="auto"/>
                <w:sz w:val="24"/>
                <w:highlight w:val="none"/>
              </w:rPr>
              <w:t>%），即损耗量共占循环流量</w:t>
            </w:r>
            <w:r>
              <w:rPr>
                <w:rFonts w:hint="eastAsia" w:ascii="Times New Roman" w:hAnsi="Times New Roman" w:cs="Times New Roman"/>
                <w:color w:val="auto"/>
                <w:sz w:val="24"/>
                <w:highlight w:val="none"/>
              </w:rPr>
              <w:t>1.5</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eastAsia="zh-CN"/>
              </w:rPr>
              <w:t>漆粉涂装线</w:t>
            </w:r>
            <w:r>
              <w:rPr>
                <w:rFonts w:ascii="Times New Roman" w:hAnsi="Times New Roman" w:cs="Times New Roman"/>
                <w:color w:val="auto"/>
                <w:sz w:val="24"/>
                <w:highlight w:val="none"/>
              </w:rPr>
              <w:t>的</w:t>
            </w:r>
            <w:r>
              <w:rPr>
                <w:rFonts w:hint="eastAsia" w:ascii="Times New Roman" w:hAnsi="Times New Roman" w:cs="Times New Roman"/>
                <w:color w:val="auto"/>
                <w:sz w:val="24"/>
                <w:highlight w:val="none"/>
                <w:lang w:eastAsia="zh-CN"/>
              </w:rPr>
              <w:t>水帘柜</w:t>
            </w:r>
            <w:r>
              <w:rPr>
                <w:rFonts w:ascii="Times New Roman" w:hAnsi="Times New Roman" w:cs="Times New Roman"/>
                <w:color w:val="auto"/>
                <w:sz w:val="24"/>
                <w:highlight w:val="none"/>
              </w:rPr>
              <w:t>循环损耗补充水量为</w:t>
            </w:r>
            <w:r>
              <w:rPr>
                <w:rFonts w:hint="eastAsia" w:ascii="Times New Roman" w:hAnsi="Times New Roman" w:cs="Times New Roman"/>
                <w:color w:val="auto"/>
                <w:sz w:val="24"/>
                <w:highlight w:val="none"/>
                <w:lang w:val="en-US" w:eastAsia="zh-CN"/>
              </w:rPr>
              <w:t>349353.6</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rPr>
              <w:t>1.5</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5240.304</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p>
          <w:p w14:paraId="214171D3">
            <w:pPr>
              <w:pStyle w:val="34"/>
              <w:wordWrap w:val="0"/>
              <w:topLinePunct/>
              <w:spacing w:line="360" w:lineRule="auto"/>
              <w:ind w:firstLine="480" w:firstLineChars="200"/>
              <w:rPr>
                <w:rFonts w:ascii="Times New Roman" w:hAnsi="Times New Roman" w:cs="Times New Roman"/>
                <w:color w:val="auto"/>
                <w:sz w:val="24"/>
                <w:highlight w:val="none"/>
              </w:rPr>
            </w:pPr>
            <w:r>
              <w:rPr>
                <w:rFonts w:ascii="Times New Roman" w:hAnsi="Times New Roman" w:cs="Times New Roman"/>
                <w:color w:val="auto"/>
                <w:sz w:val="24"/>
                <w:highlight w:val="none"/>
              </w:rPr>
              <w:t>喷漆房内设有</w:t>
            </w:r>
            <w:r>
              <w:rPr>
                <w:rFonts w:hint="eastAsia" w:ascii="Times New Roman" w:hAnsi="Times New Roman" w:cs="Times New Roman"/>
                <w:color w:val="auto"/>
                <w:sz w:val="24"/>
                <w:highlight w:val="none"/>
                <w:lang w:eastAsia="zh-CN"/>
              </w:rPr>
              <w:t>水帘柜</w:t>
            </w:r>
            <w:r>
              <w:rPr>
                <w:rFonts w:ascii="Times New Roman" w:hAnsi="Times New Roman" w:cs="Times New Roman"/>
                <w:color w:val="auto"/>
                <w:sz w:val="24"/>
                <w:highlight w:val="none"/>
              </w:rPr>
              <w:t>的循环水池，</w:t>
            </w:r>
            <w:r>
              <w:rPr>
                <w:rFonts w:hint="eastAsia" w:ascii="Times New Roman" w:hAnsi="Times New Roman" w:cs="Times New Roman"/>
                <w:color w:val="auto"/>
                <w:sz w:val="24"/>
                <w:highlight w:val="none"/>
                <w:lang w:eastAsia="zh-CN"/>
              </w:rPr>
              <w:t>漆粉涂装线</w:t>
            </w:r>
            <w:r>
              <w:rPr>
                <w:rFonts w:ascii="Times New Roman" w:hAnsi="Times New Roman" w:cs="Times New Roman"/>
                <w:color w:val="auto"/>
                <w:sz w:val="24"/>
                <w:highlight w:val="none"/>
              </w:rPr>
              <w:t>循环水池总有效容积为</w:t>
            </w:r>
            <w:r>
              <w:rPr>
                <w:rFonts w:hint="eastAsia" w:ascii="Times New Roman" w:hAnsi="Times New Roman" w:cs="Times New Roman"/>
                <w:color w:val="auto"/>
                <w:sz w:val="24"/>
                <w:highlight w:val="none"/>
              </w:rPr>
              <w:t>16.2</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，每</w:t>
            </w:r>
            <w:r>
              <w:rPr>
                <w:rFonts w:hint="eastAsia" w:ascii="Times New Roman" w:hAnsi="Times New Roman" w:cs="Times New Roman"/>
                <w:color w:val="auto"/>
                <w:sz w:val="24"/>
                <w:highlight w:val="none"/>
              </w:rPr>
              <w:t>月</w:t>
            </w:r>
            <w:r>
              <w:rPr>
                <w:rFonts w:ascii="Times New Roman" w:hAnsi="Times New Roman" w:cs="Times New Roman"/>
                <w:color w:val="auto"/>
                <w:sz w:val="24"/>
                <w:highlight w:val="none"/>
              </w:rPr>
              <w:t>更换一次，对应更换补充用水量为</w:t>
            </w:r>
            <w:r>
              <w:rPr>
                <w:rFonts w:hint="eastAsia" w:ascii="Times New Roman" w:hAnsi="Times New Roman" w:cs="Times New Roman"/>
                <w:color w:val="auto"/>
                <w:sz w:val="24"/>
                <w:highlight w:val="none"/>
              </w:rPr>
              <w:t>16.2</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rPr>
              <w:t>12</w:t>
            </w:r>
            <w:r>
              <w:rPr>
                <w:rFonts w:ascii="Times New Roman" w:hAnsi="Times New Roman" w:cs="Times New Roman"/>
                <w:color w:val="auto"/>
                <w:sz w:val="24"/>
                <w:highlight w:val="none"/>
              </w:rPr>
              <w:t>次/年=</w:t>
            </w:r>
            <w:r>
              <w:rPr>
                <w:rFonts w:hint="eastAsia" w:ascii="Times New Roman" w:hAnsi="Times New Roman" w:cs="Times New Roman"/>
                <w:color w:val="auto"/>
                <w:sz w:val="24"/>
                <w:highlight w:val="none"/>
              </w:rPr>
              <w:t>194.4</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/a，更换后的废水</w:t>
            </w:r>
            <w:r>
              <w:rPr>
                <w:rFonts w:hint="eastAsia" w:ascii="Times New Roman" w:hAnsi="Times New Roman" w:cs="Times New Roman"/>
                <w:color w:val="auto"/>
                <w:sz w:val="24"/>
                <w:highlight w:val="none"/>
                <w:lang w:val="en-US" w:eastAsia="zh-CN"/>
              </w:rPr>
              <w:t>交由有资质单位处置</w:t>
            </w:r>
            <w:r>
              <w:rPr>
                <w:rFonts w:ascii="Times New Roman" w:hAnsi="Times New Roman" w:cs="Times New Roman"/>
                <w:color w:val="auto"/>
                <w:sz w:val="24"/>
                <w:highlight w:val="none"/>
              </w:rPr>
              <w:t>，本项目</w:t>
            </w:r>
            <w:r>
              <w:rPr>
                <w:rFonts w:hint="eastAsia" w:ascii="Times New Roman" w:hAnsi="Times New Roman" w:cs="Times New Roman"/>
                <w:color w:val="auto"/>
                <w:sz w:val="24"/>
                <w:highlight w:val="none"/>
                <w:lang w:eastAsia="zh-CN"/>
              </w:rPr>
              <w:t>漆粉涂装线水帘柜</w:t>
            </w:r>
            <w:r>
              <w:rPr>
                <w:rFonts w:ascii="Times New Roman" w:hAnsi="Times New Roman" w:cs="Times New Roman"/>
                <w:color w:val="auto"/>
                <w:sz w:val="24"/>
                <w:highlight w:val="none"/>
              </w:rPr>
              <w:t>用水总量为：</w:t>
            </w:r>
            <w:r>
              <w:rPr>
                <w:rFonts w:hint="eastAsia" w:ascii="Times New Roman" w:hAnsi="Times New Roman" w:cs="Times New Roman"/>
                <w:color w:val="auto"/>
                <w:sz w:val="24"/>
                <w:highlight w:val="none"/>
                <w:lang w:val="en-US" w:eastAsia="zh-CN"/>
              </w:rPr>
              <w:t>5240.304</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rPr>
              <w:t>194.4</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lang w:val="en-US" w:eastAsia="zh-CN"/>
              </w:rPr>
              <w:t>5434.704</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p>
          <w:p w14:paraId="2E91286B">
            <w:pPr>
              <w:pStyle w:val="34"/>
              <w:wordWrap w:val="0"/>
              <w:topLinePunct/>
              <w:spacing w:line="360" w:lineRule="auto"/>
              <w:ind w:firstLine="482" w:firstLineChars="200"/>
              <w:rPr>
                <w:rFonts w:ascii="Times New Roman" w:hAnsi="Times New Roman" w:cs="Times New Roman"/>
                <w:b/>
                <w:bCs/>
                <w:color w:val="auto"/>
                <w:sz w:val="24"/>
                <w:highlight w:val="none"/>
              </w:rPr>
            </w:pPr>
            <w:r>
              <w:rPr>
                <w:rFonts w:ascii="Times New Roman" w:hAnsi="Times New Roman" w:cs="Times New Roman"/>
                <w:b/>
                <w:bCs/>
                <w:color w:val="auto"/>
                <w:sz w:val="24"/>
                <w:highlight w:val="none"/>
              </w:rPr>
              <w:t>B、</w:t>
            </w:r>
            <w:r>
              <w:rPr>
                <w:rFonts w:hint="eastAsia" w:ascii="Times New Roman" w:hAnsi="Times New Roman" w:cs="Times New Roman"/>
                <w:b/>
                <w:bCs/>
                <w:color w:val="auto"/>
                <w:sz w:val="24"/>
                <w:highlight w:val="none"/>
              </w:rPr>
              <w:t>喷淋塔用</w:t>
            </w:r>
            <w:r>
              <w:rPr>
                <w:rFonts w:ascii="Times New Roman" w:hAnsi="Times New Roman" w:cs="Times New Roman"/>
                <w:b/>
                <w:bCs/>
                <w:color w:val="auto"/>
                <w:sz w:val="24"/>
                <w:highlight w:val="none"/>
              </w:rPr>
              <w:t>水</w:t>
            </w:r>
          </w:p>
          <w:p w14:paraId="77B2E2E4">
            <w:pPr>
              <w:pStyle w:val="34"/>
              <w:wordWrap w:val="0"/>
              <w:topLinePunct/>
              <w:spacing w:line="360" w:lineRule="auto"/>
              <w:ind w:firstLine="480" w:firstLineChars="200"/>
              <w:rPr>
                <w:rFonts w:hint="eastAsia" w:ascii="Times New Roman" w:hAnsi="Times New Roman" w:eastAsia="宋体" w:cs="Times New Roman"/>
                <w:color w:val="auto"/>
                <w:sz w:val="24"/>
                <w:highlight w:val="none"/>
                <w:lang w:val="en-US" w:eastAsia="zh-CN"/>
              </w:rPr>
            </w:pPr>
            <w:r>
              <w:rPr>
                <w:rFonts w:ascii="Times New Roman" w:hAnsi="Times New Roman" w:cs="Times New Roman"/>
                <w:color w:val="auto"/>
                <w:sz w:val="24"/>
                <w:highlight w:val="none"/>
              </w:rPr>
              <w:t>与</w:t>
            </w:r>
            <w:r>
              <w:rPr>
                <w:rFonts w:hint="eastAsia" w:ascii="Times New Roman" w:hAnsi="Times New Roman" w:cs="Times New Roman"/>
                <w:color w:val="auto"/>
                <w:sz w:val="24"/>
                <w:highlight w:val="none"/>
                <w:lang w:eastAsia="zh-CN"/>
              </w:rPr>
              <w:t>水帘柜</w:t>
            </w:r>
            <w:r>
              <w:rPr>
                <w:rFonts w:ascii="Times New Roman" w:hAnsi="Times New Roman" w:cs="Times New Roman"/>
                <w:color w:val="auto"/>
                <w:sz w:val="24"/>
                <w:highlight w:val="none"/>
              </w:rPr>
              <w:t>用水计算过程相同，</w:t>
            </w:r>
            <w:r>
              <w:rPr>
                <w:rFonts w:hint="eastAsia" w:ascii="Times New Roman" w:hAnsi="Times New Roman" w:cs="Times New Roman"/>
                <w:color w:val="auto"/>
                <w:sz w:val="24"/>
                <w:highlight w:val="none"/>
                <w:lang w:val="en-US" w:eastAsia="zh-CN"/>
              </w:rPr>
              <w:t>固化废气设施喷淋塔</w:t>
            </w:r>
            <w:r>
              <w:rPr>
                <w:rFonts w:hint="eastAsia" w:ascii="Times New Roman" w:hAnsi="Times New Roman" w:cs="Times New Roman"/>
                <w:color w:val="auto"/>
                <w:sz w:val="24"/>
                <w:highlight w:val="none"/>
              </w:rPr>
              <w:t>总风量为</w:t>
            </w:r>
            <w:r>
              <w:rPr>
                <w:rFonts w:hint="eastAsia" w:ascii="Times New Roman" w:hAnsi="Times New Roman" w:cs="Times New Roman"/>
                <w:color w:val="auto"/>
                <w:sz w:val="24"/>
                <w:highlight w:val="none"/>
                <w:lang w:val="en-US" w:eastAsia="zh-CN"/>
              </w:rPr>
              <w:t>40</w:t>
            </w:r>
            <w:r>
              <w:rPr>
                <w:rFonts w:hint="eastAsia" w:ascii="Times New Roman" w:hAnsi="Times New Roman" w:cs="Times New Roman"/>
                <w:color w:val="auto"/>
                <w:sz w:val="24"/>
                <w:highlight w:val="none"/>
              </w:rPr>
              <w:t>000</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/h</w:t>
            </w:r>
            <w:r>
              <w:rPr>
                <w:rFonts w:hint="eastAsia" w:ascii="Times New Roman" w:hAnsi="Times New Roman" w:cs="Times New Roman"/>
                <w:color w:val="auto"/>
                <w:sz w:val="24"/>
                <w:highlight w:val="none"/>
              </w:rPr>
              <w:t>，对应</w:t>
            </w:r>
            <w:r>
              <w:rPr>
                <w:rFonts w:ascii="Times New Roman" w:hAnsi="Times New Roman" w:cs="Times New Roman"/>
                <w:color w:val="auto"/>
                <w:sz w:val="24"/>
                <w:highlight w:val="none"/>
              </w:rPr>
              <w:t>喷淋塔循环用水量为</w:t>
            </w:r>
            <w:r>
              <w:rPr>
                <w:rFonts w:hint="eastAsia" w:ascii="Times New Roman" w:hAnsi="Times New Roman" w:cs="Times New Roman"/>
                <w:color w:val="auto"/>
                <w:sz w:val="24"/>
                <w:highlight w:val="none"/>
                <w:lang w:val="en-US" w:eastAsia="zh-CN"/>
              </w:rPr>
              <w:t>40</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/h，即</w:t>
            </w:r>
            <w:r>
              <w:rPr>
                <w:rFonts w:hint="eastAsia" w:ascii="Times New Roman" w:hAnsi="Times New Roman" w:cs="Times New Roman"/>
                <w:color w:val="auto"/>
                <w:sz w:val="24"/>
                <w:highlight w:val="none"/>
                <w:lang w:val="en-US" w:eastAsia="zh-CN"/>
              </w:rPr>
              <w:t>77120</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/a，循环损耗补充水量为</w:t>
            </w:r>
            <w:r>
              <w:rPr>
                <w:rFonts w:hint="eastAsia" w:ascii="Times New Roman" w:hAnsi="Times New Roman" w:cs="Times New Roman"/>
                <w:color w:val="auto"/>
                <w:sz w:val="24"/>
                <w:highlight w:val="none"/>
                <w:lang w:val="en-US" w:eastAsia="zh-CN"/>
              </w:rPr>
              <w:t>7712</w:t>
            </w:r>
            <w:r>
              <w:rPr>
                <w:rFonts w:ascii="Times New Roman" w:hAnsi="Times New Roman" w:cs="Times New Roman"/>
                <w:color w:val="auto"/>
                <w:sz w:val="24"/>
                <w:highlight w:val="none"/>
              </w:rPr>
              <w:t>0m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rPr>
              <w:t>1.5</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1156.8</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lang w:val="en-US" w:eastAsia="zh-CN"/>
              </w:rPr>
              <w:t>碱液喷淋塔废气总风量为11</w:t>
            </w:r>
            <w:r>
              <w:rPr>
                <w:rFonts w:hint="eastAsia" w:ascii="Times New Roman" w:hAnsi="Times New Roman" w:cs="Times New Roman"/>
                <w:color w:val="auto"/>
                <w:sz w:val="24"/>
                <w:highlight w:val="none"/>
              </w:rPr>
              <w:t>000</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/h</w:t>
            </w:r>
            <w:r>
              <w:rPr>
                <w:rFonts w:hint="eastAsia" w:ascii="Times New Roman" w:hAnsi="Times New Roman" w:cs="Times New Roman"/>
                <w:color w:val="auto"/>
                <w:sz w:val="24"/>
                <w:highlight w:val="none"/>
              </w:rPr>
              <w:t>，对应</w:t>
            </w:r>
            <w:r>
              <w:rPr>
                <w:rFonts w:ascii="Times New Roman" w:hAnsi="Times New Roman" w:cs="Times New Roman"/>
                <w:color w:val="auto"/>
                <w:sz w:val="24"/>
                <w:highlight w:val="none"/>
              </w:rPr>
              <w:t>喷淋塔循环用水量为</w:t>
            </w:r>
            <w:r>
              <w:rPr>
                <w:rFonts w:hint="eastAsia" w:ascii="Times New Roman" w:hAnsi="Times New Roman" w:cs="Times New Roman"/>
                <w:color w:val="auto"/>
                <w:sz w:val="24"/>
                <w:highlight w:val="none"/>
                <w:lang w:val="en-US" w:eastAsia="zh-CN"/>
              </w:rPr>
              <w:t>11</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/h，即</w:t>
            </w:r>
            <w:r>
              <w:rPr>
                <w:rFonts w:hint="eastAsia" w:ascii="Times New Roman" w:hAnsi="Times New Roman" w:cs="Times New Roman"/>
                <w:color w:val="auto"/>
                <w:sz w:val="24"/>
                <w:highlight w:val="none"/>
                <w:lang w:val="en-US" w:eastAsia="zh-CN"/>
              </w:rPr>
              <w:t>21208</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/a，循环损耗补充水量为</w:t>
            </w:r>
            <w:r>
              <w:rPr>
                <w:rFonts w:hint="eastAsia" w:ascii="Times New Roman" w:hAnsi="Times New Roman" w:cs="Times New Roman"/>
                <w:color w:val="auto"/>
                <w:sz w:val="24"/>
                <w:highlight w:val="none"/>
                <w:lang w:val="en-US" w:eastAsia="zh-CN"/>
              </w:rPr>
              <w:t>21208</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rPr>
              <w:t>1.5</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318.12</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lang w:val="en-US" w:eastAsia="zh-CN"/>
              </w:rPr>
              <w:t>。</w:t>
            </w:r>
          </w:p>
          <w:p w14:paraId="7B9FB325">
            <w:pPr>
              <w:pStyle w:val="34"/>
              <w:wordWrap w:val="0"/>
              <w:topLinePunct/>
              <w:spacing w:line="360" w:lineRule="auto"/>
              <w:ind w:firstLine="480" w:firstLineChars="20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本项目废气治理设施设置</w:t>
            </w:r>
            <w:r>
              <w:rPr>
                <w:rFonts w:ascii="Times New Roman" w:hAnsi="Times New Roman" w:cs="Times New Roman"/>
                <w:color w:val="auto"/>
                <w:sz w:val="24"/>
                <w:highlight w:val="none"/>
              </w:rPr>
              <w:t>喷淋塔</w:t>
            </w:r>
            <w:r>
              <w:rPr>
                <w:rFonts w:hint="eastAsia" w:ascii="Times New Roman" w:hAnsi="Times New Roman" w:cs="Times New Roman"/>
                <w:color w:val="auto"/>
                <w:sz w:val="24"/>
                <w:highlight w:val="none"/>
                <w:lang w:val="en-US" w:eastAsia="zh-CN"/>
              </w:rPr>
              <w:t>2个</w:t>
            </w:r>
            <w:r>
              <w:rPr>
                <w:rFonts w:hint="eastAsia" w:ascii="Times New Roman" w:hAnsi="Times New Roman" w:cs="Times New Roman"/>
                <w:color w:val="auto"/>
                <w:sz w:val="24"/>
                <w:highlight w:val="none"/>
              </w:rPr>
              <w:t>，塔内</w:t>
            </w:r>
            <w:r>
              <w:rPr>
                <w:rFonts w:ascii="Times New Roman" w:hAnsi="Times New Roman" w:cs="Times New Roman"/>
                <w:color w:val="auto"/>
                <w:sz w:val="24"/>
                <w:highlight w:val="none"/>
              </w:rPr>
              <w:t>循环水吸附漆雾后污染物浓度会增大，需定期</w:t>
            </w:r>
            <w:r>
              <w:rPr>
                <w:rFonts w:hint="eastAsia" w:ascii="Times New Roman" w:hAnsi="Times New Roman" w:cs="Times New Roman"/>
                <w:color w:val="auto"/>
                <w:sz w:val="24"/>
                <w:highlight w:val="none"/>
                <w:lang w:val="en-US" w:eastAsia="zh-CN"/>
              </w:rPr>
              <w:t>捞渣</w:t>
            </w:r>
            <w:r>
              <w:rPr>
                <w:rFonts w:ascii="Times New Roman" w:hAnsi="Times New Roman" w:cs="Times New Roman"/>
                <w:color w:val="auto"/>
                <w:sz w:val="24"/>
                <w:highlight w:val="none"/>
              </w:rPr>
              <w:t>更换，预计每周更换1次，一个月更换4次，</w:t>
            </w:r>
            <w:r>
              <w:rPr>
                <w:rFonts w:hint="eastAsia" w:ascii="Times New Roman" w:hAnsi="Times New Roman" w:cs="Times New Roman"/>
                <w:color w:val="auto"/>
                <w:sz w:val="24"/>
                <w:highlight w:val="none"/>
              </w:rPr>
              <w:t>喷淋塔内</w:t>
            </w:r>
            <w:r>
              <w:rPr>
                <w:rFonts w:ascii="Times New Roman" w:hAnsi="Times New Roman" w:cs="Times New Roman"/>
                <w:color w:val="auto"/>
                <w:sz w:val="24"/>
                <w:highlight w:val="none"/>
              </w:rPr>
              <w:t>循环水箱容积约0.7t，则喷淋塔循环水更换量为</w:t>
            </w:r>
            <w:r>
              <w:rPr>
                <w:rFonts w:hint="eastAsia" w:ascii="Times New Roman" w:hAnsi="Times New Roman" w:cs="Times New Roman"/>
                <w:color w:val="auto"/>
                <w:sz w:val="24"/>
                <w:highlight w:val="none"/>
              </w:rPr>
              <w:t>1台×</w:t>
            </w:r>
            <w:r>
              <w:rPr>
                <w:rFonts w:ascii="Times New Roman" w:hAnsi="Times New Roman" w:cs="Times New Roman"/>
                <w:color w:val="auto"/>
                <w:sz w:val="24"/>
                <w:highlight w:val="none"/>
              </w:rPr>
              <w:t>0.7t×4</w:t>
            </w:r>
            <w:r>
              <w:rPr>
                <w:rFonts w:hint="eastAsia" w:ascii="Times New Roman" w:hAnsi="Times New Roman" w:cs="Times New Roman"/>
                <w:color w:val="auto"/>
                <w:sz w:val="24"/>
                <w:highlight w:val="none"/>
              </w:rPr>
              <w:t>8次/年</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67.2</w:t>
            </w:r>
            <w:r>
              <w:rPr>
                <w:rFonts w:ascii="Times New Roman" w:hAnsi="Times New Roman" w:cs="Times New Roman"/>
                <w:color w:val="auto"/>
                <w:sz w:val="24"/>
                <w:highlight w:val="none"/>
              </w:rPr>
              <w:t>t/a，更换后的废水</w:t>
            </w:r>
            <w:r>
              <w:rPr>
                <w:rFonts w:hint="eastAsia" w:ascii="Times New Roman" w:hAnsi="Times New Roman" w:cs="Times New Roman"/>
                <w:color w:val="auto"/>
                <w:sz w:val="24"/>
                <w:highlight w:val="none"/>
                <w:lang w:val="en-US" w:eastAsia="zh-CN"/>
              </w:rPr>
              <w:t>交由有资质单位处置</w:t>
            </w:r>
            <w:r>
              <w:rPr>
                <w:rFonts w:ascii="Times New Roman" w:hAnsi="Times New Roman" w:cs="Times New Roman"/>
                <w:color w:val="auto"/>
                <w:sz w:val="24"/>
                <w:highlight w:val="none"/>
              </w:rPr>
              <w:t>，本项目喷淋塔用水总量为：</w:t>
            </w:r>
            <w:r>
              <w:rPr>
                <w:rFonts w:hint="eastAsia" w:ascii="Times New Roman" w:hAnsi="Times New Roman" w:cs="Times New Roman"/>
                <w:color w:val="auto"/>
                <w:sz w:val="24"/>
                <w:highlight w:val="none"/>
                <w:lang w:val="en-US" w:eastAsia="zh-CN"/>
              </w:rPr>
              <w:t>1156.8</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lang w:val="en-US" w:eastAsia="zh-CN"/>
              </w:rPr>
              <w:t>318.12</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rPr>
              <w:t>33.6</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r>
              <w:rPr>
                <w:rFonts w:hint="eastAsia" w:ascii="Times New Roman" w:hAnsi="Times New Roman" w:cs="Times New Roman"/>
                <w:color w:val="auto"/>
                <w:sz w:val="24"/>
                <w:highlight w:val="none"/>
                <w:lang w:val="en-US" w:eastAsia="zh-CN"/>
              </w:rPr>
              <w:t>×2</w:t>
            </w: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1542.12</w:t>
            </w:r>
            <w:r>
              <w:rPr>
                <w:rFonts w:ascii="Times New Roman" w:hAnsi="Times New Roman" w:cs="Times New Roman"/>
                <w:color w:val="auto"/>
                <w:sz w:val="24"/>
                <w:highlight w:val="none"/>
              </w:rPr>
              <w:t>m</w:t>
            </w:r>
            <w:r>
              <w:rPr>
                <w:rFonts w:ascii="Times New Roman" w:hAnsi="Times New Roman" w:cs="Times New Roman"/>
                <w:color w:val="auto"/>
                <w:sz w:val="24"/>
                <w:highlight w:val="none"/>
                <w:vertAlign w:val="superscript"/>
              </w:rPr>
              <w:t>3</w:t>
            </w:r>
            <w:r>
              <w:rPr>
                <w:rFonts w:ascii="Times New Roman" w:hAnsi="Times New Roman" w:cs="Times New Roman"/>
                <w:color w:val="auto"/>
                <w:sz w:val="24"/>
                <w:highlight w:val="none"/>
              </w:rPr>
              <w:t>/a。</w:t>
            </w:r>
          </w:p>
          <w:p w14:paraId="276FB9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eastAsia"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C.</w:t>
            </w:r>
            <w:r>
              <w:rPr>
                <w:rFonts w:hint="eastAsia" w:ascii="Times New Roman" w:hAnsi="Times New Roman" w:cs="Times New Roman"/>
                <w:b/>
                <w:bCs/>
                <w:color w:val="auto"/>
                <w:sz w:val="24"/>
                <w:szCs w:val="24"/>
                <w:highlight w:val="none"/>
                <w:lang w:val="en-US" w:eastAsia="zh-CN"/>
              </w:rPr>
              <w:t>前处理用水</w:t>
            </w:r>
          </w:p>
          <w:p w14:paraId="2646B4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本项目设置2条规模和处理能力都相同的前处理线。用水环节主要</w:t>
            </w:r>
            <w:r>
              <w:rPr>
                <w:rFonts w:hint="eastAsia" w:ascii="Times New Roman" w:hAnsi="Times New Roman" w:cs="Times New Roman"/>
                <w:color w:val="auto"/>
                <w:sz w:val="24"/>
                <w:szCs w:val="24"/>
                <w:highlight w:val="none"/>
                <w:lang w:val="en-US" w:eastAsia="zh-CN"/>
              </w:rPr>
              <w:t>包括</w:t>
            </w:r>
            <w:r>
              <w:rPr>
                <w:rFonts w:hint="default" w:ascii="Times New Roman" w:hAnsi="Times New Roman" w:cs="Times New Roman"/>
                <w:color w:val="auto"/>
                <w:sz w:val="24"/>
                <w:szCs w:val="24"/>
                <w:highlight w:val="none"/>
              </w:rPr>
              <w:t>表面预处理工序</w:t>
            </w:r>
            <w:r>
              <w:rPr>
                <w:rFonts w:hint="default" w:ascii="Times New Roman" w:hAnsi="Times New Roman" w:cs="Times New Roman"/>
                <w:color w:val="auto"/>
                <w:sz w:val="24"/>
                <w:szCs w:val="24"/>
                <w:highlight w:val="none"/>
                <w:lang w:val="en-US" w:eastAsia="zh-CN"/>
              </w:rPr>
              <w:t>喷淋补充用水、整槽更换用水和溢流用水</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前处理线总</w:t>
            </w:r>
            <w:r>
              <w:rPr>
                <w:rFonts w:hint="default" w:ascii="Times New Roman" w:hAnsi="Times New Roman" w:cs="Times New Roman"/>
                <w:color w:val="auto"/>
                <w:sz w:val="24"/>
                <w:szCs w:val="24"/>
                <w:highlight w:val="none"/>
              </w:rPr>
              <w:t>用水量为19884.63</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rPr>
              <w:t>/a。</w:t>
            </w:r>
            <w:r>
              <w:rPr>
                <w:rFonts w:hint="eastAsia" w:cs="Times New Roman"/>
                <w:color w:val="auto"/>
                <w:sz w:val="24"/>
                <w:szCs w:val="24"/>
                <w:highlight w:val="none"/>
                <w:lang w:val="en-US" w:eastAsia="zh-CN"/>
              </w:rPr>
              <w:t>其中：</w:t>
            </w:r>
          </w:p>
          <w:p w14:paraId="087BE5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①</w:t>
            </w:r>
            <w:r>
              <w:rPr>
                <w:rFonts w:hint="eastAsia" w:cs="Times New Roman"/>
                <w:b/>
                <w:bCs/>
                <w:color w:val="auto"/>
                <w:sz w:val="24"/>
                <w:szCs w:val="24"/>
                <w:highlight w:val="none"/>
                <w:lang w:val="en-US" w:eastAsia="zh-CN"/>
              </w:rPr>
              <w:t>循环</w:t>
            </w:r>
            <w:r>
              <w:rPr>
                <w:rFonts w:hint="default" w:ascii="Times New Roman" w:hAnsi="Times New Roman" w:cs="Times New Roman"/>
                <w:b/>
                <w:bCs/>
                <w:color w:val="auto"/>
                <w:sz w:val="24"/>
                <w:szCs w:val="24"/>
                <w:highlight w:val="none"/>
                <w:lang w:val="en-US" w:eastAsia="zh-CN"/>
              </w:rPr>
              <w:t>补充用水</w:t>
            </w:r>
          </w:p>
          <w:p w14:paraId="45E18E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szCs w:val="24"/>
                <w:highlight w:val="none"/>
                <w:lang w:val="en-US" w:eastAsia="zh-CN"/>
              </w:rPr>
              <w:t>本项目前处理线各池体处理方法均采用喷淋处理，喷淋过程产生用水损耗，需要定期补充用水，喷淋水损耗按循环水量的1%计算，本项目各前处理线喷淋补充用水计算见下表。</w:t>
            </w:r>
          </w:p>
          <w:p w14:paraId="25E111E4">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单条</w:t>
            </w:r>
            <w:r>
              <w:rPr>
                <w:rFonts w:hint="default" w:ascii="Times New Roman" w:hAnsi="Times New Roman" w:eastAsia="宋体" w:cs="Times New Roman"/>
                <w:b/>
                <w:bCs/>
                <w:color w:val="auto"/>
                <w:sz w:val="21"/>
                <w:szCs w:val="21"/>
                <w:highlight w:val="none"/>
                <w:lang w:val="en-US" w:eastAsia="zh-CN"/>
              </w:rPr>
              <w:t>前处理线</w:t>
            </w:r>
            <w:r>
              <w:rPr>
                <w:rFonts w:hint="eastAsia" w:ascii="Times New Roman" w:hAnsi="Times New Roman" w:eastAsia="宋体" w:cs="Times New Roman"/>
                <w:b/>
                <w:bCs/>
                <w:color w:val="auto"/>
                <w:sz w:val="21"/>
                <w:szCs w:val="21"/>
                <w:highlight w:val="none"/>
                <w:lang w:val="en-US" w:eastAsia="zh-CN"/>
              </w:rPr>
              <w:t>循环</w:t>
            </w:r>
            <w:r>
              <w:rPr>
                <w:rFonts w:hint="default" w:ascii="Times New Roman" w:hAnsi="Times New Roman" w:eastAsia="宋体" w:cs="Times New Roman"/>
                <w:b/>
                <w:bCs/>
                <w:color w:val="auto"/>
                <w:sz w:val="21"/>
                <w:szCs w:val="21"/>
                <w:highlight w:val="none"/>
                <w:lang w:val="en-US" w:eastAsia="zh-CN"/>
              </w:rPr>
              <w:t>补充用水计算表</w:t>
            </w:r>
          </w:p>
          <w:tbl>
            <w:tblPr>
              <w:tblStyle w:val="48"/>
              <w:tblW w:w="82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71"/>
              <w:gridCol w:w="1155"/>
              <w:gridCol w:w="743"/>
              <w:gridCol w:w="929"/>
              <w:gridCol w:w="920"/>
              <w:gridCol w:w="864"/>
              <w:gridCol w:w="947"/>
              <w:gridCol w:w="1053"/>
              <w:gridCol w:w="1053"/>
            </w:tblGrid>
            <w:tr w14:paraId="66DC2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 w:hRule="atLeast"/>
                <w:jc w:val="center"/>
              </w:trPr>
              <w:tc>
                <w:tcPr>
                  <w:tcW w:w="571" w:type="dxa"/>
                  <w:tcBorders>
                    <w:top w:val="single" w:color="000000" w:sz="4" w:space="0"/>
                    <w:left w:val="single" w:color="000000" w:sz="4" w:space="0"/>
                    <w:bottom w:val="single" w:color="000000" w:sz="4" w:space="0"/>
                    <w:right w:val="single" w:color="000000" w:sz="4" w:space="0"/>
                  </w:tcBorders>
                  <w:noWrap/>
                  <w:vAlign w:val="center"/>
                </w:tcPr>
                <w:p w14:paraId="5ABC7C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生产线</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636302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工序</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5C8689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水池水量m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5A96BD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运行时间h</w:t>
                  </w:r>
                </w:p>
              </w:tc>
              <w:tc>
                <w:tcPr>
                  <w:tcW w:w="920" w:type="dxa"/>
                  <w:tcBorders>
                    <w:top w:val="single" w:color="000000" w:sz="4" w:space="0"/>
                    <w:left w:val="single" w:color="000000" w:sz="4" w:space="0"/>
                    <w:bottom w:val="single" w:color="000000" w:sz="4" w:space="0"/>
                    <w:right w:val="single" w:color="000000" w:sz="4" w:space="0"/>
                  </w:tcBorders>
                  <w:noWrap w:val="0"/>
                  <w:vAlign w:val="center"/>
                </w:tcPr>
                <w:p w14:paraId="4DB13E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槽液循环量m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/h</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3211D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槽液循环量m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/d</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327C8B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eastAsia" w:cs="Times New Roman"/>
                      <w:b/>
                      <w:bCs/>
                      <w:i w:val="0"/>
                      <w:iCs w:val="0"/>
                      <w:color w:val="auto"/>
                      <w:kern w:val="0"/>
                      <w:sz w:val="21"/>
                      <w:szCs w:val="21"/>
                      <w:highlight w:val="none"/>
                      <w:u w:val="none"/>
                      <w:lang w:val="en-US" w:eastAsia="zh-CN" w:bidi="ar"/>
                    </w:rPr>
                    <w:t>循环</w:t>
                  </w:r>
                  <w:r>
                    <w:rPr>
                      <w:rFonts w:hint="default" w:ascii="Times New Roman" w:hAnsi="Times New Roman" w:eastAsia="宋体" w:cs="Times New Roman"/>
                      <w:b/>
                      <w:bCs/>
                      <w:i w:val="0"/>
                      <w:iCs w:val="0"/>
                      <w:color w:val="auto"/>
                      <w:kern w:val="0"/>
                      <w:sz w:val="21"/>
                      <w:szCs w:val="21"/>
                      <w:highlight w:val="none"/>
                      <w:u w:val="none"/>
                      <w:lang w:val="en-US" w:eastAsia="zh-CN" w:bidi="ar"/>
                    </w:rPr>
                    <w:t>补充用水量m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/a</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3D80DBCF">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u w:val="none"/>
                      <w:lang w:val="en-US" w:eastAsia="zh-CN" w:bidi="ar"/>
                    </w:rPr>
                    <w:t>工件带出水量m</w:t>
                  </w:r>
                  <w:r>
                    <w:rPr>
                      <w:rFonts w:hint="eastAsia" w:ascii="宋体" w:hAnsi="宋体" w:eastAsia="宋体" w:cs="宋体"/>
                      <w:b/>
                      <w:bCs/>
                      <w:i w:val="0"/>
                      <w:iCs w:val="0"/>
                      <w:color w:val="auto"/>
                      <w:kern w:val="0"/>
                      <w:sz w:val="21"/>
                      <w:szCs w:val="21"/>
                      <w:u w:val="none"/>
                      <w:vertAlign w:val="superscript"/>
                      <w:lang w:val="en-US" w:eastAsia="zh-CN" w:bidi="ar"/>
                    </w:rPr>
                    <w:t>3</w:t>
                  </w:r>
                  <w:r>
                    <w:rPr>
                      <w:rFonts w:hint="eastAsia" w:ascii="宋体" w:hAnsi="宋体" w:eastAsia="宋体" w:cs="宋体"/>
                      <w:b/>
                      <w:bCs/>
                      <w:i w:val="0"/>
                      <w:iCs w:val="0"/>
                      <w:color w:val="auto"/>
                      <w:kern w:val="0"/>
                      <w:sz w:val="21"/>
                      <w:szCs w:val="21"/>
                      <w:u w:val="none"/>
                      <w:lang w:val="en-US" w:eastAsia="zh-CN" w:bidi="ar"/>
                    </w:rPr>
                    <w:t>/a</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5EBD20E">
                  <w:pPr>
                    <w:keepNext w:val="0"/>
                    <w:keepLines w:val="0"/>
                    <w:widowControl/>
                    <w:suppressLineNumbers w:val="0"/>
                    <w:jc w:val="center"/>
                    <w:textAlignment w:val="center"/>
                    <w:rPr>
                      <w:rFonts w:hint="eastAsia" w:cs="Times New Roman"/>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u w:val="none"/>
                      <w:lang w:val="en-US" w:eastAsia="zh-CN" w:bidi="ar"/>
                    </w:rPr>
                    <w:t>循环补充新鲜用水量</w:t>
                  </w:r>
                  <w:r>
                    <w:rPr>
                      <w:rFonts w:hint="default" w:ascii="Times New Roman" w:hAnsi="Times New Roman" w:eastAsia="宋体" w:cs="Times New Roman"/>
                      <w:b/>
                      <w:bCs/>
                      <w:i w:val="0"/>
                      <w:iCs w:val="0"/>
                      <w:color w:val="auto"/>
                      <w:kern w:val="0"/>
                      <w:sz w:val="21"/>
                      <w:szCs w:val="21"/>
                      <w:u w:val="none"/>
                      <w:lang w:val="en-US" w:eastAsia="zh-CN" w:bidi="ar"/>
                    </w:rPr>
                    <w:t>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u w:val="none"/>
                      <w:lang w:val="en-US" w:eastAsia="zh-CN" w:bidi="ar"/>
                    </w:rPr>
                    <w:t>/a</w:t>
                  </w:r>
                </w:p>
              </w:tc>
            </w:tr>
            <w:tr w14:paraId="04A38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restart"/>
                  <w:tcBorders>
                    <w:top w:val="single" w:color="000000" w:sz="4" w:space="0"/>
                    <w:left w:val="single" w:color="000000" w:sz="4" w:space="0"/>
                    <w:bottom w:val="single" w:color="000000" w:sz="4" w:space="0"/>
                    <w:right w:val="single" w:color="000000" w:sz="4" w:space="0"/>
                  </w:tcBorders>
                  <w:noWrap/>
                  <w:vAlign w:val="center"/>
                </w:tcPr>
                <w:p w14:paraId="02B8A4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工件表面预处理</w:t>
                  </w:r>
                  <w:r>
                    <w:rPr>
                      <w:rFonts w:hint="default" w:ascii="Times New Roman" w:hAnsi="Times New Roman" w:eastAsia="宋体" w:cs="Times New Roman"/>
                      <w:i w:val="0"/>
                      <w:iCs w:val="0"/>
                      <w:color w:val="auto"/>
                      <w:kern w:val="0"/>
                      <w:sz w:val="21"/>
                      <w:szCs w:val="21"/>
                      <w:highlight w:val="none"/>
                      <w:u w:val="none"/>
                      <w:lang w:val="en-US" w:eastAsia="zh-CN" w:bidi="ar"/>
                    </w:rPr>
                    <w:t>线</w:t>
                  </w:r>
                  <w:r>
                    <w:rPr>
                      <w:rFonts w:hint="eastAsia" w:cs="Times New Roman"/>
                      <w:i w:val="0"/>
                      <w:iCs w:val="0"/>
                      <w:color w:val="auto"/>
                      <w:kern w:val="0"/>
                      <w:sz w:val="21"/>
                      <w:szCs w:val="21"/>
                      <w:highlight w:val="none"/>
                      <w:u w:val="none"/>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D06B8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rPr>
                    <w:t>预</w:t>
                  </w:r>
                  <w:r>
                    <w:rPr>
                      <w:rFonts w:hint="default" w:ascii="Times New Roman" w:hAnsi="Times New Roman" w:eastAsia="宋体" w:cs="Times New Roman"/>
                      <w:color w:val="auto"/>
                      <w:sz w:val="21"/>
                      <w:szCs w:val="21"/>
                      <w:highlight w:val="none"/>
                      <w:lang w:val="en-US" w:eastAsia="zh-CN"/>
                    </w:rPr>
                    <w:t>水洗</w:t>
                  </w:r>
                  <w:r>
                    <w:rPr>
                      <w:rFonts w:hint="default" w:ascii="Times New Roman" w:hAnsi="Times New Roman" w:eastAsia="宋体" w:cs="Times New Roman"/>
                      <w:color w:val="auto"/>
                      <w:sz w:val="21"/>
                      <w:szCs w:val="21"/>
                      <w:highlight w:val="none"/>
                    </w:rPr>
                    <w:t>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71FBEB8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343FB4F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6D6F2C5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2BD297F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102.4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60E3370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246.8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43442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2B9BCF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356.78 </w:t>
                  </w:r>
                </w:p>
              </w:tc>
            </w:tr>
            <w:tr w14:paraId="3DA03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507EFF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5CF2F3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val="en-US" w:eastAsia="zh-CN" w:bidi="ar"/>
                    </w:rPr>
                    <w:t>预脱脂</w:t>
                  </w:r>
                  <w:r>
                    <w:rPr>
                      <w:rFonts w:hint="default" w:ascii="Times New Roman" w:hAnsi="Times New Roman" w:eastAsia="宋体" w:cs="Times New Roman"/>
                      <w:color w:val="auto"/>
                      <w:sz w:val="21"/>
                      <w:szCs w:val="21"/>
                      <w:highlight w:val="none"/>
                      <w:lang w:bidi="ar"/>
                    </w:rPr>
                    <w:t>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2A04360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614A47C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49127CB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44.8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64E527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358.4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BBB080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863.7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500CD0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A67AA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973.74 </w:t>
                  </w:r>
                </w:p>
              </w:tc>
            </w:tr>
            <w:tr w14:paraId="4142C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1586E1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A6564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val="en-US" w:eastAsia="zh-CN" w:bidi="ar"/>
                    </w:rPr>
                    <w:t>脱脂</w:t>
                  </w:r>
                  <w:r>
                    <w:rPr>
                      <w:rFonts w:hint="default" w:ascii="Times New Roman" w:hAnsi="Times New Roman" w:eastAsia="宋体" w:cs="Times New Roman"/>
                      <w:color w:val="auto"/>
                      <w:sz w:val="21"/>
                      <w:szCs w:val="21"/>
                      <w:highlight w:val="none"/>
                      <w:lang w:bidi="ar"/>
                    </w:rPr>
                    <w:t>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0D8B987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4B9A53B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4A7476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44.8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5380030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358.4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1C5726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863.7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5248FE5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1DB5AB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973.74 </w:t>
                  </w:r>
                </w:p>
              </w:tc>
            </w:tr>
            <w:tr w14:paraId="45FAA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00FC0F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29CDBA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bidi="ar"/>
                    </w:rPr>
                    <w:t>1</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4B8FC7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5DD2CAB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4117522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22.4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72BED8A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179.2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07B03A0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431.9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50B8B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2A667E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r>
            <w:tr w14:paraId="5096E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208DD6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4BA36D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bidi="ar"/>
                    </w:rPr>
                    <w:t>2</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2F523FC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31886A3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0D37984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22.4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CEBA73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179.2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189C2B6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431.9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C0E1F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13BAFC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r>
            <w:tr w14:paraId="33CC3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339C12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7A0170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val="en-US" w:eastAsia="zh-CN" w:bidi="ar"/>
                    </w:rPr>
                    <w:t>清</w:t>
                  </w:r>
                  <w:r>
                    <w:rPr>
                      <w:rFonts w:hint="default" w:ascii="Times New Roman" w:hAnsi="Times New Roman" w:eastAsia="宋体" w:cs="Times New Roman"/>
                      <w:color w:val="auto"/>
                      <w:sz w:val="21"/>
                      <w:szCs w:val="21"/>
                      <w:highlight w:val="none"/>
                      <w:lang w:bidi="ar"/>
                    </w:rPr>
                    <w:t>水洗池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38F2AF5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3D43454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6C5ABCF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6.4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0E189D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51.2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D3B76E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123.4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4DF507C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D2E2D6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1317.13</w:t>
                  </w:r>
                </w:p>
              </w:tc>
            </w:tr>
            <w:tr w14:paraId="1D32E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20A185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3CF091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bidi="ar"/>
                    </w:rPr>
                    <w:t>无铬钝化池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027A102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60F0F4F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8EDE108">
                  <w:pPr>
                    <w:keepNext w:val="0"/>
                    <w:keepLines w:val="0"/>
                    <w:widowControl/>
                    <w:suppressLineNumbers w:val="0"/>
                    <w:spacing w:line="240" w:lineRule="auto"/>
                    <w:jc w:val="center"/>
                    <w:textAlignment w:val="center"/>
                    <w:rPr>
                      <w:rFonts w:hint="eastAsia"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22.4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601EC66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179.2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546EC1B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431.9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1EA09C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55</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528720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486.87 </w:t>
                  </w:r>
                </w:p>
              </w:tc>
            </w:tr>
            <w:tr w14:paraId="132E0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571" w:type="dxa"/>
                  <w:vMerge w:val="continue"/>
                  <w:tcBorders>
                    <w:top w:val="single" w:color="000000" w:sz="4" w:space="0"/>
                    <w:left w:val="single" w:color="000000" w:sz="4" w:space="0"/>
                    <w:bottom w:val="single" w:color="000000" w:sz="4" w:space="0"/>
                    <w:right w:val="single" w:color="000000" w:sz="4" w:space="0"/>
                  </w:tcBorders>
                  <w:noWrap/>
                  <w:vAlign w:val="center"/>
                </w:tcPr>
                <w:p w14:paraId="0B476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55" w:type="dxa"/>
                  <w:tcBorders>
                    <w:top w:val="single" w:color="000000" w:sz="4" w:space="0"/>
                    <w:left w:val="single" w:color="000000" w:sz="4" w:space="0"/>
                    <w:bottom w:val="single" w:color="000000" w:sz="4" w:space="0"/>
                    <w:right w:val="single" w:color="000000" w:sz="4" w:space="0"/>
                  </w:tcBorders>
                  <w:noWrap w:val="0"/>
                  <w:vAlign w:val="center"/>
                </w:tcPr>
                <w:p w14:paraId="513CD0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bidi="ar"/>
                    </w:rPr>
                    <w:t>3</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4942A82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58E4B24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1619F67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444C0BB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102.4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41FBE28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246.8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080D8C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55</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F8EA78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301.78 </w:t>
                  </w:r>
                </w:p>
              </w:tc>
            </w:tr>
            <w:tr w14:paraId="14F09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726" w:type="dxa"/>
                  <w:gridSpan w:val="2"/>
                  <w:tcBorders>
                    <w:top w:val="single" w:color="000000" w:sz="4" w:space="0"/>
                    <w:left w:val="single" w:color="000000" w:sz="4" w:space="0"/>
                    <w:bottom w:val="single" w:color="000000" w:sz="4" w:space="0"/>
                    <w:right w:val="single" w:color="000000" w:sz="4" w:space="0"/>
                  </w:tcBorders>
                  <w:noWrap/>
                  <w:vAlign w:val="center"/>
                </w:tcPr>
                <w:p w14:paraId="4E7425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合计</w:t>
                  </w:r>
                </w:p>
              </w:tc>
              <w:tc>
                <w:tcPr>
                  <w:tcW w:w="743" w:type="dxa"/>
                  <w:tcBorders>
                    <w:top w:val="single" w:color="000000" w:sz="4" w:space="0"/>
                    <w:left w:val="single" w:color="000000" w:sz="4" w:space="0"/>
                    <w:bottom w:val="single" w:color="000000" w:sz="4" w:space="0"/>
                    <w:right w:val="single" w:color="000000" w:sz="4" w:space="0"/>
                  </w:tcBorders>
                  <w:noWrap w:val="0"/>
                  <w:vAlign w:val="center"/>
                </w:tcPr>
                <w:p w14:paraId="581F4F3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47.2</w:t>
                  </w:r>
                </w:p>
              </w:tc>
              <w:tc>
                <w:tcPr>
                  <w:tcW w:w="929" w:type="dxa"/>
                  <w:tcBorders>
                    <w:top w:val="single" w:color="000000" w:sz="4" w:space="0"/>
                    <w:left w:val="single" w:color="000000" w:sz="4" w:space="0"/>
                    <w:bottom w:val="single" w:color="000000" w:sz="4" w:space="0"/>
                    <w:right w:val="single" w:color="000000" w:sz="4" w:space="0"/>
                  </w:tcBorders>
                  <w:noWrap/>
                  <w:vAlign w:val="center"/>
                </w:tcPr>
                <w:p w14:paraId="4779793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20" w:type="dxa"/>
                  <w:tcBorders>
                    <w:top w:val="single" w:color="000000" w:sz="4" w:space="0"/>
                    <w:left w:val="single" w:color="000000" w:sz="4" w:space="0"/>
                    <w:bottom w:val="single" w:color="000000" w:sz="4" w:space="0"/>
                    <w:right w:val="single" w:color="000000" w:sz="4" w:space="0"/>
                  </w:tcBorders>
                  <w:noWrap/>
                  <w:vAlign w:val="center"/>
                </w:tcPr>
                <w:p w14:paraId="65AD57DE">
                  <w:pPr>
                    <w:keepNext w:val="0"/>
                    <w:keepLines w:val="0"/>
                    <w:widowControl/>
                    <w:suppressLineNumbers w:val="0"/>
                    <w:spacing w:line="240" w:lineRule="auto"/>
                    <w:jc w:val="center"/>
                    <w:textAlignment w:val="center"/>
                    <w:rPr>
                      <w:rFonts w:hint="eastAsia"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188.8 </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EA0999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1510.4 </w:t>
                  </w:r>
                </w:p>
              </w:tc>
              <w:tc>
                <w:tcPr>
                  <w:tcW w:w="947" w:type="dxa"/>
                  <w:tcBorders>
                    <w:top w:val="single" w:color="000000" w:sz="4" w:space="0"/>
                    <w:left w:val="single" w:color="000000" w:sz="4" w:space="0"/>
                    <w:bottom w:val="single" w:color="000000" w:sz="4" w:space="0"/>
                    <w:right w:val="single" w:color="000000" w:sz="4" w:space="0"/>
                  </w:tcBorders>
                  <w:noWrap w:val="0"/>
                  <w:vAlign w:val="center"/>
                </w:tcPr>
                <w:p w14:paraId="72C0181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3640.1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686AECB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770.0 </w:t>
                  </w:r>
                </w:p>
              </w:tc>
              <w:tc>
                <w:tcPr>
                  <w:tcW w:w="1053" w:type="dxa"/>
                  <w:tcBorders>
                    <w:top w:val="single" w:color="000000" w:sz="4" w:space="0"/>
                    <w:left w:val="single" w:color="000000" w:sz="4" w:space="0"/>
                    <w:bottom w:val="single" w:color="000000" w:sz="4" w:space="0"/>
                    <w:right w:val="single" w:color="000000" w:sz="4" w:space="0"/>
                  </w:tcBorders>
                  <w:noWrap w:val="0"/>
                  <w:vAlign w:val="center"/>
                </w:tcPr>
                <w:p w14:paraId="32BEBEC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4410.1 </w:t>
                  </w:r>
                </w:p>
              </w:tc>
            </w:tr>
            <w:tr w14:paraId="0183A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5" w:hRule="atLeast"/>
                <w:jc w:val="center"/>
              </w:trPr>
              <w:tc>
                <w:tcPr>
                  <w:tcW w:w="8235" w:type="dxa"/>
                  <w:gridSpan w:val="9"/>
                  <w:tcBorders>
                    <w:top w:val="single" w:color="000000" w:sz="4" w:space="0"/>
                    <w:left w:val="single" w:color="000000" w:sz="4" w:space="0"/>
                    <w:bottom w:val="single" w:color="000000" w:sz="4" w:space="0"/>
                    <w:right w:val="single" w:color="000000" w:sz="4" w:space="0"/>
                  </w:tcBorders>
                  <w:noWrap/>
                  <w:vAlign w:val="center"/>
                </w:tcPr>
                <w:p w14:paraId="6625FE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备注：</w:t>
                  </w:r>
                  <w:r>
                    <w:rPr>
                      <w:rFonts w:hint="eastAsia" w:cs="Times New Roman"/>
                      <w:i w:val="0"/>
                      <w:iCs w:val="0"/>
                      <w:color w:val="auto"/>
                      <w:kern w:val="0"/>
                      <w:sz w:val="21"/>
                      <w:szCs w:val="21"/>
                      <w:highlight w:val="none"/>
                      <w:u w:val="none"/>
                      <w:lang w:val="en-US" w:eastAsia="zh-CN" w:bidi="ar"/>
                    </w:rPr>
                    <w:t>①</w:t>
                  </w:r>
                  <w:r>
                    <w:rPr>
                      <w:rFonts w:hint="default" w:ascii="Times New Roman" w:hAnsi="Times New Roman" w:eastAsia="宋体" w:cs="Times New Roman"/>
                      <w:i w:val="0"/>
                      <w:iCs w:val="0"/>
                      <w:color w:val="auto"/>
                      <w:kern w:val="0"/>
                      <w:sz w:val="21"/>
                      <w:szCs w:val="21"/>
                      <w:highlight w:val="none"/>
                      <w:u w:val="none"/>
                      <w:lang w:val="en-US" w:eastAsia="zh-CN" w:bidi="ar"/>
                    </w:rPr>
                    <w:t>根据设计资料，槽液每小时循环水量为池体水量的</w:t>
                  </w:r>
                  <w:r>
                    <w:rPr>
                      <w:rFonts w:hint="eastAsia"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i w:val="0"/>
                      <w:iCs w:val="0"/>
                      <w:color w:val="auto"/>
                      <w:kern w:val="0"/>
                      <w:sz w:val="21"/>
                      <w:szCs w:val="21"/>
                      <w:highlight w:val="none"/>
                      <w:u w:val="none"/>
                      <w:lang w:val="en-US" w:eastAsia="zh-CN" w:bidi="ar"/>
                    </w:rPr>
                    <w:t>倍</w:t>
                  </w:r>
                  <w:r>
                    <w:rPr>
                      <w:rFonts w:hint="eastAsia" w:cs="Times New Roman"/>
                      <w:i w:val="0"/>
                      <w:iCs w:val="0"/>
                      <w:color w:val="auto"/>
                      <w:kern w:val="0"/>
                      <w:sz w:val="21"/>
                      <w:szCs w:val="21"/>
                      <w:highlight w:val="none"/>
                      <w:u w:val="none"/>
                      <w:lang w:val="en-US" w:eastAsia="zh-CN" w:bidi="ar"/>
                    </w:rPr>
                    <w:t>；采用管道循环方式，设置过滤装置。</w:t>
                  </w:r>
                </w:p>
                <w:p w14:paraId="13FACC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color w:val="auto"/>
                      <w:lang w:val="en-US" w:eastAsia="zh-CN"/>
                    </w:rPr>
                  </w:pPr>
                  <w:r>
                    <w:rPr>
                      <w:rFonts w:hint="eastAsia" w:cs="Times New Roman"/>
                      <w:i w:val="0"/>
                      <w:iCs w:val="0"/>
                      <w:color w:val="auto"/>
                      <w:kern w:val="0"/>
                      <w:sz w:val="21"/>
                      <w:szCs w:val="21"/>
                      <w:highlight w:val="none"/>
                      <w:u w:val="none"/>
                      <w:lang w:val="en-US" w:eastAsia="zh-CN" w:bidi="ar"/>
                    </w:rPr>
                    <w:t>②工件水洗采用三级逆流漂洗工艺，设置 3 座漂洗槽1#水洗池、2#水洗池和清水池；新鲜水从清水洗池补给，漂洗废水逆向逐级溢流，1#水洗池产生高浓度清洗废水外排处理。该工艺可大幅降低清水消耗量，提升污染物去除效率。</w:t>
                  </w:r>
                </w:p>
              </w:tc>
            </w:tr>
          </w:tbl>
          <w:p w14:paraId="7D068E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jc w:val="left"/>
              <w:textAlignment w:val="auto"/>
              <w:rPr>
                <w:rFonts w:hint="default" w:ascii="Times New Roman" w:hAnsi="Times New Roman" w:cs="Times New Roman"/>
                <w:color w:val="auto"/>
                <w:kern w:val="0"/>
                <w:sz w:val="24"/>
                <w:szCs w:val="24"/>
                <w:highlight w:val="none"/>
                <w:lang w:val="en-US" w:eastAsia="zh-CN" w:bidi="ar"/>
              </w:rPr>
            </w:pPr>
          </w:p>
          <w:p w14:paraId="404705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cs="Times New Roman"/>
                <w:bCs/>
                <w:color w:val="auto"/>
                <w:szCs w:val="21"/>
                <w:highlight w:val="none"/>
              </w:rPr>
            </w:pPr>
            <w:r>
              <w:rPr>
                <w:rFonts w:hint="default" w:ascii="Times New Roman" w:hAnsi="Times New Roman" w:cs="Times New Roman"/>
                <w:color w:val="auto"/>
                <w:kern w:val="0"/>
                <w:sz w:val="24"/>
                <w:szCs w:val="24"/>
                <w:highlight w:val="none"/>
                <w:lang w:val="en-US" w:eastAsia="zh-CN" w:bidi="ar"/>
              </w:rPr>
              <w:t>从上表计得</w:t>
            </w:r>
            <w:r>
              <w:rPr>
                <w:rFonts w:hint="eastAsia" w:cs="Times New Roman"/>
                <w:color w:val="auto"/>
                <w:kern w:val="0"/>
                <w:sz w:val="24"/>
                <w:szCs w:val="24"/>
                <w:highlight w:val="none"/>
                <w:lang w:val="en-US" w:eastAsia="zh-CN" w:bidi="ar"/>
              </w:rPr>
              <w:t>1条工件表面处理线循环补充新鲜水量为</w:t>
            </w:r>
            <w:r>
              <w:rPr>
                <w:rFonts w:hint="eastAsia" w:cs="Times New Roman"/>
                <w:i w:val="0"/>
                <w:iCs w:val="0"/>
                <w:color w:val="auto"/>
                <w:kern w:val="0"/>
                <w:sz w:val="24"/>
                <w:szCs w:val="24"/>
                <w:highlight w:val="none"/>
                <w:u w:val="none"/>
                <w:lang w:val="en-US" w:eastAsia="zh-CN" w:bidi="ar"/>
              </w:rPr>
              <w:t>4410.1</w:t>
            </w:r>
            <w:r>
              <w:rPr>
                <w:rFonts w:hint="default" w:ascii="Times New Roman" w:hAnsi="Times New Roman" w:cs="Times New Roman"/>
                <w:color w:val="auto"/>
                <w:kern w:val="0"/>
                <w:sz w:val="24"/>
                <w:szCs w:val="24"/>
                <w:highlight w:val="none"/>
                <w:lang w:val="en-US" w:eastAsia="zh-CN" w:bidi="ar"/>
              </w:rPr>
              <w:t>m</w:t>
            </w:r>
            <w:r>
              <w:rPr>
                <w:rFonts w:hint="default" w:ascii="Times New Roman" w:hAnsi="Times New Roman" w:cs="Times New Roman"/>
                <w:color w:val="auto"/>
                <w:kern w:val="0"/>
                <w:sz w:val="24"/>
                <w:szCs w:val="24"/>
                <w:highlight w:val="none"/>
                <w:vertAlign w:val="superscript"/>
                <w:lang w:val="en-US" w:eastAsia="zh-CN" w:bidi="ar"/>
              </w:rPr>
              <w:t>3</w:t>
            </w:r>
            <w:r>
              <w:rPr>
                <w:rFonts w:hint="default" w:ascii="Times New Roman" w:hAnsi="Times New Roman" w:cs="Times New Roman"/>
                <w:color w:val="auto"/>
                <w:kern w:val="0"/>
                <w:sz w:val="24"/>
                <w:szCs w:val="24"/>
                <w:highlight w:val="none"/>
                <w:lang w:val="en-US" w:eastAsia="zh-CN" w:bidi="ar"/>
              </w:rPr>
              <w:t>/a</w:t>
            </w:r>
            <w:r>
              <w:rPr>
                <w:rFonts w:hint="eastAsia" w:cs="Times New Roman"/>
                <w:color w:val="auto"/>
                <w:kern w:val="0"/>
                <w:sz w:val="24"/>
                <w:szCs w:val="24"/>
                <w:highlight w:val="none"/>
                <w:lang w:val="en-US" w:eastAsia="zh-CN" w:bidi="ar"/>
              </w:rPr>
              <w:t>，2</w:t>
            </w:r>
            <w:r>
              <w:rPr>
                <w:rFonts w:hint="default" w:ascii="Times New Roman" w:hAnsi="Times New Roman" w:cs="Times New Roman"/>
                <w:color w:val="auto"/>
                <w:kern w:val="0"/>
                <w:sz w:val="24"/>
                <w:szCs w:val="24"/>
                <w:highlight w:val="none"/>
                <w:lang w:val="en-US" w:eastAsia="zh-CN" w:bidi="ar"/>
              </w:rPr>
              <w:t>条前处理线</w:t>
            </w:r>
            <w:r>
              <w:rPr>
                <w:rFonts w:hint="eastAsia" w:cs="Times New Roman"/>
                <w:color w:val="auto"/>
                <w:kern w:val="0"/>
                <w:sz w:val="24"/>
                <w:szCs w:val="24"/>
                <w:highlight w:val="none"/>
                <w:lang w:val="en-US" w:eastAsia="zh-CN" w:bidi="ar"/>
              </w:rPr>
              <w:t>循环</w:t>
            </w:r>
            <w:r>
              <w:rPr>
                <w:rFonts w:hint="default" w:ascii="Times New Roman" w:hAnsi="Times New Roman" w:cs="Times New Roman"/>
                <w:color w:val="auto"/>
                <w:kern w:val="0"/>
                <w:sz w:val="24"/>
                <w:szCs w:val="24"/>
                <w:highlight w:val="none"/>
                <w:lang w:val="en-US" w:eastAsia="zh-CN" w:bidi="ar"/>
              </w:rPr>
              <w:t>补充水量为</w:t>
            </w:r>
            <w:r>
              <w:rPr>
                <w:rFonts w:hint="eastAsia" w:cs="Times New Roman"/>
                <w:i w:val="0"/>
                <w:iCs w:val="0"/>
                <w:color w:val="auto"/>
                <w:kern w:val="0"/>
                <w:sz w:val="24"/>
                <w:szCs w:val="24"/>
                <w:highlight w:val="none"/>
                <w:u w:val="none"/>
                <w:lang w:val="en-US" w:eastAsia="zh-CN" w:bidi="ar"/>
              </w:rPr>
              <w:t>4410.1</w:t>
            </w:r>
            <w:r>
              <w:rPr>
                <w:rFonts w:hint="default" w:ascii="Times New Roman" w:hAnsi="Times New Roman" w:cs="Times New Roman"/>
                <w:color w:val="auto"/>
                <w:kern w:val="0"/>
                <w:sz w:val="24"/>
                <w:szCs w:val="24"/>
                <w:highlight w:val="none"/>
                <w:lang w:val="en-US" w:eastAsia="zh-CN" w:bidi="ar"/>
              </w:rPr>
              <w:t>m</w:t>
            </w:r>
            <w:r>
              <w:rPr>
                <w:rFonts w:hint="default" w:ascii="Times New Roman" w:hAnsi="Times New Roman" w:cs="Times New Roman"/>
                <w:color w:val="auto"/>
                <w:kern w:val="0"/>
                <w:sz w:val="24"/>
                <w:szCs w:val="24"/>
                <w:highlight w:val="none"/>
                <w:vertAlign w:val="superscript"/>
                <w:lang w:val="en-US" w:eastAsia="zh-CN" w:bidi="ar"/>
              </w:rPr>
              <w:t>3</w:t>
            </w:r>
            <w:r>
              <w:rPr>
                <w:rFonts w:hint="default" w:ascii="Times New Roman" w:hAnsi="Times New Roman" w:cs="Times New Roman"/>
                <w:color w:val="auto"/>
                <w:kern w:val="0"/>
                <w:sz w:val="24"/>
                <w:szCs w:val="24"/>
                <w:highlight w:val="none"/>
                <w:lang w:val="en-US" w:eastAsia="zh-CN" w:bidi="ar"/>
              </w:rPr>
              <w:t>/a</w:t>
            </w:r>
            <w:r>
              <w:rPr>
                <w:rFonts w:hint="eastAsia" w:cs="Times New Roman"/>
                <w:color w:val="auto"/>
                <w:kern w:val="0"/>
                <w:sz w:val="24"/>
                <w:szCs w:val="24"/>
                <w:highlight w:val="none"/>
                <w:lang w:val="en-US" w:eastAsia="zh-CN" w:bidi="ar"/>
              </w:rPr>
              <w:t>×2=8820.128</w:t>
            </w:r>
            <w:r>
              <w:rPr>
                <w:rFonts w:hint="default" w:ascii="Times New Roman" w:hAnsi="Times New Roman" w:cs="Times New Roman"/>
                <w:color w:val="auto"/>
                <w:kern w:val="0"/>
                <w:sz w:val="24"/>
                <w:szCs w:val="24"/>
                <w:highlight w:val="none"/>
                <w:lang w:val="en-US" w:eastAsia="zh-CN" w:bidi="ar"/>
              </w:rPr>
              <w:t>m</w:t>
            </w:r>
            <w:r>
              <w:rPr>
                <w:rFonts w:hint="default" w:ascii="Times New Roman" w:hAnsi="Times New Roman" w:cs="Times New Roman"/>
                <w:color w:val="auto"/>
                <w:kern w:val="0"/>
                <w:sz w:val="24"/>
                <w:szCs w:val="24"/>
                <w:highlight w:val="none"/>
                <w:vertAlign w:val="superscript"/>
                <w:lang w:val="en-US" w:eastAsia="zh-CN" w:bidi="ar"/>
              </w:rPr>
              <w:t>3</w:t>
            </w:r>
            <w:r>
              <w:rPr>
                <w:rFonts w:hint="default" w:ascii="Times New Roman" w:hAnsi="Times New Roman" w:cs="Times New Roman"/>
                <w:color w:val="auto"/>
                <w:kern w:val="0"/>
                <w:sz w:val="24"/>
                <w:szCs w:val="24"/>
                <w:highlight w:val="none"/>
                <w:lang w:val="en-US" w:eastAsia="zh-CN" w:bidi="ar"/>
              </w:rPr>
              <w:t>/a。</w:t>
            </w:r>
          </w:p>
        </w:tc>
      </w:tr>
    </w:tbl>
    <w:p w14:paraId="186D9CC2">
      <w:pPr>
        <w:pStyle w:val="45"/>
        <w:jc w:val="center"/>
        <w:rPr>
          <w:rFonts w:ascii="黑体" w:hAnsi="黑体" w:eastAsia="黑体"/>
          <w:snapToGrid w:val="0"/>
          <w:color w:val="auto"/>
          <w:sz w:val="36"/>
          <w:szCs w:val="36"/>
          <w:highlight w:val="none"/>
        </w:rPr>
        <w:sectPr>
          <w:pgSz w:w="11906" w:h="16838"/>
          <w:pgMar w:top="1644" w:right="1531" w:bottom="1587"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3335"/>
      </w:tblGrid>
      <w:tr w14:paraId="0B40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8" w:type="dxa"/>
            <w:noWrap w:val="0"/>
            <w:vAlign w:val="top"/>
          </w:tcPr>
          <w:p w14:paraId="363BBAE2">
            <w:pPr>
              <w:pStyle w:val="45"/>
              <w:jc w:val="center"/>
              <w:rPr>
                <w:rFonts w:ascii="黑体" w:hAnsi="黑体" w:eastAsia="黑体"/>
                <w:snapToGrid w:val="0"/>
                <w:color w:val="auto"/>
                <w:sz w:val="36"/>
                <w:szCs w:val="36"/>
                <w:highlight w:val="none"/>
                <w:vertAlign w:val="baseline"/>
              </w:rPr>
            </w:pPr>
          </w:p>
        </w:tc>
        <w:tc>
          <w:tcPr>
            <w:tcW w:w="13335" w:type="dxa"/>
            <w:noWrap w:val="0"/>
            <w:vAlign w:val="top"/>
          </w:tcPr>
          <w:p w14:paraId="6E035FA6">
            <w:pPr>
              <w:pStyle w:val="27"/>
              <w:keepNext w:val="0"/>
              <w:keepLines w:val="0"/>
              <w:pageBreakBefore w:val="0"/>
              <w:widowControl w:val="0"/>
              <w:suppressLineNumbers w:val="0"/>
              <w:kinsoku/>
              <w:wordWrap w:val="0"/>
              <w:overflowPunct w:val="0"/>
              <w:topLinePunct w:val="0"/>
              <w:autoSpaceDE/>
              <w:autoSpaceDN/>
              <w:bidi w:val="0"/>
              <w:adjustRightInd/>
              <w:snapToGrid/>
              <w:spacing w:before="0" w:beforeAutospacing="0" w:after="0" w:afterAutospacing="0" w:line="360" w:lineRule="auto"/>
              <w:ind w:left="0" w:leftChars="0" w:right="0" w:firstLine="482" w:firstLineChars="200"/>
              <w:textAlignment w:val="auto"/>
              <w:rPr>
                <w:rFonts w:hint="eastAsia" w:cs="Times New Roman"/>
                <w:color w:val="auto"/>
                <w:sz w:val="24"/>
                <w:szCs w:val="24"/>
                <w:highlight w:val="none"/>
                <w:lang w:val="en-US" w:eastAsia="zh-CN"/>
              </w:rPr>
            </w:pPr>
            <w:r>
              <w:rPr>
                <w:rFonts w:hint="eastAsia" w:cs="Times New Roman"/>
                <w:b/>
                <w:bCs/>
                <w:color w:val="auto"/>
                <w:sz w:val="24"/>
                <w:szCs w:val="24"/>
                <w:highlight w:val="none"/>
                <w:lang w:val="en-US" w:eastAsia="zh-CN"/>
              </w:rPr>
              <w:t>②单条前处理线</w:t>
            </w:r>
            <w:r>
              <w:rPr>
                <w:rFonts w:hint="default" w:ascii="Times New Roman" w:hAnsi="Times New Roman" w:cs="Times New Roman"/>
                <w:b/>
                <w:bCs/>
                <w:color w:val="auto"/>
                <w:sz w:val="24"/>
                <w:szCs w:val="24"/>
                <w:highlight w:val="none"/>
                <w:lang w:val="en-US" w:eastAsia="zh-CN"/>
              </w:rPr>
              <w:t>整槽更换用水、溢流用水</w:t>
            </w:r>
          </w:p>
          <w:p w14:paraId="13DDC4B6">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预</w:t>
            </w:r>
            <w:r>
              <w:rPr>
                <w:rFonts w:hint="eastAsia" w:ascii="Times New Roman" w:hAnsi="Times New Roman" w:cs="Times New Roman"/>
                <w:color w:val="auto"/>
                <w:sz w:val="24"/>
                <w:szCs w:val="24"/>
                <w:highlight w:val="none"/>
                <w:lang w:val="en-US" w:eastAsia="zh-CN"/>
              </w:rPr>
              <w:t>脱脂</w:t>
            </w:r>
            <w:r>
              <w:rPr>
                <w:rFonts w:hint="default" w:ascii="Times New Roman" w:hAnsi="Times New Roman" w:cs="Times New Roman"/>
                <w:color w:val="auto"/>
                <w:sz w:val="24"/>
                <w:szCs w:val="24"/>
                <w:highlight w:val="none"/>
                <w:lang w:val="en-US" w:eastAsia="zh-CN"/>
              </w:rPr>
              <w:t>池、</w:t>
            </w:r>
            <w:r>
              <w:rPr>
                <w:rFonts w:hint="eastAsia" w:ascii="Times New Roman" w:hAnsi="Times New Roman" w:cs="Times New Roman"/>
                <w:color w:val="auto"/>
                <w:sz w:val="24"/>
                <w:szCs w:val="24"/>
                <w:highlight w:val="none"/>
                <w:lang w:val="en-US" w:eastAsia="zh-CN"/>
              </w:rPr>
              <w:t>脱脂</w:t>
            </w:r>
            <w:r>
              <w:rPr>
                <w:rFonts w:hint="default" w:ascii="Times New Roman" w:hAnsi="Times New Roman" w:cs="Times New Roman"/>
                <w:color w:val="auto"/>
                <w:sz w:val="24"/>
                <w:szCs w:val="24"/>
                <w:highlight w:val="none"/>
                <w:lang w:val="en-US" w:eastAsia="zh-CN"/>
              </w:rPr>
              <w:t>池、水洗池</w:t>
            </w:r>
            <w:r>
              <w:rPr>
                <w:rFonts w:hint="eastAsia" w:cs="Times New Roman"/>
                <w:color w:val="auto"/>
                <w:sz w:val="24"/>
                <w:szCs w:val="24"/>
                <w:highlight w:val="none"/>
                <w:lang w:val="en-US" w:eastAsia="zh-CN"/>
              </w:rPr>
              <w:t>1#~3#、</w:t>
            </w:r>
            <w:r>
              <w:rPr>
                <w:rFonts w:hint="default" w:ascii="Times New Roman" w:hAnsi="Times New Roman" w:cs="Times New Roman"/>
                <w:color w:val="auto"/>
                <w:sz w:val="24"/>
                <w:szCs w:val="24"/>
                <w:highlight w:val="none"/>
                <w:lang w:val="en-US" w:eastAsia="zh-CN"/>
              </w:rPr>
              <w:t>无铬钝化池和</w:t>
            </w:r>
            <w:r>
              <w:rPr>
                <w:rFonts w:hint="eastAsia" w:ascii="Times New Roman" w:hAnsi="Times New Roman" w:cs="Times New Roman"/>
                <w:color w:val="auto"/>
                <w:sz w:val="24"/>
                <w:szCs w:val="24"/>
                <w:highlight w:val="none"/>
                <w:lang w:val="en-US" w:eastAsia="zh-CN"/>
              </w:rPr>
              <w:t>清水池</w:t>
            </w:r>
            <w:r>
              <w:rPr>
                <w:rFonts w:hint="default" w:ascii="Times New Roman" w:hAnsi="Times New Roman" w:cs="Times New Roman"/>
                <w:color w:val="auto"/>
                <w:sz w:val="24"/>
                <w:szCs w:val="24"/>
                <w:highlight w:val="none"/>
                <w:lang w:val="en-US" w:eastAsia="zh-CN"/>
              </w:rPr>
              <w:t>水</w:t>
            </w:r>
            <w:r>
              <w:rPr>
                <w:rFonts w:hint="eastAsia" w:cs="Times New Roman"/>
                <w:color w:val="auto"/>
                <w:sz w:val="24"/>
                <w:szCs w:val="24"/>
                <w:highlight w:val="none"/>
                <w:lang w:val="en-US" w:eastAsia="zh-CN"/>
              </w:rPr>
              <w:t>体</w:t>
            </w:r>
            <w:r>
              <w:rPr>
                <w:rFonts w:hint="default" w:ascii="Times New Roman" w:hAnsi="Times New Roman" w:cs="Times New Roman"/>
                <w:color w:val="auto"/>
                <w:sz w:val="24"/>
                <w:szCs w:val="24"/>
                <w:highlight w:val="none"/>
                <w:lang w:val="en-US" w:eastAsia="zh-CN"/>
              </w:rPr>
              <w:t>循环使用，并适当补充新鲜水</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药剂，定期整池更换。其中为了保证水洗的清洗效果，水洗池同时采用连续溢流的排水方式，其余的预</w:t>
            </w:r>
            <w:r>
              <w:rPr>
                <w:rFonts w:hint="eastAsia" w:ascii="Times New Roman" w:hAnsi="Times New Roman" w:cs="Times New Roman"/>
                <w:color w:val="auto"/>
                <w:sz w:val="24"/>
                <w:szCs w:val="24"/>
                <w:highlight w:val="none"/>
                <w:lang w:val="en-US" w:eastAsia="zh-CN"/>
              </w:rPr>
              <w:t>脱脂</w:t>
            </w:r>
            <w:r>
              <w:rPr>
                <w:rFonts w:hint="default" w:ascii="Times New Roman" w:hAnsi="Times New Roman" w:cs="Times New Roman"/>
                <w:color w:val="auto"/>
                <w:sz w:val="24"/>
                <w:szCs w:val="24"/>
                <w:highlight w:val="none"/>
                <w:lang w:val="en-US" w:eastAsia="zh-CN"/>
              </w:rPr>
              <w:t>池、</w:t>
            </w:r>
            <w:r>
              <w:rPr>
                <w:rFonts w:hint="eastAsia" w:ascii="Times New Roman" w:hAnsi="Times New Roman" w:cs="Times New Roman"/>
                <w:color w:val="auto"/>
                <w:sz w:val="24"/>
                <w:szCs w:val="24"/>
                <w:highlight w:val="none"/>
                <w:lang w:val="en-US" w:eastAsia="zh-CN"/>
              </w:rPr>
              <w:t>脱脂</w:t>
            </w:r>
            <w:r>
              <w:rPr>
                <w:rFonts w:hint="default" w:ascii="Times New Roman" w:hAnsi="Times New Roman" w:cs="Times New Roman"/>
                <w:color w:val="auto"/>
                <w:sz w:val="24"/>
                <w:szCs w:val="24"/>
                <w:highlight w:val="none"/>
                <w:lang w:val="en-US" w:eastAsia="zh-CN"/>
              </w:rPr>
              <w:t>池、无铬钝化池仅定期整池更换。</w:t>
            </w:r>
          </w:p>
          <w:p w14:paraId="065F4BC3">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color w:val="auto"/>
                <w:sz w:val="24"/>
                <w:szCs w:val="24"/>
                <w:highlight w:val="none"/>
              </w:rPr>
              <w:t>项目前处理整槽更换用水、溢流用水</w:t>
            </w:r>
            <w:r>
              <w:rPr>
                <w:rFonts w:hint="eastAsia" w:cs="Times New Roman"/>
                <w:color w:val="auto"/>
                <w:sz w:val="24"/>
                <w:szCs w:val="24"/>
                <w:highlight w:val="none"/>
                <w:lang w:val="en-US" w:eastAsia="zh-CN"/>
              </w:rPr>
              <w:t>量</w:t>
            </w:r>
            <w:r>
              <w:rPr>
                <w:rFonts w:hint="default" w:ascii="Times New Roman" w:hAnsi="Times New Roman" w:cs="Times New Roman"/>
                <w:color w:val="auto"/>
                <w:sz w:val="24"/>
                <w:szCs w:val="24"/>
                <w:highlight w:val="none"/>
              </w:rPr>
              <w:t>情况详见下表。</w:t>
            </w:r>
          </w:p>
          <w:p w14:paraId="65A6F88B">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单条前处理线</w:t>
            </w:r>
            <w:r>
              <w:rPr>
                <w:rFonts w:hint="default" w:ascii="Times New Roman" w:hAnsi="Times New Roman" w:eastAsia="宋体" w:cs="Times New Roman"/>
                <w:b/>
                <w:bCs/>
                <w:color w:val="auto"/>
                <w:sz w:val="21"/>
                <w:szCs w:val="21"/>
                <w:highlight w:val="none"/>
                <w:lang w:val="en-US" w:eastAsia="zh-CN"/>
              </w:rPr>
              <w:t>整槽更换</w:t>
            </w:r>
            <w:r>
              <w:rPr>
                <w:rFonts w:hint="eastAsia" w:ascii="Times New Roman" w:hAnsi="Times New Roman" w:eastAsia="宋体" w:cs="Times New Roman"/>
                <w:b/>
                <w:bCs/>
                <w:color w:val="auto"/>
                <w:sz w:val="21"/>
                <w:szCs w:val="21"/>
                <w:highlight w:val="none"/>
                <w:lang w:val="en-US" w:eastAsia="zh-CN"/>
              </w:rPr>
              <w:t>用</w:t>
            </w:r>
            <w:r>
              <w:rPr>
                <w:rFonts w:hint="default" w:ascii="Times New Roman" w:hAnsi="Times New Roman" w:eastAsia="宋体" w:cs="Times New Roman"/>
                <w:b/>
                <w:bCs/>
                <w:color w:val="auto"/>
                <w:sz w:val="21"/>
                <w:szCs w:val="21"/>
                <w:highlight w:val="none"/>
                <w:lang w:val="en-US" w:eastAsia="zh-CN"/>
              </w:rPr>
              <w:t>水和溢流</w:t>
            </w:r>
            <w:r>
              <w:rPr>
                <w:rFonts w:hint="eastAsia" w:ascii="Times New Roman" w:hAnsi="Times New Roman" w:eastAsia="宋体" w:cs="Times New Roman"/>
                <w:b/>
                <w:bCs/>
                <w:color w:val="auto"/>
                <w:sz w:val="21"/>
                <w:szCs w:val="21"/>
                <w:highlight w:val="none"/>
                <w:lang w:val="en-US" w:eastAsia="zh-CN"/>
              </w:rPr>
              <w:t>用</w:t>
            </w:r>
            <w:r>
              <w:rPr>
                <w:rFonts w:hint="default" w:ascii="Times New Roman" w:hAnsi="Times New Roman" w:eastAsia="宋体" w:cs="Times New Roman"/>
                <w:b/>
                <w:bCs/>
                <w:color w:val="auto"/>
                <w:sz w:val="21"/>
                <w:szCs w:val="21"/>
                <w:highlight w:val="none"/>
                <w:lang w:val="en-US" w:eastAsia="zh-CN"/>
              </w:rPr>
              <w:t>水一览表 单位t/a</w:t>
            </w:r>
          </w:p>
          <w:tbl>
            <w:tblPr>
              <w:tblStyle w:val="48"/>
              <w:tblW w:w="130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991"/>
              <w:gridCol w:w="623"/>
              <w:gridCol w:w="509"/>
              <w:gridCol w:w="416"/>
              <w:gridCol w:w="417"/>
              <w:gridCol w:w="1036"/>
              <w:gridCol w:w="683"/>
              <w:gridCol w:w="623"/>
              <w:gridCol w:w="1025"/>
              <w:gridCol w:w="991"/>
              <w:gridCol w:w="870"/>
              <w:gridCol w:w="1560"/>
              <w:gridCol w:w="1088"/>
              <w:gridCol w:w="918"/>
              <w:gridCol w:w="918"/>
            </w:tblGrid>
            <w:tr w14:paraId="6BEA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47" w:type="pct"/>
                  <w:vMerge w:val="restart"/>
                  <w:noWrap w:val="0"/>
                  <w:vAlign w:val="center"/>
                </w:tcPr>
                <w:p w14:paraId="196166E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名称</w:t>
                  </w:r>
                </w:p>
              </w:tc>
              <w:tc>
                <w:tcPr>
                  <w:tcW w:w="379" w:type="pct"/>
                  <w:vMerge w:val="restart"/>
                  <w:noWrap w:val="0"/>
                  <w:vAlign w:val="center"/>
                </w:tcPr>
                <w:p w14:paraId="422BCE9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槽体名称</w:t>
                  </w:r>
                </w:p>
              </w:tc>
              <w:tc>
                <w:tcPr>
                  <w:tcW w:w="238" w:type="pct"/>
                  <w:vMerge w:val="restart"/>
                  <w:noWrap w:val="0"/>
                  <w:vAlign w:val="center"/>
                </w:tcPr>
                <w:p w14:paraId="6E44D94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数量</w:t>
                  </w:r>
                  <w:r>
                    <w:rPr>
                      <w:rFonts w:hint="default" w:ascii="Times New Roman" w:hAnsi="Times New Roman" w:eastAsia="宋体" w:cs="Times New Roman"/>
                      <w:b/>
                      <w:bCs/>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b/>
                      <w:bCs/>
                      <w:i w:val="0"/>
                      <w:iCs w:val="0"/>
                      <w:color w:val="auto"/>
                      <w:kern w:val="0"/>
                      <w:sz w:val="21"/>
                      <w:szCs w:val="21"/>
                      <w:highlight w:val="none"/>
                      <w:u w:val="none"/>
                      <w:lang w:val="en-US" w:eastAsia="zh-CN" w:bidi="ar"/>
                    </w:rPr>
                    <w:t>(个)</w:t>
                  </w:r>
                </w:p>
              </w:tc>
              <w:tc>
                <w:tcPr>
                  <w:tcW w:w="514" w:type="pct"/>
                  <w:gridSpan w:val="3"/>
                  <w:noWrap w:val="0"/>
                  <w:vAlign w:val="center"/>
                </w:tcPr>
                <w:p w14:paraId="0FCF19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尺寸（m）</w:t>
                  </w:r>
                </w:p>
              </w:tc>
              <w:tc>
                <w:tcPr>
                  <w:tcW w:w="396" w:type="pct"/>
                  <w:vMerge w:val="restart"/>
                  <w:noWrap w:val="0"/>
                  <w:vAlign w:val="center"/>
                </w:tcPr>
                <w:p w14:paraId="7B0A0A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添加药剂名称</w:t>
                  </w:r>
                </w:p>
              </w:tc>
              <w:tc>
                <w:tcPr>
                  <w:tcW w:w="261" w:type="pct"/>
                  <w:vMerge w:val="restart"/>
                  <w:noWrap w:val="0"/>
                  <w:vAlign w:val="center"/>
                </w:tcPr>
                <w:p w14:paraId="4146AA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槽液量(m³)</w:t>
                  </w:r>
                </w:p>
              </w:tc>
              <w:tc>
                <w:tcPr>
                  <w:tcW w:w="238" w:type="pct"/>
                  <w:vMerge w:val="restart"/>
                  <w:noWrap w:val="0"/>
                  <w:vAlign w:val="center"/>
                </w:tcPr>
                <w:p w14:paraId="08D0CF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温度(℃)</w:t>
                  </w:r>
                </w:p>
              </w:tc>
              <w:tc>
                <w:tcPr>
                  <w:tcW w:w="772" w:type="pct"/>
                  <w:gridSpan w:val="2"/>
                  <w:noWrap w:val="0"/>
                  <w:vAlign w:val="center"/>
                </w:tcPr>
                <w:p w14:paraId="71451E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eastAsia" w:cs="Times New Roman"/>
                      <w:b/>
                      <w:bCs/>
                      <w:i w:val="0"/>
                      <w:iCs w:val="0"/>
                      <w:color w:val="auto"/>
                      <w:sz w:val="21"/>
                      <w:szCs w:val="21"/>
                      <w:highlight w:val="none"/>
                      <w:u w:val="none"/>
                      <w:lang w:val="en-US" w:eastAsia="zh-CN"/>
                    </w:rPr>
                    <w:t>设计参数</w:t>
                  </w:r>
                </w:p>
              </w:tc>
              <w:tc>
                <w:tcPr>
                  <w:tcW w:w="333" w:type="pct"/>
                  <w:vMerge w:val="restart"/>
                  <w:noWrap w:val="0"/>
                  <w:vAlign w:val="center"/>
                </w:tcPr>
                <w:p w14:paraId="14B377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排水方式</w:t>
                  </w:r>
                </w:p>
              </w:tc>
              <w:tc>
                <w:tcPr>
                  <w:tcW w:w="597" w:type="pct"/>
                  <w:vMerge w:val="restart"/>
                  <w:noWrap w:val="0"/>
                  <w:vAlign w:val="center"/>
                </w:tcPr>
                <w:p w14:paraId="2E9A81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更换频率</w:t>
                  </w:r>
                </w:p>
              </w:tc>
              <w:tc>
                <w:tcPr>
                  <w:tcW w:w="416" w:type="pct"/>
                  <w:vMerge w:val="restart"/>
                  <w:noWrap w:val="0"/>
                  <w:vAlign w:val="center"/>
                </w:tcPr>
                <w:p w14:paraId="4B1A10C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整槽更换用水量(m³/a)</w:t>
                  </w:r>
                </w:p>
              </w:tc>
              <w:tc>
                <w:tcPr>
                  <w:tcW w:w="351" w:type="pct"/>
                  <w:vMerge w:val="restart"/>
                  <w:noWrap w:val="0"/>
                  <w:vAlign w:val="center"/>
                </w:tcPr>
                <w:p w14:paraId="7C4140A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溢流</w:t>
                  </w:r>
                  <w:r>
                    <w:rPr>
                      <w:rFonts w:hint="eastAsia" w:cs="Times New Roman"/>
                      <w:b/>
                      <w:bCs/>
                      <w:i w:val="0"/>
                      <w:iCs w:val="0"/>
                      <w:color w:val="auto"/>
                      <w:kern w:val="0"/>
                      <w:sz w:val="21"/>
                      <w:szCs w:val="21"/>
                      <w:highlight w:val="none"/>
                      <w:u w:val="none"/>
                      <w:lang w:val="en-US" w:eastAsia="zh-CN" w:bidi="ar"/>
                    </w:rPr>
                    <w:t>用</w:t>
                  </w:r>
                  <w:r>
                    <w:rPr>
                      <w:rFonts w:hint="default" w:ascii="Times New Roman" w:hAnsi="Times New Roman" w:eastAsia="宋体" w:cs="Times New Roman"/>
                      <w:b/>
                      <w:bCs/>
                      <w:i w:val="0"/>
                      <w:iCs w:val="0"/>
                      <w:color w:val="auto"/>
                      <w:kern w:val="0"/>
                      <w:sz w:val="21"/>
                      <w:szCs w:val="21"/>
                      <w:highlight w:val="none"/>
                      <w:u w:val="none"/>
                      <w:lang w:val="en-US" w:eastAsia="zh-CN" w:bidi="ar"/>
                    </w:rPr>
                    <w:t>水量(m³/</w:t>
                  </w:r>
                  <w:r>
                    <w:rPr>
                      <w:rFonts w:hint="eastAsia" w:cs="Times New Roman"/>
                      <w:b/>
                      <w:bCs/>
                      <w:i w:val="0"/>
                      <w:iCs w:val="0"/>
                      <w:color w:val="auto"/>
                      <w:kern w:val="0"/>
                      <w:sz w:val="21"/>
                      <w:szCs w:val="21"/>
                      <w:highlight w:val="none"/>
                      <w:u w:val="none"/>
                      <w:lang w:val="en-US" w:eastAsia="zh-CN" w:bidi="ar"/>
                    </w:rPr>
                    <w:t>a</w:t>
                  </w: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c>
                <w:tcPr>
                  <w:tcW w:w="351" w:type="pct"/>
                  <w:vMerge w:val="restart"/>
                  <w:noWrap w:val="0"/>
                  <w:vAlign w:val="center"/>
                </w:tcPr>
                <w:p w14:paraId="3E3A9A0F">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溢流排水量(m³/a)</w:t>
                  </w:r>
                </w:p>
              </w:tc>
            </w:tr>
            <w:tr w14:paraId="1F2A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2A120EE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379" w:type="pct"/>
                  <w:vMerge w:val="continue"/>
                  <w:noWrap w:val="0"/>
                  <w:vAlign w:val="center"/>
                </w:tcPr>
                <w:p w14:paraId="3CD9A9E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238" w:type="pct"/>
                  <w:vMerge w:val="continue"/>
                  <w:noWrap w:val="0"/>
                  <w:vAlign w:val="center"/>
                </w:tcPr>
                <w:p w14:paraId="583FF4A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194" w:type="pct"/>
                  <w:noWrap w:val="0"/>
                  <w:vAlign w:val="center"/>
                </w:tcPr>
                <w:p w14:paraId="2A02105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长</w:t>
                  </w:r>
                </w:p>
              </w:tc>
              <w:tc>
                <w:tcPr>
                  <w:tcW w:w="159" w:type="pct"/>
                  <w:noWrap w:val="0"/>
                  <w:vAlign w:val="center"/>
                </w:tcPr>
                <w:p w14:paraId="37BFC54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宽</w:t>
                  </w:r>
                </w:p>
              </w:tc>
              <w:tc>
                <w:tcPr>
                  <w:tcW w:w="159" w:type="pct"/>
                  <w:noWrap w:val="0"/>
                  <w:vAlign w:val="center"/>
                </w:tcPr>
                <w:p w14:paraId="5D94E3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深</w:t>
                  </w:r>
                </w:p>
              </w:tc>
              <w:tc>
                <w:tcPr>
                  <w:tcW w:w="396" w:type="pct"/>
                  <w:vMerge w:val="continue"/>
                  <w:noWrap w:val="0"/>
                  <w:vAlign w:val="center"/>
                </w:tcPr>
                <w:p w14:paraId="7C62157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261" w:type="pct"/>
                  <w:vMerge w:val="continue"/>
                  <w:noWrap w:val="0"/>
                  <w:vAlign w:val="center"/>
                </w:tcPr>
                <w:p w14:paraId="6342C8A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238" w:type="pct"/>
                  <w:vMerge w:val="continue"/>
                  <w:noWrap w:val="0"/>
                  <w:vAlign w:val="center"/>
                </w:tcPr>
                <w:p w14:paraId="58B060D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392" w:type="pct"/>
                  <w:noWrap w:val="0"/>
                  <w:vAlign w:val="center"/>
                </w:tcPr>
                <w:p w14:paraId="1E67B19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溢流速度(L/min)</w:t>
                  </w:r>
                </w:p>
              </w:tc>
              <w:tc>
                <w:tcPr>
                  <w:tcW w:w="379" w:type="pct"/>
                  <w:noWrap w:val="0"/>
                  <w:vAlign w:val="center"/>
                </w:tcPr>
                <w:p w14:paraId="532619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溢流用水量(m³/d)</w:t>
                  </w:r>
                </w:p>
              </w:tc>
              <w:tc>
                <w:tcPr>
                  <w:tcW w:w="333" w:type="pct"/>
                  <w:vMerge w:val="continue"/>
                  <w:noWrap w:val="0"/>
                  <w:vAlign w:val="center"/>
                </w:tcPr>
                <w:p w14:paraId="7A9B10D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597" w:type="pct"/>
                  <w:vMerge w:val="continue"/>
                  <w:noWrap w:val="0"/>
                  <w:vAlign w:val="center"/>
                </w:tcPr>
                <w:p w14:paraId="5550A40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416" w:type="pct"/>
                  <w:vMerge w:val="continue"/>
                  <w:noWrap w:val="0"/>
                  <w:vAlign w:val="center"/>
                </w:tcPr>
                <w:p w14:paraId="1A37DEF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351" w:type="pct"/>
                  <w:vMerge w:val="continue"/>
                  <w:noWrap w:val="0"/>
                  <w:vAlign w:val="center"/>
                </w:tcPr>
                <w:p w14:paraId="1FEE1DF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351" w:type="pct"/>
                  <w:vMerge w:val="continue"/>
                  <w:noWrap w:val="0"/>
                  <w:vAlign w:val="center"/>
                </w:tcPr>
                <w:p w14:paraId="71BB2C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r>
            <w:tr w14:paraId="083C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restart"/>
                  <w:noWrap w:val="0"/>
                  <w:vAlign w:val="center"/>
                </w:tcPr>
                <w:p w14:paraId="423DD8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工件表面预处理</w:t>
                  </w:r>
                  <w:r>
                    <w:rPr>
                      <w:rFonts w:hint="default" w:ascii="Times New Roman" w:hAnsi="Times New Roman" w:eastAsia="宋体" w:cs="Times New Roman"/>
                      <w:i w:val="0"/>
                      <w:iCs w:val="0"/>
                      <w:color w:val="auto"/>
                      <w:kern w:val="0"/>
                      <w:sz w:val="21"/>
                      <w:szCs w:val="21"/>
                      <w:highlight w:val="none"/>
                      <w:u w:val="none"/>
                      <w:lang w:val="en-US" w:eastAsia="zh-CN" w:bidi="ar"/>
                    </w:rPr>
                    <w:t>线</w:t>
                  </w:r>
                </w:p>
              </w:tc>
              <w:tc>
                <w:tcPr>
                  <w:tcW w:w="379" w:type="pct"/>
                  <w:noWrap w:val="0"/>
                  <w:vAlign w:val="center"/>
                </w:tcPr>
                <w:p w14:paraId="78DF6E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rPr>
                    <w:t>预</w:t>
                  </w:r>
                  <w:r>
                    <w:rPr>
                      <w:rFonts w:hint="default" w:ascii="Times New Roman" w:hAnsi="Times New Roman" w:eastAsia="宋体" w:cs="Times New Roman"/>
                      <w:color w:val="auto"/>
                      <w:sz w:val="21"/>
                      <w:szCs w:val="21"/>
                      <w:highlight w:val="none"/>
                      <w:lang w:val="en-US" w:eastAsia="zh-CN"/>
                    </w:rPr>
                    <w:t>水洗</w:t>
                  </w:r>
                  <w:r>
                    <w:rPr>
                      <w:rFonts w:hint="default" w:ascii="Times New Roman" w:hAnsi="Times New Roman" w:eastAsia="宋体" w:cs="Times New Roman"/>
                      <w:color w:val="auto"/>
                      <w:sz w:val="21"/>
                      <w:szCs w:val="21"/>
                      <w:highlight w:val="none"/>
                    </w:rPr>
                    <w:t>池</w:t>
                  </w:r>
                </w:p>
              </w:tc>
              <w:tc>
                <w:tcPr>
                  <w:tcW w:w="238" w:type="pct"/>
                  <w:noWrap w:val="0"/>
                  <w:vAlign w:val="center"/>
                </w:tcPr>
                <w:p w14:paraId="709C020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3ED9BACB">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eastAsia" w:cs="Times New Roman"/>
                      <w:color w:val="auto"/>
                      <w:kern w:val="0"/>
                      <w:sz w:val="21"/>
                      <w:szCs w:val="21"/>
                      <w:highlight w:val="none"/>
                      <w:lang w:val="en-US" w:eastAsia="zh-CN" w:bidi="ar"/>
                    </w:rPr>
                    <w:t>2</w:t>
                  </w:r>
                </w:p>
              </w:tc>
              <w:tc>
                <w:tcPr>
                  <w:tcW w:w="159" w:type="pct"/>
                  <w:noWrap w:val="0"/>
                  <w:vAlign w:val="center"/>
                </w:tcPr>
                <w:p w14:paraId="5FD0A362">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2AEA2CC5">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3C43D9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noWrap w:val="0"/>
                  <w:vAlign w:val="center"/>
                </w:tcPr>
                <w:p w14:paraId="2B9C79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238" w:type="pct"/>
                  <w:noWrap w:val="0"/>
                  <w:vAlign w:val="center"/>
                </w:tcPr>
                <w:p w14:paraId="4E67677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常温</w:t>
                  </w:r>
                </w:p>
              </w:tc>
              <w:tc>
                <w:tcPr>
                  <w:tcW w:w="392" w:type="pct"/>
                  <w:noWrap w:val="0"/>
                  <w:vAlign w:val="center"/>
                </w:tcPr>
                <w:p w14:paraId="4E2891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379" w:type="pct"/>
                  <w:noWrap w:val="0"/>
                  <w:vAlign w:val="center"/>
                </w:tcPr>
                <w:p w14:paraId="5E11BE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333" w:type="pct"/>
                  <w:noWrap w:val="0"/>
                  <w:vAlign w:val="center"/>
                </w:tcPr>
                <w:p w14:paraId="7B7BE7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连续溢流</w:t>
                  </w:r>
                </w:p>
              </w:tc>
              <w:tc>
                <w:tcPr>
                  <w:tcW w:w="597" w:type="pct"/>
                  <w:noWrap w:val="0"/>
                  <w:vAlign w:val="center"/>
                </w:tcPr>
                <w:p w14:paraId="418FBD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整槽更换槽液，每月一次</w:t>
                  </w:r>
                </w:p>
              </w:tc>
              <w:tc>
                <w:tcPr>
                  <w:tcW w:w="416" w:type="pct"/>
                  <w:noWrap/>
                  <w:vAlign w:val="center"/>
                </w:tcPr>
                <w:p w14:paraId="388180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38.4</w:t>
                  </w:r>
                </w:p>
              </w:tc>
              <w:tc>
                <w:tcPr>
                  <w:tcW w:w="351" w:type="pct"/>
                  <w:noWrap w:val="0"/>
                  <w:vAlign w:val="center"/>
                </w:tcPr>
                <w:p w14:paraId="1A96C0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1735.2</w:t>
                  </w:r>
                </w:p>
              </w:tc>
              <w:tc>
                <w:tcPr>
                  <w:tcW w:w="918" w:type="dxa"/>
                  <w:noWrap w:val="0"/>
                  <w:vAlign w:val="center"/>
                </w:tcPr>
                <w:p w14:paraId="45B578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1735.2</w:t>
                  </w:r>
                </w:p>
              </w:tc>
            </w:tr>
            <w:tr w14:paraId="7CD1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6ED998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7CC45B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val="en-US" w:eastAsia="zh-CN" w:bidi="ar"/>
                    </w:rPr>
                    <w:t>预脱脂</w:t>
                  </w:r>
                  <w:r>
                    <w:rPr>
                      <w:rFonts w:hint="default" w:ascii="Times New Roman" w:hAnsi="Times New Roman" w:eastAsia="宋体" w:cs="Times New Roman"/>
                      <w:color w:val="auto"/>
                      <w:sz w:val="21"/>
                      <w:szCs w:val="21"/>
                      <w:highlight w:val="none"/>
                      <w:lang w:bidi="ar"/>
                    </w:rPr>
                    <w:t>池</w:t>
                  </w:r>
                </w:p>
              </w:tc>
              <w:tc>
                <w:tcPr>
                  <w:tcW w:w="238" w:type="pct"/>
                  <w:noWrap w:val="0"/>
                  <w:vAlign w:val="center"/>
                </w:tcPr>
                <w:p w14:paraId="12ED8EF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7F83A796">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eastAsia" w:cs="Times New Roman"/>
                      <w:color w:val="auto"/>
                      <w:kern w:val="0"/>
                      <w:sz w:val="21"/>
                      <w:szCs w:val="21"/>
                      <w:highlight w:val="none"/>
                      <w:lang w:val="en-US" w:eastAsia="zh-CN" w:bidi="ar"/>
                    </w:rPr>
                    <w:t>7</w:t>
                  </w:r>
                </w:p>
              </w:tc>
              <w:tc>
                <w:tcPr>
                  <w:tcW w:w="159" w:type="pct"/>
                  <w:noWrap w:val="0"/>
                  <w:vAlign w:val="center"/>
                </w:tcPr>
                <w:p w14:paraId="3090435C">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6FB44B15">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006CFC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除油</w:t>
                  </w:r>
                  <w:r>
                    <w:rPr>
                      <w:rFonts w:hint="default" w:ascii="Times New Roman" w:hAnsi="Times New Roman" w:eastAsia="宋体" w:cs="Times New Roman"/>
                      <w:i w:val="0"/>
                      <w:iCs w:val="0"/>
                      <w:color w:val="auto"/>
                      <w:kern w:val="0"/>
                      <w:sz w:val="21"/>
                      <w:szCs w:val="21"/>
                      <w:highlight w:val="none"/>
                      <w:u w:val="none"/>
                      <w:lang w:val="en-US" w:eastAsia="zh-CN" w:bidi="ar"/>
                    </w:rPr>
                    <w:t>剂</w:t>
                  </w:r>
                </w:p>
              </w:tc>
              <w:tc>
                <w:tcPr>
                  <w:tcW w:w="261" w:type="pct"/>
                  <w:noWrap w:val="0"/>
                  <w:vAlign w:val="center"/>
                </w:tcPr>
                <w:p w14:paraId="39840E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238" w:type="pct"/>
                  <w:noWrap w:val="0"/>
                  <w:vAlign w:val="center"/>
                </w:tcPr>
                <w:p w14:paraId="4FE418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常温</w:t>
                  </w:r>
                </w:p>
              </w:tc>
              <w:tc>
                <w:tcPr>
                  <w:tcW w:w="392" w:type="pct"/>
                  <w:noWrap w:val="0"/>
                  <w:vAlign w:val="center"/>
                </w:tcPr>
                <w:p w14:paraId="4F40EB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79" w:type="pct"/>
                  <w:noWrap w:val="0"/>
                  <w:vAlign w:val="center"/>
                </w:tcPr>
                <w:p w14:paraId="303F95C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33" w:type="pct"/>
                  <w:noWrap w:val="0"/>
                  <w:vAlign w:val="center"/>
                </w:tcPr>
                <w:p w14:paraId="32E4BD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597" w:type="pct"/>
                  <w:noWrap w:val="0"/>
                  <w:vAlign w:val="center"/>
                </w:tcPr>
                <w:p w14:paraId="3D6B145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整槽更换槽液，每季度一次</w:t>
                  </w:r>
                </w:p>
              </w:tc>
              <w:tc>
                <w:tcPr>
                  <w:tcW w:w="416" w:type="pct"/>
                  <w:noWrap/>
                  <w:vAlign w:val="center"/>
                </w:tcPr>
                <w:p w14:paraId="266F50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44.8</w:t>
                  </w:r>
                </w:p>
              </w:tc>
              <w:tc>
                <w:tcPr>
                  <w:tcW w:w="351" w:type="pct"/>
                  <w:noWrap w:val="0"/>
                  <w:vAlign w:val="center"/>
                </w:tcPr>
                <w:p w14:paraId="390A932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18" w:type="dxa"/>
                  <w:noWrap w:val="0"/>
                  <w:vAlign w:val="center"/>
                </w:tcPr>
                <w:p w14:paraId="253B56E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69A24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0E8C4EE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26C7D3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val="en-US" w:eastAsia="zh-CN" w:bidi="ar"/>
                    </w:rPr>
                    <w:t>脱脂</w:t>
                  </w:r>
                  <w:r>
                    <w:rPr>
                      <w:rFonts w:hint="default" w:ascii="Times New Roman" w:hAnsi="Times New Roman" w:eastAsia="宋体" w:cs="Times New Roman"/>
                      <w:color w:val="auto"/>
                      <w:sz w:val="21"/>
                      <w:szCs w:val="21"/>
                      <w:highlight w:val="none"/>
                      <w:lang w:bidi="ar"/>
                    </w:rPr>
                    <w:t>池</w:t>
                  </w:r>
                </w:p>
              </w:tc>
              <w:tc>
                <w:tcPr>
                  <w:tcW w:w="238" w:type="pct"/>
                  <w:noWrap w:val="0"/>
                  <w:vAlign w:val="center"/>
                </w:tcPr>
                <w:p w14:paraId="452BFE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01F641E2">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color w:val="auto"/>
                      <w:kern w:val="0"/>
                      <w:sz w:val="21"/>
                      <w:szCs w:val="21"/>
                      <w:highlight w:val="none"/>
                      <w:lang w:val="en-US" w:eastAsia="zh-CN" w:bidi="ar"/>
                    </w:rPr>
                    <w:t>7</w:t>
                  </w:r>
                </w:p>
              </w:tc>
              <w:tc>
                <w:tcPr>
                  <w:tcW w:w="159" w:type="pct"/>
                  <w:noWrap w:val="0"/>
                  <w:vAlign w:val="center"/>
                </w:tcPr>
                <w:p w14:paraId="05590B11">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2448C401">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4766F6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除油</w:t>
                  </w:r>
                  <w:r>
                    <w:rPr>
                      <w:rFonts w:hint="default" w:ascii="Times New Roman" w:hAnsi="Times New Roman" w:eastAsia="宋体" w:cs="Times New Roman"/>
                      <w:i w:val="0"/>
                      <w:iCs w:val="0"/>
                      <w:color w:val="auto"/>
                      <w:kern w:val="0"/>
                      <w:sz w:val="21"/>
                      <w:szCs w:val="21"/>
                      <w:highlight w:val="none"/>
                      <w:u w:val="none"/>
                      <w:lang w:val="en-US" w:eastAsia="zh-CN" w:bidi="ar"/>
                    </w:rPr>
                    <w:t>剂</w:t>
                  </w:r>
                </w:p>
              </w:tc>
              <w:tc>
                <w:tcPr>
                  <w:tcW w:w="261" w:type="pct"/>
                  <w:noWrap w:val="0"/>
                  <w:vAlign w:val="center"/>
                </w:tcPr>
                <w:p w14:paraId="5F26B5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238" w:type="pct"/>
                  <w:noWrap w:val="0"/>
                  <w:vAlign w:val="center"/>
                </w:tcPr>
                <w:p w14:paraId="49FF06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常温</w:t>
                  </w:r>
                </w:p>
              </w:tc>
              <w:tc>
                <w:tcPr>
                  <w:tcW w:w="392" w:type="pct"/>
                  <w:noWrap w:val="0"/>
                  <w:vAlign w:val="center"/>
                </w:tcPr>
                <w:p w14:paraId="6548FC2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79" w:type="pct"/>
                  <w:noWrap w:val="0"/>
                  <w:vAlign w:val="center"/>
                </w:tcPr>
                <w:p w14:paraId="383E1E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33" w:type="pct"/>
                  <w:noWrap w:val="0"/>
                  <w:vAlign w:val="center"/>
                </w:tcPr>
                <w:p w14:paraId="38FCC83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597" w:type="pct"/>
                  <w:noWrap w:val="0"/>
                  <w:vAlign w:val="center"/>
                </w:tcPr>
                <w:p w14:paraId="2289E6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整槽更换槽液，每季度一次</w:t>
                  </w:r>
                </w:p>
              </w:tc>
              <w:tc>
                <w:tcPr>
                  <w:tcW w:w="416" w:type="pct"/>
                  <w:noWrap/>
                  <w:vAlign w:val="center"/>
                </w:tcPr>
                <w:p w14:paraId="6E71DD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44.8</w:t>
                  </w:r>
                </w:p>
              </w:tc>
              <w:tc>
                <w:tcPr>
                  <w:tcW w:w="351" w:type="pct"/>
                  <w:noWrap w:val="0"/>
                  <w:vAlign w:val="center"/>
                </w:tcPr>
                <w:p w14:paraId="381200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18" w:type="dxa"/>
                  <w:noWrap w:val="0"/>
                  <w:vAlign w:val="center"/>
                </w:tcPr>
                <w:p w14:paraId="5217578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67E1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3C16C7D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7AF61A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bidi="ar"/>
                    </w:rPr>
                    <w:t>1</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238" w:type="pct"/>
                  <w:noWrap w:val="0"/>
                  <w:vAlign w:val="center"/>
                </w:tcPr>
                <w:p w14:paraId="0B15CA6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71DD4A3A">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cs="Times New Roman"/>
                      <w:color w:val="auto"/>
                      <w:kern w:val="0"/>
                      <w:sz w:val="21"/>
                      <w:szCs w:val="21"/>
                      <w:highlight w:val="none"/>
                      <w:lang w:val="en-US" w:eastAsia="zh-CN" w:bidi="ar"/>
                    </w:rPr>
                    <w:t>.5</w:t>
                  </w:r>
                </w:p>
              </w:tc>
              <w:tc>
                <w:tcPr>
                  <w:tcW w:w="159" w:type="pct"/>
                  <w:noWrap w:val="0"/>
                  <w:vAlign w:val="center"/>
                </w:tcPr>
                <w:p w14:paraId="4DE54437">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7FF71986">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408315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noWrap w:val="0"/>
                  <w:vAlign w:val="center"/>
                </w:tcPr>
                <w:p w14:paraId="4C0EFE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238" w:type="pct"/>
                  <w:noWrap w:val="0"/>
                  <w:vAlign w:val="center"/>
                </w:tcPr>
                <w:p w14:paraId="3E6188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常温</w:t>
                  </w:r>
                </w:p>
              </w:tc>
              <w:tc>
                <w:tcPr>
                  <w:tcW w:w="392" w:type="pct"/>
                  <w:noWrap w:val="0"/>
                  <w:vAlign w:val="center"/>
                </w:tcPr>
                <w:p w14:paraId="389674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379" w:type="pct"/>
                  <w:noWrap w:val="0"/>
                  <w:vAlign w:val="center"/>
                </w:tcPr>
                <w:p w14:paraId="386A4FA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333" w:type="pct"/>
                  <w:noWrap w:val="0"/>
                  <w:vAlign w:val="center"/>
                </w:tcPr>
                <w:p w14:paraId="47B95E6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连续溢流</w:t>
                  </w:r>
                </w:p>
              </w:tc>
              <w:tc>
                <w:tcPr>
                  <w:tcW w:w="597" w:type="pct"/>
                  <w:noWrap w:val="0"/>
                  <w:vAlign w:val="center"/>
                </w:tcPr>
                <w:p w14:paraId="22DFEE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整槽更换槽液，每月一次</w:t>
                  </w:r>
                </w:p>
              </w:tc>
              <w:tc>
                <w:tcPr>
                  <w:tcW w:w="416" w:type="pct"/>
                  <w:noWrap/>
                  <w:vAlign w:val="center"/>
                </w:tcPr>
                <w:p w14:paraId="3698F26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67.2</w:t>
                  </w:r>
                </w:p>
              </w:tc>
              <w:tc>
                <w:tcPr>
                  <w:tcW w:w="351" w:type="pct"/>
                  <w:noWrap w:val="0"/>
                  <w:vAlign w:val="center"/>
                </w:tcPr>
                <w:p w14:paraId="1A4D52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1735.2</w:t>
                  </w:r>
                </w:p>
              </w:tc>
              <w:tc>
                <w:tcPr>
                  <w:tcW w:w="918" w:type="dxa"/>
                  <w:noWrap w:val="0"/>
                  <w:vAlign w:val="center"/>
                </w:tcPr>
                <w:p w14:paraId="7346B6F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1735.2</w:t>
                  </w:r>
                </w:p>
              </w:tc>
            </w:tr>
            <w:tr w14:paraId="30D5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6D026A5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69E95F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bidi="ar"/>
                    </w:rPr>
                    <w:t>2</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238" w:type="pct"/>
                  <w:noWrap w:val="0"/>
                  <w:vAlign w:val="center"/>
                </w:tcPr>
                <w:p w14:paraId="701CC0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57C4E68E">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3</w:t>
                  </w:r>
                  <w:r>
                    <w:rPr>
                      <w:rFonts w:hint="eastAsia" w:cs="Times New Roman"/>
                      <w:color w:val="auto"/>
                      <w:kern w:val="0"/>
                      <w:sz w:val="21"/>
                      <w:szCs w:val="21"/>
                      <w:highlight w:val="none"/>
                      <w:lang w:val="en-US" w:eastAsia="zh-CN" w:bidi="ar"/>
                    </w:rPr>
                    <w:t>.5</w:t>
                  </w:r>
                </w:p>
              </w:tc>
              <w:tc>
                <w:tcPr>
                  <w:tcW w:w="159" w:type="pct"/>
                  <w:noWrap w:val="0"/>
                  <w:vAlign w:val="center"/>
                </w:tcPr>
                <w:p w14:paraId="2AEEF840">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1CF2F620">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695F1F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noWrap w:val="0"/>
                  <w:vAlign w:val="center"/>
                </w:tcPr>
                <w:p w14:paraId="69975E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238" w:type="pct"/>
                  <w:noWrap w:val="0"/>
                  <w:vAlign w:val="center"/>
                </w:tcPr>
                <w:p w14:paraId="3A654B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常温</w:t>
                  </w:r>
                </w:p>
              </w:tc>
              <w:tc>
                <w:tcPr>
                  <w:tcW w:w="392" w:type="pct"/>
                  <w:noWrap w:val="0"/>
                  <w:vAlign w:val="center"/>
                </w:tcPr>
                <w:p w14:paraId="154EC4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379" w:type="pct"/>
                  <w:noWrap w:val="0"/>
                  <w:vAlign w:val="center"/>
                </w:tcPr>
                <w:p w14:paraId="660150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333" w:type="pct"/>
                  <w:noWrap w:val="0"/>
                  <w:vAlign w:val="center"/>
                </w:tcPr>
                <w:p w14:paraId="4598BE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连续溢流</w:t>
                  </w:r>
                </w:p>
              </w:tc>
              <w:tc>
                <w:tcPr>
                  <w:tcW w:w="597" w:type="pct"/>
                  <w:noWrap w:val="0"/>
                  <w:vAlign w:val="center"/>
                </w:tcPr>
                <w:p w14:paraId="4D5626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整槽更换槽液，每月一次</w:t>
                  </w:r>
                </w:p>
              </w:tc>
              <w:tc>
                <w:tcPr>
                  <w:tcW w:w="416" w:type="pct"/>
                  <w:noWrap/>
                  <w:vAlign w:val="center"/>
                </w:tcPr>
                <w:p w14:paraId="2A1191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67.2</w:t>
                  </w:r>
                </w:p>
              </w:tc>
              <w:tc>
                <w:tcPr>
                  <w:tcW w:w="351" w:type="pct"/>
                  <w:noWrap w:val="0"/>
                  <w:vAlign w:val="center"/>
                </w:tcPr>
                <w:p w14:paraId="0412C6F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1735.2</w:t>
                  </w:r>
                </w:p>
              </w:tc>
              <w:tc>
                <w:tcPr>
                  <w:tcW w:w="918" w:type="dxa"/>
                  <w:noWrap w:val="0"/>
                  <w:vAlign w:val="center"/>
                </w:tcPr>
                <w:p w14:paraId="284401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3109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334EDB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0F7FF6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val="en-US" w:eastAsia="zh-CN" w:bidi="ar"/>
                    </w:rPr>
                    <w:t>清</w:t>
                  </w:r>
                  <w:r>
                    <w:rPr>
                      <w:rFonts w:hint="default" w:ascii="Times New Roman" w:hAnsi="Times New Roman" w:eastAsia="宋体" w:cs="Times New Roman"/>
                      <w:color w:val="auto"/>
                      <w:sz w:val="21"/>
                      <w:szCs w:val="21"/>
                      <w:highlight w:val="none"/>
                      <w:lang w:bidi="ar"/>
                    </w:rPr>
                    <w:t>水洗池</w:t>
                  </w:r>
                </w:p>
              </w:tc>
              <w:tc>
                <w:tcPr>
                  <w:tcW w:w="238" w:type="pct"/>
                  <w:noWrap w:val="0"/>
                  <w:vAlign w:val="center"/>
                </w:tcPr>
                <w:p w14:paraId="60F5283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00611FD0">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eastAsia" w:cs="Times New Roman"/>
                      <w:color w:val="auto"/>
                      <w:kern w:val="0"/>
                      <w:sz w:val="21"/>
                      <w:szCs w:val="21"/>
                      <w:highlight w:val="none"/>
                      <w:lang w:val="en-US" w:eastAsia="zh-CN" w:bidi="ar"/>
                    </w:rPr>
                    <w:t>1</w:t>
                  </w:r>
                </w:p>
              </w:tc>
              <w:tc>
                <w:tcPr>
                  <w:tcW w:w="159" w:type="pct"/>
                  <w:noWrap w:val="0"/>
                  <w:vAlign w:val="center"/>
                </w:tcPr>
                <w:p w14:paraId="04D3F16C">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0DAA289E">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79CF1D9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noWrap w:val="0"/>
                  <w:vAlign w:val="center"/>
                </w:tcPr>
                <w:p w14:paraId="411313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238" w:type="pct"/>
                  <w:noWrap w:val="0"/>
                  <w:vAlign w:val="center"/>
                </w:tcPr>
                <w:p w14:paraId="51433D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常温</w:t>
                  </w:r>
                </w:p>
              </w:tc>
              <w:tc>
                <w:tcPr>
                  <w:tcW w:w="392" w:type="pct"/>
                  <w:noWrap w:val="0"/>
                  <w:vAlign w:val="center"/>
                </w:tcPr>
                <w:p w14:paraId="73A464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379" w:type="pct"/>
                  <w:noWrap w:val="0"/>
                  <w:vAlign w:val="center"/>
                </w:tcPr>
                <w:p w14:paraId="6B8C97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333" w:type="pct"/>
                  <w:noWrap w:val="0"/>
                  <w:vAlign w:val="center"/>
                </w:tcPr>
                <w:p w14:paraId="73FCCF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连续溢流</w:t>
                  </w:r>
                </w:p>
              </w:tc>
              <w:tc>
                <w:tcPr>
                  <w:tcW w:w="597" w:type="pct"/>
                  <w:noWrap w:val="0"/>
                  <w:vAlign w:val="center"/>
                </w:tcPr>
                <w:p w14:paraId="4592A2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整槽更换槽液，每月一次</w:t>
                  </w:r>
                </w:p>
              </w:tc>
              <w:tc>
                <w:tcPr>
                  <w:tcW w:w="416" w:type="pct"/>
                  <w:noWrap/>
                  <w:vAlign w:val="center"/>
                </w:tcPr>
                <w:p w14:paraId="4E30C5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19.2</w:t>
                  </w:r>
                </w:p>
              </w:tc>
              <w:tc>
                <w:tcPr>
                  <w:tcW w:w="351" w:type="pct"/>
                  <w:noWrap w:val="0"/>
                  <w:vAlign w:val="center"/>
                </w:tcPr>
                <w:p w14:paraId="564C83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1735.2</w:t>
                  </w:r>
                </w:p>
              </w:tc>
              <w:tc>
                <w:tcPr>
                  <w:tcW w:w="918" w:type="dxa"/>
                  <w:noWrap w:val="0"/>
                  <w:vAlign w:val="center"/>
                </w:tcPr>
                <w:p w14:paraId="551CAA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657B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7" w:type="pct"/>
                  <w:vMerge w:val="continue"/>
                  <w:noWrap w:val="0"/>
                  <w:vAlign w:val="center"/>
                </w:tcPr>
                <w:p w14:paraId="2A67C2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742C4E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z w:val="21"/>
                      <w:szCs w:val="21"/>
                      <w:highlight w:val="none"/>
                      <w:lang w:bidi="ar"/>
                    </w:rPr>
                    <w:t>无铬钝化池</w:t>
                  </w:r>
                </w:p>
              </w:tc>
              <w:tc>
                <w:tcPr>
                  <w:tcW w:w="238" w:type="pct"/>
                  <w:noWrap w:val="0"/>
                  <w:vAlign w:val="center"/>
                </w:tcPr>
                <w:p w14:paraId="5D48AA7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22DD8B0D">
                  <w:pPr>
                    <w:adjustRightInd w:val="0"/>
                    <w:snapToGrid w:val="0"/>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color w:val="auto"/>
                      <w:kern w:val="0"/>
                      <w:sz w:val="21"/>
                      <w:szCs w:val="21"/>
                      <w:highlight w:val="none"/>
                      <w:lang w:val="en-US" w:eastAsia="zh-CN" w:bidi="ar"/>
                    </w:rPr>
                    <w:t>3</w:t>
                  </w:r>
                  <w:r>
                    <w:rPr>
                      <w:rFonts w:hint="default" w:ascii="Times New Roman" w:hAnsi="Times New Roman" w:eastAsia="宋体" w:cs="Times New Roman"/>
                      <w:color w:val="auto"/>
                      <w:kern w:val="0"/>
                      <w:sz w:val="21"/>
                      <w:szCs w:val="21"/>
                      <w:highlight w:val="none"/>
                      <w:lang w:val="en-US" w:eastAsia="zh-CN" w:bidi="ar"/>
                    </w:rPr>
                    <w:t>.5</w:t>
                  </w:r>
                </w:p>
              </w:tc>
              <w:tc>
                <w:tcPr>
                  <w:tcW w:w="159" w:type="pct"/>
                  <w:noWrap w:val="0"/>
                  <w:vAlign w:val="center"/>
                </w:tcPr>
                <w:p w14:paraId="360C272A">
                  <w:pPr>
                    <w:adjustRightInd w:val="0"/>
                    <w:snapToGrid w:val="0"/>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52445708">
                  <w:pPr>
                    <w:adjustRightInd w:val="0"/>
                    <w:snapToGrid w:val="0"/>
                    <w:spacing w:line="240" w:lineRule="auto"/>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4D938D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无铬钝化剂</w:t>
                  </w:r>
                </w:p>
              </w:tc>
              <w:tc>
                <w:tcPr>
                  <w:tcW w:w="261" w:type="pct"/>
                  <w:noWrap w:val="0"/>
                  <w:vAlign w:val="center"/>
                </w:tcPr>
                <w:p w14:paraId="44EBA8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238" w:type="pct"/>
                  <w:noWrap w:val="0"/>
                  <w:vAlign w:val="center"/>
                </w:tcPr>
                <w:p w14:paraId="5A75234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常温</w:t>
                  </w:r>
                </w:p>
              </w:tc>
              <w:tc>
                <w:tcPr>
                  <w:tcW w:w="392" w:type="pct"/>
                  <w:noWrap w:val="0"/>
                  <w:vAlign w:val="center"/>
                </w:tcPr>
                <w:p w14:paraId="480E78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79" w:type="pct"/>
                  <w:noWrap w:val="0"/>
                  <w:vAlign w:val="center"/>
                </w:tcPr>
                <w:p w14:paraId="439ADEF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33" w:type="pct"/>
                  <w:noWrap w:val="0"/>
                  <w:vAlign w:val="center"/>
                </w:tcPr>
                <w:p w14:paraId="586F88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597" w:type="pct"/>
                  <w:noWrap w:val="0"/>
                  <w:vAlign w:val="center"/>
                </w:tcPr>
                <w:p w14:paraId="283589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整槽更换槽液，每季度一次</w:t>
                  </w:r>
                </w:p>
              </w:tc>
              <w:tc>
                <w:tcPr>
                  <w:tcW w:w="416" w:type="pct"/>
                  <w:noWrap/>
                  <w:vAlign w:val="center"/>
                </w:tcPr>
                <w:p w14:paraId="1A7415C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22.4</w:t>
                  </w:r>
                  <w:r>
                    <w:rPr>
                      <w:rFonts w:hint="eastAsia" w:cs="Times New Roman"/>
                      <w:i w:val="0"/>
                      <w:iCs w:val="0"/>
                      <w:color w:val="auto"/>
                      <w:kern w:val="0"/>
                      <w:sz w:val="21"/>
                      <w:szCs w:val="21"/>
                      <w:highlight w:val="none"/>
                      <w:u w:val="none"/>
                      <w:lang w:val="en-US" w:eastAsia="zh-CN" w:bidi="ar"/>
                    </w:rPr>
                    <w:t>（按危废处置）</w:t>
                  </w:r>
                </w:p>
              </w:tc>
              <w:tc>
                <w:tcPr>
                  <w:tcW w:w="351" w:type="pct"/>
                  <w:noWrap w:val="0"/>
                  <w:vAlign w:val="center"/>
                </w:tcPr>
                <w:p w14:paraId="679291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918" w:type="dxa"/>
                  <w:noWrap w:val="0"/>
                  <w:vAlign w:val="center"/>
                </w:tcPr>
                <w:p w14:paraId="13F51A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7DECC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147" w:type="pct"/>
                  <w:vMerge w:val="continue"/>
                  <w:noWrap w:val="0"/>
                  <w:vAlign w:val="center"/>
                </w:tcPr>
                <w:p w14:paraId="06582E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379" w:type="pct"/>
                  <w:noWrap w:val="0"/>
                  <w:vAlign w:val="center"/>
                </w:tcPr>
                <w:p w14:paraId="54006A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21"/>
                      <w:szCs w:val="21"/>
                      <w:highlight w:val="none"/>
                      <w:lang w:bidi="ar"/>
                    </w:rPr>
                    <w:t>3</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238" w:type="pct"/>
                  <w:noWrap w:val="0"/>
                  <w:vAlign w:val="center"/>
                </w:tcPr>
                <w:p w14:paraId="1347E25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94" w:type="pct"/>
                  <w:noWrap w:val="0"/>
                  <w:vAlign w:val="center"/>
                </w:tcPr>
                <w:p w14:paraId="25871A90">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eastAsia" w:cs="Times New Roman"/>
                      <w:color w:val="auto"/>
                      <w:kern w:val="0"/>
                      <w:sz w:val="21"/>
                      <w:szCs w:val="21"/>
                      <w:highlight w:val="none"/>
                      <w:lang w:val="en-US" w:eastAsia="zh-CN" w:bidi="ar"/>
                    </w:rPr>
                    <w:t>2</w:t>
                  </w:r>
                </w:p>
              </w:tc>
              <w:tc>
                <w:tcPr>
                  <w:tcW w:w="159" w:type="pct"/>
                  <w:noWrap w:val="0"/>
                  <w:vAlign w:val="center"/>
                </w:tcPr>
                <w:p w14:paraId="3214BA58">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2</w:t>
                  </w:r>
                </w:p>
              </w:tc>
              <w:tc>
                <w:tcPr>
                  <w:tcW w:w="159" w:type="pct"/>
                  <w:noWrap w:val="0"/>
                  <w:vAlign w:val="center"/>
                </w:tcPr>
                <w:p w14:paraId="2ABBF000">
                  <w:pPr>
                    <w:adjustRightInd w:val="0"/>
                    <w:snapToGrid w:val="0"/>
                    <w:spacing w:line="240" w:lineRule="auto"/>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kern w:val="0"/>
                      <w:sz w:val="21"/>
                      <w:szCs w:val="21"/>
                      <w:highlight w:val="none"/>
                      <w:lang w:val="en-US" w:eastAsia="zh-CN" w:bidi="ar"/>
                    </w:rPr>
                    <w:t>1</w:t>
                  </w:r>
                </w:p>
              </w:tc>
              <w:tc>
                <w:tcPr>
                  <w:tcW w:w="396" w:type="pct"/>
                  <w:noWrap w:val="0"/>
                  <w:vAlign w:val="center"/>
                </w:tcPr>
                <w:p w14:paraId="477540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eastAsia" w:ascii="Times New Roman" w:hAnsi="Times New Roman" w:eastAsia="宋体" w:cs="Times New Roman"/>
                      <w:i w:val="0"/>
                      <w:iCs w:val="0"/>
                      <w:color w:val="auto"/>
                      <w:sz w:val="21"/>
                      <w:szCs w:val="21"/>
                      <w:highlight w:val="none"/>
                      <w:u w:val="none"/>
                      <w:lang w:val="en-US" w:eastAsia="zh-CN"/>
                    </w:rPr>
                  </w:pPr>
                  <w:r>
                    <w:rPr>
                      <w:rFonts w:hint="eastAsia" w:ascii="Times New Roman" w:hAnsi="Times New Roman" w:eastAsia="宋体" w:cs="Times New Roman"/>
                      <w:i w:val="0"/>
                      <w:iCs w:val="0"/>
                      <w:color w:val="auto"/>
                      <w:sz w:val="21"/>
                      <w:szCs w:val="21"/>
                      <w:highlight w:val="none"/>
                      <w:u w:val="none"/>
                      <w:lang w:val="en-US" w:eastAsia="zh-CN"/>
                    </w:rPr>
                    <w:t>/</w:t>
                  </w:r>
                </w:p>
              </w:tc>
              <w:tc>
                <w:tcPr>
                  <w:tcW w:w="261" w:type="pct"/>
                  <w:noWrap w:val="0"/>
                  <w:vAlign w:val="center"/>
                </w:tcPr>
                <w:p w14:paraId="54FF44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238" w:type="pct"/>
                  <w:noWrap w:val="0"/>
                  <w:vAlign w:val="center"/>
                </w:tcPr>
                <w:p w14:paraId="5961B0D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常温</w:t>
                  </w:r>
                </w:p>
              </w:tc>
              <w:tc>
                <w:tcPr>
                  <w:tcW w:w="392" w:type="pct"/>
                  <w:noWrap w:val="0"/>
                  <w:vAlign w:val="center"/>
                </w:tcPr>
                <w:p w14:paraId="268F4DC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379" w:type="pct"/>
                  <w:noWrap w:val="0"/>
                  <w:vAlign w:val="center"/>
                </w:tcPr>
                <w:p w14:paraId="6F9D20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333" w:type="pct"/>
                  <w:noWrap w:val="0"/>
                  <w:vAlign w:val="center"/>
                </w:tcPr>
                <w:p w14:paraId="511FCE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连续溢流</w:t>
                  </w:r>
                </w:p>
              </w:tc>
              <w:tc>
                <w:tcPr>
                  <w:tcW w:w="597" w:type="pct"/>
                  <w:noWrap w:val="0"/>
                  <w:vAlign w:val="center"/>
                </w:tcPr>
                <w:p w14:paraId="3DE246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整槽更换槽液，每月一次</w:t>
                  </w:r>
                </w:p>
              </w:tc>
              <w:tc>
                <w:tcPr>
                  <w:tcW w:w="416" w:type="pct"/>
                  <w:noWrap/>
                  <w:vAlign w:val="center"/>
                </w:tcPr>
                <w:p w14:paraId="769A30A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38.4</w:t>
                  </w:r>
                </w:p>
              </w:tc>
              <w:tc>
                <w:tcPr>
                  <w:tcW w:w="351" w:type="pct"/>
                  <w:noWrap w:val="0"/>
                  <w:vAlign w:val="center"/>
                </w:tcPr>
                <w:p w14:paraId="658C57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1735.2</w:t>
                  </w:r>
                </w:p>
              </w:tc>
              <w:tc>
                <w:tcPr>
                  <w:tcW w:w="918" w:type="dxa"/>
                  <w:noWrap w:val="0"/>
                  <w:vAlign w:val="center"/>
                </w:tcPr>
                <w:p w14:paraId="7C40BA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1735.2</w:t>
                  </w:r>
                </w:p>
              </w:tc>
            </w:tr>
            <w:tr w14:paraId="1D99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3880" w:type="pct"/>
                  <w:gridSpan w:val="13"/>
                  <w:noWrap w:val="0"/>
                  <w:vAlign w:val="center"/>
                </w:tcPr>
                <w:p w14:paraId="6724F7F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合计</w:t>
                  </w:r>
                </w:p>
              </w:tc>
              <w:tc>
                <w:tcPr>
                  <w:tcW w:w="416" w:type="pct"/>
                  <w:noWrap/>
                  <w:vAlign w:val="center"/>
                </w:tcPr>
                <w:p w14:paraId="743F67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eastAsia" w:cs="Times New Roman"/>
                      <w:i w:val="0"/>
                      <w:iCs w:val="0"/>
                      <w:color w:val="auto"/>
                      <w:kern w:val="0"/>
                      <w:sz w:val="21"/>
                      <w:szCs w:val="21"/>
                      <w:highlight w:val="none"/>
                      <w:u w:val="none"/>
                      <w:lang w:val="en-US" w:eastAsia="zh-CN" w:bidi="ar"/>
                    </w:rPr>
                    <w:t>20</w:t>
                  </w:r>
                </w:p>
              </w:tc>
              <w:tc>
                <w:tcPr>
                  <w:tcW w:w="351" w:type="pct"/>
                  <w:noWrap w:val="0"/>
                  <w:vAlign w:val="center"/>
                </w:tcPr>
                <w:p w14:paraId="29C45B9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8676</w:t>
                  </w:r>
                </w:p>
              </w:tc>
              <w:tc>
                <w:tcPr>
                  <w:tcW w:w="918" w:type="dxa"/>
                  <w:noWrap w:val="0"/>
                  <w:vAlign w:val="center"/>
                </w:tcPr>
                <w:p w14:paraId="35D866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5205.6 </w:t>
                  </w:r>
                </w:p>
              </w:tc>
            </w:tr>
            <w:tr w14:paraId="4D13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5000" w:type="pct"/>
                  <w:gridSpan w:val="16"/>
                  <w:noWrap w:val="0"/>
                  <w:vAlign w:val="center"/>
                </w:tcPr>
                <w:p w14:paraId="33F57E0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备注：①整槽更换槽液=槽液量×更换频率（槽液更换不考虑</w:t>
                  </w:r>
                  <w:r>
                    <w:rPr>
                      <w:rFonts w:hint="eastAsia" w:cs="Times New Roman"/>
                      <w:i w:val="0"/>
                      <w:iCs w:val="0"/>
                      <w:color w:val="auto"/>
                      <w:kern w:val="0"/>
                      <w:sz w:val="21"/>
                      <w:szCs w:val="21"/>
                      <w:highlight w:val="none"/>
                      <w:u w:val="none"/>
                      <w:lang w:val="en-US" w:eastAsia="zh-CN" w:bidi="ar"/>
                    </w:rPr>
                    <w:t>损耗</w:t>
                  </w:r>
                  <w:r>
                    <w:rPr>
                      <w:rFonts w:hint="default" w:ascii="Times New Roman" w:hAnsi="Times New Roman" w:eastAsia="宋体" w:cs="Times New Roman"/>
                      <w:i w:val="0"/>
                      <w:iCs w:val="0"/>
                      <w:color w:val="auto"/>
                      <w:kern w:val="0"/>
                      <w:sz w:val="21"/>
                      <w:szCs w:val="21"/>
                      <w:highlight w:val="none"/>
                      <w:u w:val="none"/>
                      <w:lang w:val="en-US" w:eastAsia="zh-CN" w:bidi="ar"/>
                    </w:rPr>
                    <w:t>）；</w:t>
                  </w:r>
                </w:p>
                <w:p w14:paraId="3191A81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both"/>
                    <w:textAlignment w:val="center"/>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②预脱脂池、脱脂池整槽更换用水量中含除油剂使用量，无铬钝化池整槽更换用水量中含无铬钝化剂使用量，以上数据统一体现在水平衡图表内容中。</w:t>
                  </w:r>
                </w:p>
              </w:tc>
            </w:tr>
          </w:tbl>
          <w:p w14:paraId="4437FB56">
            <w:pPr>
              <w:pStyle w:val="45"/>
              <w:jc w:val="center"/>
              <w:rPr>
                <w:rFonts w:ascii="黑体" w:hAnsi="黑体" w:eastAsia="黑体"/>
                <w:snapToGrid w:val="0"/>
                <w:color w:val="auto"/>
                <w:sz w:val="36"/>
                <w:szCs w:val="36"/>
                <w:highlight w:val="none"/>
                <w:vertAlign w:val="baseline"/>
              </w:rPr>
            </w:pPr>
          </w:p>
        </w:tc>
      </w:tr>
    </w:tbl>
    <w:p w14:paraId="6E5B8F2B">
      <w:pPr>
        <w:pStyle w:val="45"/>
        <w:jc w:val="center"/>
        <w:rPr>
          <w:rFonts w:ascii="黑体" w:hAnsi="黑体" w:eastAsia="黑体"/>
          <w:snapToGrid w:val="0"/>
          <w:color w:val="auto"/>
          <w:sz w:val="36"/>
          <w:szCs w:val="36"/>
          <w:highlight w:val="none"/>
        </w:rPr>
        <w:sectPr>
          <w:pgSz w:w="16838" w:h="11906" w:orient="landscape"/>
          <w:pgMar w:top="1531" w:right="1644" w:bottom="1531" w:left="158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5"/>
        <w:gridCol w:w="8485"/>
      </w:tblGrid>
      <w:tr w14:paraId="49EB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5" w:type="dxa"/>
            <w:noWrap w:val="0"/>
            <w:vAlign w:val="center"/>
          </w:tcPr>
          <w:p w14:paraId="0AE46452">
            <w:pPr>
              <w:pStyle w:val="45"/>
              <w:adjustRightInd w:val="0"/>
              <w:snapToGrid w:val="0"/>
              <w:spacing w:before="0" w:beforeAutospacing="0" w:after="0" w:afterAutospacing="0"/>
              <w:jc w:val="center"/>
              <w:rPr>
                <w:rFonts w:hint="default" w:ascii="Times New Roman" w:hAnsi="Times New Roman" w:cs="Times New Roman"/>
                <w:color w:val="auto"/>
                <w:szCs w:val="24"/>
                <w:highlight w:val="none"/>
              </w:rPr>
            </w:pPr>
          </w:p>
        </w:tc>
        <w:tc>
          <w:tcPr>
            <w:tcW w:w="8485" w:type="dxa"/>
            <w:noWrap w:val="0"/>
            <w:vAlign w:val="top"/>
          </w:tcPr>
          <w:p w14:paraId="3016EB64">
            <w:pPr>
              <w:pStyle w:val="27"/>
              <w:keepNext w:val="0"/>
              <w:keepLines w:val="0"/>
              <w:pageBreakBefore w:val="0"/>
              <w:widowControl w:val="0"/>
              <w:suppressLineNumbers w:val="0"/>
              <w:kinsoku/>
              <w:wordWrap w:val="0"/>
              <w:overflowPunct w:val="0"/>
              <w:topLinePunct w:val="0"/>
              <w:autoSpaceDE/>
              <w:autoSpaceDN/>
              <w:bidi w:val="0"/>
              <w:adjustRightInd/>
              <w:snapToGrid/>
              <w:spacing w:before="0" w:beforeAutospacing="0" w:after="0" w:afterAutospacing="0" w:line="360" w:lineRule="auto"/>
              <w:ind w:left="0" w:leftChars="0" w:right="0" w:firstLine="480" w:firstLineChars="200"/>
              <w:textAlignment w:val="auto"/>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t>从上表计得</w:t>
            </w:r>
            <w:r>
              <w:rPr>
                <w:rFonts w:hint="eastAsia" w:cs="Times New Roman"/>
                <w:color w:val="auto"/>
                <w:sz w:val="24"/>
                <w:szCs w:val="24"/>
                <w:highlight w:val="none"/>
                <w:lang w:val="en-US" w:eastAsia="zh-CN"/>
              </w:rPr>
              <w:t>2条</w:t>
            </w:r>
            <w:r>
              <w:rPr>
                <w:rFonts w:hint="default" w:cs="Times New Roman"/>
                <w:color w:val="auto"/>
                <w:sz w:val="24"/>
                <w:szCs w:val="24"/>
                <w:highlight w:val="none"/>
                <w:lang w:val="en-US" w:eastAsia="zh-CN"/>
              </w:rPr>
              <w:t>前处理线整槽更换用水和溢流用水为</w:t>
            </w:r>
            <w:r>
              <w:rPr>
                <w:rFonts w:hint="eastAsia" w:cs="Times New Roman"/>
                <w:color w:val="auto"/>
                <w:sz w:val="24"/>
                <w:szCs w:val="24"/>
                <w:highlight w:val="none"/>
                <w:lang w:val="en-US" w:eastAsia="zh-CN"/>
              </w:rPr>
              <w:t>（</w:t>
            </w:r>
            <w:r>
              <w:rPr>
                <w:rFonts w:hint="default" w:cs="Times New Roman"/>
                <w:color w:val="auto"/>
                <w:sz w:val="24"/>
                <w:szCs w:val="24"/>
                <w:highlight w:val="none"/>
                <w:lang w:val="en-US" w:eastAsia="zh-CN"/>
              </w:rPr>
              <w:t>3</w:t>
            </w:r>
            <w:r>
              <w:rPr>
                <w:rFonts w:hint="eastAsia" w:cs="Times New Roman"/>
                <w:color w:val="auto"/>
                <w:sz w:val="24"/>
                <w:szCs w:val="24"/>
                <w:highlight w:val="none"/>
                <w:lang w:val="en-US" w:eastAsia="zh-CN"/>
              </w:rPr>
              <w:t>20</w:t>
            </w:r>
            <w:r>
              <w:rPr>
                <w:rFonts w:hint="default" w:cs="Times New Roman"/>
                <w:color w:val="auto"/>
                <w:sz w:val="24"/>
                <w:szCs w:val="24"/>
                <w:highlight w:val="none"/>
                <w:lang w:val="en-US" w:eastAsia="zh-CN"/>
              </w:rPr>
              <w:t>m</w:t>
            </w:r>
            <w:r>
              <w:rPr>
                <w:rFonts w:hint="default" w:cs="Times New Roman"/>
                <w:color w:val="auto"/>
                <w:sz w:val="24"/>
                <w:szCs w:val="24"/>
                <w:highlight w:val="none"/>
                <w:vertAlign w:val="superscript"/>
                <w:lang w:val="en-US" w:eastAsia="zh-CN"/>
              </w:rPr>
              <w:t>3</w:t>
            </w:r>
            <w:r>
              <w:rPr>
                <w:rFonts w:hint="default" w:cs="Times New Roman"/>
                <w:color w:val="auto"/>
                <w:sz w:val="24"/>
                <w:szCs w:val="24"/>
                <w:highlight w:val="none"/>
                <w:lang w:val="en-US" w:eastAsia="zh-CN"/>
              </w:rPr>
              <w:t>/a</w:t>
            </w:r>
            <w:r>
              <w:rPr>
                <w:rFonts w:hint="eastAsia" w:cs="Times New Roman"/>
                <w:color w:val="auto"/>
                <w:sz w:val="24"/>
                <w:szCs w:val="24"/>
                <w:highlight w:val="none"/>
                <w:lang w:val="en-US" w:eastAsia="zh-CN"/>
              </w:rPr>
              <w:t>+5205.6</w:t>
            </w:r>
            <w:r>
              <w:rPr>
                <w:rFonts w:hint="default" w:cs="Times New Roman"/>
                <w:color w:val="auto"/>
                <w:sz w:val="24"/>
                <w:szCs w:val="24"/>
                <w:highlight w:val="none"/>
                <w:lang w:val="en-US" w:eastAsia="zh-CN"/>
              </w:rPr>
              <w:t>m</w:t>
            </w:r>
            <w:r>
              <w:rPr>
                <w:rFonts w:hint="default" w:cs="Times New Roman"/>
                <w:color w:val="auto"/>
                <w:sz w:val="24"/>
                <w:szCs w:val="24"/>
                <w:highlight w:val="none"/>
                <w:vertAlign w:val="superscript"/>
                <w:lang w:val="en-US" w:eastAsia="zh-CN"/>
              </w:rPr>
              <w:t>3</w:t>
            </w:r>
            <w:r>
              <w:rPr>
                <w:rFonts w:hint="default" w:cs="Times New Roman"/>
                <w:color w:val="auto"/>
                <w:sz w:val="24"/>
                <w:szCs w:val="24"/>
                <w:highlight w:val="none"/>
                <w:lang w:val="en-US" w:eastAsia="zh-CN"/>
              </w:rPr>
              <w:t>/a</w:t>
            </w:r>
            <w:r>
              <w:rPr>
                <w:rFonts w:hint="eastAsia" w:cs="Times New Roman"/>
                <w:color w:val="auto"/>
                <w:sz w:val="24"/>
                <w:szCs w:val="24"/>
                <w:highlight w:val="none"/>
                <w:lang w:val="en-US" w:eastAsia="zh-CN"/>
              </w:rPr>
              <w:t>）×2=11051.2</w:t>
            </w:r>
            <w:r>
              <w:rPr>
                <w:rFonts w:hint="default" w:cs="Times New Roman"/>
                <w:color w:val="auto"/>
                <w:sz w:val="24"/>
                <w:szCs w:val="24"/>
                <w:highlight w:val="none"/>
                <w:lang w:val="en-US" w:eastAsia="zh-CN"/>
              </w:rPr>
              <w:t>m</w:t>
            </w:r>
            <w:r>
              <w:rPr>
                <w:rFonts w:hint="default" w:cs="Times New Roman"/>
                <w:color w:val="auto"/>
                <w:sz w:val="24"/>
                <w:szCs w:val="24"/>
                <w:highlight w:val="none"/>
                <w:vertAlign w:val="superscript"/>
                <w:lang w:val="en-US" w:eastAsia="zh-CN"/>
              </w:rPr>
              <w:t>3</w:t>
            </w:r>
            <w:r>
              <w:rPr>
                <w:rFonts w:hint="default" w:cs="Times New Roman"/>
                <w:color w:val="auto"/>
                <w:sz w:val="24"/>
                <w:szCs w:val="24"/>
                <w:highlight w:val="none"/>
                <w:lang w:val="en-US" w:eastAsia="zh-CN"/>
              </w:rPr>
              <w:t>/a。</w:t>
            </w:r>
          </w:p>
          <w:p w14:paraId="0B2EAB3E">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用水量一览表</w:t>
            </w:r>
          </w:p>
          <w:tbl>
            <w:tblPr>
              <w:tblStyle w:val="48"/>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55"/>
              <w:gridCol w:w="1391"/>
              <w:gridCol w:w="5310"/>
            </w:tblGrid>
            <w:tr w14:paraId="38B04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1" w:type="pct"/>
                  <w:noWrap w:val="0"/>
                  <w:vAlign w:val="center"/>
                </w:tcPr>
                <w:p w14:paraId="214FA46B">
                  <w:pPr>
                    <w:pStyle w:val="109"/>
                    <w:keepNext w:val="0"/>
                    <w:keepLines w:val="0"/>
                    <w:pageBreakBefore w:val="0"/>
                    <w:widowControl/>
                    <w:suppressLineNumbers w:val="0"/>
                    <w:tabs>
                      <w:tab w:val="left" w:pos="-2848"/>
                    </w:tabs>
                    <w:kinsoku/>
                    <w:overflowPunct/>
                    <w:topLinePunct w:val="0"/>
                    <w:bidi w:val="0"/>
                    <w:adjustRightInd/>
                    <w:snapToGrid/>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用水情形</w:t>
                  </w:r>
                </w:p>
              </w:tc>
              <w:tc>
                <w:tcPr>
                  <w:tcW w:w="842" w:type="pct"/>
                  <w:noWrap w:val="0"/>
                  <w:vAlign w:val="center"/>
                </w:tcPr>
                <w:p w14:paraId="23CF5F64">
                  <w:pPr>
                    <w:pStyle w:val="109"/>
                    <w:keepNext w:val="0"/>
                    <w:keepLines w:val="0"/>
                    <w:pageBreakBefore w:val="0"/>
                    <w:widowControl/>
                    <w:suppressLineNumbers w:val="0"/>
                    <w:tabs>
                      <w:tab w:val="left" w:pos="-2848"/>
                    </w:tabs>
                    <w:kinsoku/>
                    <w:overflowPunct/>
                    <w:topLinePunct w:val="0"/>
                    <w:bidi w:val="0"/>
                    <w:adjustRightInd/>
                    <w:snapToGrid/>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用量m</w:t>
                  </w:r>
                  <w:r>
                    <w:rPr>
                      <w:rFonts w:hint="default" w:ascii="Times New Roman" w:hAnsi="Times New Roman" w:cs="Times New Roman"/>
                      <w:b/>
                      <w:bCs/>
                      <w:color w:val="auto"/>
                      <w:kern w:val="2"/>
                      <w:sz w:val="21"/>
                      <w:szCs w:val="21"/>
                      <w:highlight w:val="none"/>
                      <w:vertAlign w:val="superscript"/>
                    </w:rPr>
                    <w:t>3</w:t>
                  </w:r>
                  <w:r>
                    <w:rPr>
                      <w:rFonts w:hint="default" w:ascii="Times New Roman" w:hAnsi="Times New Roman" w:cs="Times New Roman"/>
                      <w:b/>
                      <w:bCs/>
                      <w:color w:val="auto"/>
                      <w:kern w:val="2"/>
                      <w:sz w:val="21"/>
                      <w:szCs w:val="21"/>
                      <w:highlight w:val="none"/>
                    </w:rPr>
                    <w:t>/a</w:t>
                  </w:r>
                </w:p>
              </w:tc>
              <w:tc>
                <w:tcPr>
                  <w:tcW w:w="3215" w:type="pct"/>
                  <w:noWrap w:val="0"/>
                  <w:vAlign w:val="center"/>
                </w:tcPr>
                <w:p w14:paraId="21D95083">
                  <w:pPr>
                    <w:pStyle w:val="109"/>
                    <w:keepNext w:val="0"/>
                    <w:keepLines w:val="0"/>
                    <w:pageBreakBefore w:val="0"/>
                    <w:widowControl/>
                    <w:suppressLineNumbers w:val="0"/>
                    <w:tabs>
                      <w:tab w:val="left" w:pos="-2848"/>
                    </w:tabs>
                    <w:kinsoku/>
                    <w:overflowPunct/>
                    <w:topLinePunct w:val="0"/>
                    <w:bidi w:val="0"/>
                    <w:adjustRightInd/>
                    <w:snapToGrid/>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说明</w:t>
                  </w:r>
                </w:p>
              </w:tc>
            </w:tr>
            <w:tr w14:paraId="25F93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1" w:type="pct"/>
                  <w:noWrap w:val="0"/>
                  <w:vAlign w:val="center"/>
                </w:tcPr>
                <w:p w14:paraId="502AFAE8">
                  <w:pPr>
                    <w:pStyle w:val="109"/>
                    <w:keepNext w:val="0"/>
                    <w:keepLines w:val="0"/>
                    <w:pageBreakBefore w:val="0"/>
                    <w:widowControl/>
                    <w:suppressLineNumbers w:val="0"/>
                    <w:tabs>
                      <w:tab w:val="left" w:pos="-2848"/>
                    </w:tabs>
                    <w:kinsoku/>
                    <w:overflowPunct/>
                    <w:topLinePunct w:val="0"/>
                    <w:bidi w:val="0"/>
                    <w:adjustRightInd/>
                    <w:snapToGrid/>
                    <w:spacing w:before="0" w:beforeAutospacing="0" w:after="0" w:afterAutospacing="0" w:line="240" w:lineRule="auto"/>
                    <w:ind w:left="0" w:leftChars="0" w:right="0" w:rightChars="0"/>
                    <w:rPr>
                      <w:rFonts w:hint="default" w:ascii="Times New Roman" w:hAnsi="Times New Roman" w:eastAsia="宋体" w:cs="Times New Roman"/>
                      <w:color w:val="auto"/>
                      <w:kern w:val="2"/>
                      <w:position w:val="-10"/>
                      <w:sz w:val="21"/>
                      <w:szCs w:val="21"/>
                      <w:highlight w:val="none"/>
                      <w:lang w:val="en-US" w:eastAsia="zh-CN" w:bidi="ar-SA"/>
                    </w:rPr>
                  </w:pPr>
                  <w:r>
                    <w:rPr>
                      <w:rFonts w:hint="default" w:ascii="Times New Roman" w:hAnsi="Times New Roman" w:cs="Times New Roman"/>
                      <w:color w:val="auto"/>
                      <w:kern w:val="2"/>
                      <w:sz w:val="21"/>
                      <w:szCs w:val="21"/>
                      <w:highlight w:val="none"/>
                    </w:rPr>
                    <w:t>生活用水</w:t>
                  </w:r>
                </w:p>
              </w:tc>
              <w:tc>
                <w:tcPr>
                  <w:tcW w:w="842" w:type="pct"/>
                  <w:noWrap w:val="0"/>
                  <w:vAlign w:val="center"/>
                </w:tcPr>
                <w:p w14:paraId="60496CEE">
                  <w:pPr>
                    <w:keepNext w:val="0"/>
                    <w:keepLines w:val="0"/>
                    <w:widowControl/>
                    <w:suppressLineNumbers w:val="0"/>
                    <w:jc w:val="center"/>
                    <w:textAlignment w:val="center"/>
                    <w:rPr>
                      <w:rFonts w:hint="default" w:ascii="Times New Roman" w:hAnsi="Times New Roman" w:eastAsia="宋体" w:cs="Times New Roman"/>
                      <w:color w:val="auto"/>
                      <w:kern w:val="2"/>
                      <w:position w:val="-1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2300</w:t>
                  </w:r>
                </w:p>
              </w:tc>
              <w:tc>
                <w:tcPr>
                  <w:tcW w:w="3215" w:type="pct"/>
                  <w:noWrap w:val="0"/>
                  <w:vAlign w:val="center"/>
                </w:tcPr>
                <w:p w14:paraId="6AC1A868">
                  <w:pPr>
                    <w:keepNext w:val="0"/>
                    <w:keepLines w:val="0"/>
                    <w:pageBreakBefore w:val="0"/>
                    <w:suppressLineNumbers w:val="0"/>
                    <w:kinsoku/>
                    <w:overflowPunct/>
                    <w:topLinePunct w:val="0"/>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共160</w:t>
                  </w:r>
                  <w:r>
                    <w:rPr>
                      <w:rFonts w:hint="default" w:ascii="Times New Roman" w:hAnsi="Times New Roman" w:cs="Times New Roman"/>
                      <w:color w:val="auto"/>
                      <w:sz w:val="21"/>
                      <w:szCs w:val="21"/>
                      <w:highlight w:val="none"/>
                    </w:rPr>
                    <w:t>人，</w:t>
                  </w:r>
                  <w:r>
                    <w:rPr>
                      <w:rFonts w:hint="eastAsia" w:cs="Times New Roman"/>
                      <w:color w:val="auto"/>
                      <w:sz w:val="21"/>
                      <w:szCs w:val="21"/>
                      <w:highlight w:val="none"/>
                      <w:lang w:val="en-US" w:eastAsia="zh-CN"/>
                    </w:rPr>
                    <w:t>其中140人住宿</w:t>
                  </w:r>
                </w:p>
              </w:tc>
            </w:tr>
            <w:tr w14:paraId="5B099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1" w:type="pct"/>
                  <w:noWrap w:val="0"/>
                  <w:vAlign w:val="center"/>
                </w:tcPr>
                <w:p w14:paraId="47E46CB7">
                  <w:pPr>
                    <w:keepNext w:val="0"/>
                    <w:keepLines w:val="0"/>
                    <w:pageBreakBefore w:val="0"/>
                    <w:suppressLineNumbers w:val="0"/>
                    <w:kinsoku/>
                    <w:overflowPunct/>
                    <w:topLinePunct w:val="0"/>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前处理</w:t>
                  </w:r>
                  <w:r>
                    <w:rPr>
                      <w:rFonts w:hint="default" w:ascii="Times New Roman" w:hAnsi="Times New Roman" w:cs="Times New Roman"/>
                      <w:color w:val="auto"/>
                      <w:sz w:val="21"/>
                      <w:szCs w:val="21"/>
                      <w:highlight w:val="none"/>
                    </w:rPr>
                    <w:t>用水</w:t>
                  </w:r>
                </w:p>
              </w:tc>
              <w:tc>
                <w:tcPr>
                  <w:tcW w:w="842" w:type="pct"/>
                  <w:noWrap w:val="0"/>
                  <w:vAlign w:val="center"/>
                </w:tcPr>
                <w:p w14:paraId="1A711505">
                  <w:pPr>
                    <w:keepNext w:val="0"/>
                    <w:keepLines w:val="0"/>
                    <w:widowControl/>
                    <w:suppressLineNumbers w:val="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19884.63 </w:t>
                  </w:r>
                </w:p>
              </w:tc>
              <w:tc>
                <w:tcPr>
                  <w:tcW w:w="3215" w:type="pct"/>
                  <w:noWrap w:val="0"/>
                  <w:vAlign w:val="center"/>
                </w:tcPr>
                <w:p w14:paraId="4821FA93">
                  <w:pPr>
                    <w:keepNext w:val="0"/>
                    <w:keepLines w:val="0"/>
                    <w:pageBreakBefore w:val="0"/>
                    <w:suppressLineNumbers w:val="0"/>
                    <w:kinsoku/>
                    <w:overflowPunct/>
                    <w:topLinePunct w:val="0"/>
                    <w:bidi w:val="0"/>
                    <w:adjustRightInd/>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前处理用水（新鲜用水）=</w:t>
                  </w:r>
                  <w:r>
                    <w:rPr>
                      <w:rFonts w:hint="default" w:ascii="Times New Roman" w:hAnsi="Times New Roman" w:cs="Times New Roman"/>
                      <w:color w:val="auto"/>
                      <w:sz w:val="21"/>
                      <w:szCs w:val="21"/>
                      <w:highlight w:val="none"/>
                      <w:lang w:val="en-US" w:eastAsia="zh-CN"/>
                    </w:rPr>
                    <w:t>前处理线</w:t>
                  </w:r>
                  <w:r>
                    <w:rPr>
                      <w:rFonts w:hint="eastAsia" w:cs="Times New Roman"/>
                      <w:color w:val="auto"/>
                      <w:sz w:val="21"/>
                      <w:szCs w:val="21"/>
                      <w:highlight w:val="none"/>
                      <w:lang w:val="en-US" w:eastAsia="zh-CN"/>
                    </w:rPr>
                    <w:t>总</w:t>
                  </w:r>
                  <w:r>
                    <w:rPr>
                      <w:rFonts w:hint="default" w:ascii="Times New Roman" w:hAnsi="Times New Roman" w:cs="Times New Roman"/>
                      <w:color w:val="auto"/>
                      <w:sz w:val="21"/>
                      <w:szCs w:val="21"/>
                      <w:highlight w:val="none"/>
                      <w:lang w:val="en-US" w:eastAsia="zh-CN"/>
                    </w:rPr>
                    <w:t>用水</w:t>
                  </w:r>
                  <w:r>
                    <w:rPr>
                      <w:rFonts w:hint="eastAsia" w:cs="Times New Roman"/>
                      <w:color w:val="auto"/>
                      <w:sz w:val="21"/>
                      <w:szCs w:val="21"/>
                      <w:highlight w:val="none"/>
                      <w:lang w:val="en-US" w:eastAsia="zh-CN"/>
                    </w:rPr>
                    <w:t>量-（除油剂年用量+无铬钝化剂年用量）=19916.128-（27.746+3.750）=19884.63</w:t>
                  </w:r>
                </w:p>
              </w:tc>
            </w:tr>
            <w:tr w14:paraId="302A1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1" w:type="pct"/>
                  <w:noWrap w:val="0"/>
                  <w:vAlign w:val="center"/>
                </w:tcPr>
                <w:p w14:paraId="2B100521">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水帘柜用水</w:t>
                  </w:r>
                </w:p>
              </w:tc>
              <w:tc>
                <w:tcPr>
                  <w:tcW w:w="842" w:type="pct"/>
                  <w:noWrap w:val="0"/>
                  <w:vAlign w:val="center"/>
                </w:tcPr>
                <w:p w14:paraId="4360B957">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5434.704</w:t>
                  </w:r>
                </w:p>
              </w:tc>
              <w:tc>
                <w:tcPr>
                  <w:tcW w:w="3215" w:type="pct"/>
                  <w:noWrap w:val="0"/>
                  <w:vAlign w:val="center"/>
                </w:tcPr>
                <w:p w14:paraId="21AF39C0">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r w14:paraId="3ECAA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41" w:type="pct"/>
                  <w:noWrap w:val="0"/>
                  <w:vAlign w:val="center"/>
                </w:tcPr>
                <w:p w14:paraId="29CDCEC2">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喷淋塔用水</w:t>
                  </w:r>
                </w:p>
              </w:tc>
              <w:tc>
                <w:tcPr>
                  <w:tcW w:w="842" w:type="pct"/>
                  <w:noWrap w:val="0"/>
                  <w:vAlign w:val="center"/>
                </w:tcPr>
                <w:p w14:paraId="53A82A35">
                  <w:pPr>
                    <w:keepNext w:val="0"/>
                    <w:keepLines w:val="0"/>
                    <w:widowControl/>
                    <w:suppressLineNumbers w:val="0"/>
                    <w:jc w:val="center"/>
                    <w:textAlignment w:val="center"/>
                    <w:rPr>
                      <w:rFonts w:hint="default"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1542.12</w:t>
                  </w:r>
                </w:p>
              </w:tc>
              <w:tc>
                <w:tcPr>
                  <w:tcW w:w="3215" w:type="pct"/>
                  <w:noWrap w:val="0"/>
                  <w:vAlign w:val="center"/>
                </w:tcPr>
                <w:p w14:paraId="42D0C206">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r w14:paraId="01965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1" w:type="pct"/>
                  <w:noWrap w:val="0"/>
                  <w:vAlign w:val="center"/>
                </w:tcPr>
                <w:p w14:paraId="300A31D8">
                  <w:pPr>
                    <w:keepNext w:val="0"/>
                    <w:keepLines w:val="0"/>
                    <w:widowControl/>
                    <w:suppressLineNumbers w:val="0"/>
                    <w:jc w:val="left"/>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生产用水合计</w:t>
                  </w:r>
                </w:p>
              </w:tc>
              <w:tc>
                <w:tcPr>
                  <w:tcW w:w="842" w:type="pct"/>
                  <w:noWrap w:val="0"/>
                  <w:vAlign w:val="center"/>
                </w:tcPr>
                <w:p w14:paraId="1966988D">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26861.4562</w:t>
                  </w:r>
                </w:p>
              </w:tc>
              <w:tc>
                <w:tcPr>
                  <w:tcW w:w="3215" w:type="pct"/>
                  <w:noWrap w:val="0"/>
                  <w:vAlign w:val="center"/>
                </w:tcPr>
                <w:p w14:paraId="1F2F7557">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2"/>
                      <w:szCs w:val="22"/>
                      <w:u w:val="none"/>
                      <w:lang w:val="en-US" w:eastAsia="zh-CN" w:bidi="ar"/>
                    </w:rPr>
                    <w:t>/</w:t>
                  </w:r>
                </w:p>
              </w:tc>
            </w:tr>
            <w:tr w14:paraId="625F4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41" w:type="pct"/>
                  <w:noWrap w:val="0"/>
                  <w:vAlign w:val="center"/>
                </w:tcPr>
                <w:p w14:paraId="10A9A7A1">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总用水</w:t>
                  </w:r>
                </w:p>
              </w:tc>
              <w:tc>
                <w:tcPr>
                  <w:tcW w:w="842" w:type="pct"/>
                  <w:noWrap w:val="0"/>
                  <w:vAlign w:val="center"/>
                </w:tcPr>
                <w:p w14:paraId="5F54FB2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29161.4562</w:t>
                  </w:r>
                </w:p>
              </w:tc>
              <w:tc>
                <w:tcPr>
                  <w:tcW w:w="3215" w:type="pct"/>
                  <w:noWrap w:val="0"/>
                  <w:vAlign w:val="center"/>
                </w:tcPr>
                <w:p w14:paraId="6B82A54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bl>
          <w:p w14:paraId="08E701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jc w:val="left"/>
              <w:textAlignment w:val="auto"/>
              <w:rPr>
                <w:rFonts w:hint="default" w:ascii="Times New Roman" w:hAnsi="Times New Roman" w:cs="Times New Roman"/>
                <w:color w:val="auto"/>
                <w:kern w:val="0"/>
                <w:sz w:val="24"/>
                <w:szCs w:val="24"/>
                <w:highlight w:val="none"/>
                <w:lang w:val="en-US" w:eastAsia="zh-CN" w:bidi="ar"/>
              </w:rPr>
            </w:pPr>
          </w:p>
          <w:p w14:paraId="2BD2817F">
            <w:pPr>
              <w:pStyle w:val="21"/>
              <w:widowControl/>
              <w:numPr>
                <w:ilvl w:val="4"/>
                <w:numId w:val="0"/>
              </w:numPr>
              <w:suppressLineNumbers w:val="0"/>
              <w:spacing w:before="0" w:beforeAutospacing="0" w:after="0" w:afterAutospacing="0" w:line="360" w:lineRule="auto"/>
              <w:ind w:left="-960" w:right="0" w:firstLine="1440"/>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（3）排水</w:t>
            </w:r>
          </w:p>
          <w:p w14:paraId="74A4F4D5">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本项目实行雨污分流制的排水体制。</w:t>
            </w:r>
          </w:p>
          <w:p w14:paraId="5E59BF20">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雨水：雨水经厂区雨水管网收集后，排入市政雨水管网；</w:t>
            </w:r>
          </w:p>
          <w:p w14:paraId="76A3EE66">
            <w:pPr>
              <w:keepNext w:val="0"/>
              <w:keepLines w:val="0"/>
              <w:suppressLineNumbers w:val="0"/>
              <w:adjustRightInd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生活污水：本项目生活污水排放量为</w:t>
            </w:r>
            <w:r>
              <w:rPr>
                <w:rFonts w:hint="eastAsia" w:cs="Times New Roman"/>
                <w:color w:val="auto"/>
                <w:sz w:val="24"/>
                <w:szCs w:val="24"/>
                <w:highlight w:val="none"/>
                <w:lang w:val="en-US" w:eastAsia="zh-CN"/>
              </w:rPr>
              <w:t>2070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/a，经三级化粪池</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隔油隔渣池</w:t>
            </w:r>
            <w:r>
              <w:rPr>
                <w:rFonts w:hint="default" w:ascii="Times New Roman" w:hAnsi="Times New Roman" w:cs="Times New Roman"/>
                <w:color w:val="auto"/>
                <w:sz w:val="24"/>
                <w:szCs w:val="24"/>
                <w:highlight w:val="none"/>
              </w:rPr>
              <w:t>预处理后，排入园区污水处理厂进一步处理，达标后排放至武江；</w:t>
            </w:r>
          </w:p>
          <w:p w14:paraId="1B9A15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生产废水：</w:t>
            </w:r>
            <w:r>
              <w:rPr>
                <w:rFonts w:hint="eastAsia" w:ascii="Times New Roman" w:hAnsi="Times New Roman" w:cs="Times New Roman"/>
                <w:color w:val="auto"/>
                <w:sz w:val="24"/>
                <w:szCs w:val="24"/>
                <w:highlight w:val="none"/>
                <w:lang w:val="en-US" w:eastAsia="zh-CN"/>
              </w:rPr>
              <w:t>包括水帘柜废水、喷淋塔废水和前处理废水。</w:t>
            </w:r>
          </w:p>
          <w:p w14:paraId="2C537A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color w:val="auto"/>
                <w:sz w:val="24"/>
                <w:szCs w:val="24"/>
              </w:rPr>
            </w:pPr>
            <w:r>
              <w:rPr>
                <w:rFonts w:hint="eastAsia"/>
                <w:b/>
                <w:bCs/>
                <w:color w:val="auto"/>
                <w:sz w:val="24"/>
                <w:szCs w:val="24"/>
                <w:lang w:val="en-US" w:eastAsia="zh-CN"/>
              </w:rPr>
              <w:t>A.水帘柜废水：</w:t>
            </w:r>
            <w:r>
              <w:rPr>
                <w:color w:val="auto"/>
                <w:sz w:val="24"/>
                <w:szCs w:val="24"/>
              </w:rPr>
              <w:t>喷漆房内设有水帘</w:t>
            </w:r>
            <w:r>
              <w:rPr>
                <w:rFonts w:hint="eastAsia"/>
                <w:color w:val="auto"/>
                <w:sz w:val="24"/>
                <w:szCs w:val="24"/>
                <w:lang w:val="en-US" w:eastAsia="zh-CN"/>
              </w:rPr>
              <w:t>柜</w:t>
            </w:r>
            <w:r>
              <w:rPr>
                <w:color w:val="auto"/>
                <w:sz w:val="24"/>
                <w:szCs w:val="24"/>
              </w:rPr>
              <w:t>的循环水池，总有效容积为</w:t>
            </w:r>
            <w:r>
              <w:rPr>
                <w:rFonts w:hint="eastAsia"/>
                <w:color w:val="auto"/>
                <w:sz w:val="24"/>
                <w:szCs w:val="24"/>
                <w:lang w:val="en-US" w:eastAsia="zh-CN"/>
              </w:rPr>
              <w:t>16.2</w:t>
            </w:r>
            <w:r>
              <w:rPr>
                <w:color w:val="auto"/>
                <w:sz w:val="24"/>
                <w:szCs w:val="24"/>
              </w:rPr>
              <w:t>m</w:t>
            </w:r>
            <w:r>
              <w:rPr>
                <w:color w:val="auto"/>
                <w:sz w:val="24"/>
                <w:szCs w:val="24"/>
                <w:vertAlign w:val="superscript"/>
              </w:rPr>
              <w:t>3</w:t>
            </w:r>
            <w:r>
              <w:rPr>
                <w:color w:val="auto"/>
                <w:sz w:val="24"/>
                <w:szCs w:val="24"/>
              </w:rPr>
              <w:t>，每</w:t>
            </w:r>
            <w:r>
              <w:rPr>
                <w:rFonts w:hint="eastAsia"/>
                <w:color w:val="auto"/>
                <w:sz w:val="24"/>
                <w:szCs w:val="24"/>
                <w:lang w:eastAsia="zh-CN"/>
              </w:rPr>
              <w:t>月</w:t>
            </w:r>
            <w:r>
              <w:rPr>
                <w:color w:val="auto"/>
                <w:sz w:val="24"/>
                <w:szCs w:val="24"/>
              </w:rPr>
              <w:t>更换一次，对应更换补充用水量为</w:t>
            </w:r>
            <w:r>
              <w:rPr>
                <w:rFonts w:hint="eastAsia"/>
                <w:color w:val="auto"/>
                <w:sz w:val="24"/>
                <w:szCs w:val="24"/>
                <w:lang w:val="en-US" w:eastAsia="zh-CN"/>
              </w:rPr>
              <w:t>16.2</w:t>
            </w:r>
            <w:r>
              <w:rPr>
                <w:color w:val="auto"/>
                <w:sz w:val="24"/>
                <w:szCs w:val="24"/>
              </w:rPr>
              <w:t>m</w:t>
            </w:r>
            <w:r>
              <w:rPr>
                <w:color w:val="auto"/>
                <w:sz w:val="24"/>
                <w:szCs w:val="24"/>
                <w:vertAlign w:val="superscript"/>
              </w:rPr>
              <w:t>3</w:t>
            </w:r>
            <w:r>
              <w:rPr>
                <w:color w:val="auto"/>
                <w:sz w:val="24"/>
                <w:szCs w:val="24"/>
              </w:rPr>
              <w:t>×</w:t>
            </w:r>
            <w:r>
              <w:rPr>
                <w:rFonts w:hint="eastAsia"/>
                <w:color w:val="auto"/>
                <w:sz w:val="24"/>
                <w:szCs w:val="24"/>
                <w:lang w:val="en-US" w:eastAsia="zh-CN"/>
              </w:rPr>
              <w:t>12</w:t>
            </w:r>
            <w:r>
              <w:rPr>
                <w:color w:val="auto"/>
                <w:sz w:val="24"/>
                <w:szCs w:val="24"/>
              </w:rPr>
              <w:t>次/年=</w:t>
            </w:r>
            <w:r>
              <w:rPr>
                <w:rFonts w:hint="eastAsia"/>
                <w:color w:val="auto"/>
                <w:sz w:val="24"/>
                <w:szCs w:val="24"/>
                <w:lang w:val="en-US" w:eastAsia="zh-CN"/>
              </w:rPr>
              <w:t>194.4</w:t>
            </w:r>
            <w:r>
              <w:rPr>
                <w:color w:val="auto"/>
                <w:sz w:val="24"/>
                <w:szCs w:val="24"/>
              </w:rPr>
              <w:t>m</w:t>
            </w:r>
            <w:r>
              <w:rPr>
                <w:color w:val="auto"/>
                <w:sz w:val="24"/>
                <w:szCs w:val="24"/>
                <w:vertAlign w:val="superscript"/>
              </w:rPr>
              <w:t>3</w:t>
            </w:r>
            <w:r>
              <w:rPr>
                <w:color w:val="auto"/>
                <w:sz w:val="24"/>
                <w:szCs w:val="24"/>
              </w:rPr>
              <w:t>/a，更换后的废水</w:t>
            </w:r>
            <w:r>
              <w:rPr>
                <w:rFonts w:hint="eastAsia"/>
                <w:color w:val="auto"/>
                <w:sz w:val="24"/>
                <w:szCs w:val="24"/>
                <w:lang w:val="en-US" w:eastAsia="zh-CN"/>
              </w:rPr>
              <w:t>交由有危险废物处置资质单位处置</w:t>
            </w:r>
            <w:r>
              <w:rPr>
                <w:color w:val="auto"/>
                <w:sz w:val="24"/>
                <w:szCs w:val="24"/>
              </w:rPr>
              <w:t>；</w:t>
            </w:r>
          </w:p>
          <w:p w14:paraId="3A66B74D">
            <w:pPr>
              <w:keepNext w:val="0"/>
              <w:keepLines w:val="0"/>
              <w:suppressLineNumbers w:val="0"/>
              <w:adjustRightInd w:val="0"/>
              <w:spacing w:before="0" w:beforeAutospacing="0" w:after="0" w:afterAutospacing="0" w:line="360" w:lineRule="auto"/>
              <w:ind w:left="0" w:right="0" w:firstLine="482" w:firstLineChars="200"/>
              <w:rPr>
                <w:color w:val="auto"/>
                <w:sz w:val="24"/>
                <w:szCs w:val="24"/>
                <w:highlight w:val="none"/>
              </w:rPr>
            </w:pPr>
            <w:r>
              <w:rPr>
                <w:rFonts w:hint="eastAsia" w:ascii="Times New Roman" w:hAnsi="Times New Roman" w:cs="Times New Roman"/>
                <w:b/>
                <w:bCs/>
                <w:color w:val="auto"/>
                <w:sz w:val="24"/>
                <w:szCs w:val="24"/>
                <w:highlight w:val="none"/>
                <w:lang w:val="en-US" w:eastAsia="zh-CN"/>
              </w:rPr>
              <w:t>B.喷淋塔废水：</w:t>
            </w:r>
            <w:r>
              <w:rPr>
                <w:rFonts w:hint="eastAsia" w:ascii="Times New Roman" w:hAnsi="Times New Roman" w:cs="Times New Roman"/>
                <w:color w:val="auto"/>
                <w:sz w:val="24"/>
                <w:szCs w:val="24"/>
                <w:highlight w:val="none"/>
                <w:lang w:val="en-US" w:eastAsia="zh-CN"/>
              </w:rPr>
              <w:t>本项目废气治理设施设置有</w:t>
            </w:r>
            <w:r>
              <w:rPr>
                <w:rFonts w:hint="eastAsia"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台</w:t>
            </w:r>
            <w:r>
              <w:rPr>
                <w:rFonts w:ascii="Times New Roman" w:hAnsi="Times New Roman" w:cs="Times New Roman"/>
                <w:color w:val="auto"/>
                <w:sz w:val="24"/>
                <w:szCs w:val="24"/>
                <w:highlight w:val="none"/>
              </w:rPr>
              <w:t>喷淋塔</w:t>
            </w:r>
            <w:r>
              <w:rPr>
                <w:rFonts w:hint="eastAsia" w:ascii="Times New Roman" w:hAnsi="Times New Roman" w:cs="Times New Roman"/>
                <w:color w:val="auto"/>
                <w:sz w:val="24"/>
                <w:szCs w:val="24"/>
                <w:highlight w:val="none"/>
                <w:lang w:eastAsia="zh-CN"/>
              </w:rPr>
              <w:t>，</w:t>
            </w:r>
            <w:r>
              <w:rPr>
                <w:color w:val="auto"/>
                <w:sz w:val="24"/>
                <w:szCs w:val="24"/>
                <w:highlight w:val="none"/>
              </w:rPr>
              <w:t>喷淋塔循环水吸附漆雾后污染物浓度会增大，需定期更换，预计每周更换1次，一个月更换4次，每次更换量为循环水箱容积，约0.7t，则喷淋塔循环水更换量为</w:t>
            </w:r>
            <w:r>
              <w:rPr>
                <w:rFonts w:hint="eastAsia" w:ascii="Times New Roman" w:hAnsi="Times New Roman" w:cs="Times New Roman"/>
                <w:color w:val="auto"/>
                <w:sz w:val="24"/>
                <w:szCs w:val="24"/>
                <w:highlight w:val="none"/>
                <w:lang w:val="en-US" w:eastAsia="zh-CN"/>
              </w:rPr>
              <w:t>1台×</w:t>
            </w:r>
            <w:r>
              <w:rPr>
                <w:rFonts w:ascii="Times New Roman" w:hAnsi="Times New Roman" w:cs="Times New Roman"/>
                <w:color w:val="auto"/>
                <w:sz w:val="24"/>
                <w:szCs w:val="24"/>
                <w:highlight w:val="none"/>
              </w:rPr>
              <w:t>0.7t×4</w:t>
            </w:r>
            <w:r>
              <w:rPr>
                <w:rFonts w:hint="eastAsia" w:ascii="Times New Roman" w:hAnsi="Times New Roman" w:cs="Times New Roman"/>
                <w:color w:val="auto"/>
                <w:sz w:val="24"/>
                <w:szCs w:val="24"/>
                <w:highlight w:val="none"/>
                <w:lang w:val="en-US" w:eastAsia="zh-CN"/>
              </w:rPr>
              <w:t>8次/年</w:t>
            </w:r>
            <w:r>
              <w:rPr>
                <w:rFonts w:hint="eastAsia" w:cs="Times New Roman"/>
                <w:color w:val="auto"/>
                <w:sz w:val="24"/>
                <w:szCs w:val="24"/>
                <w:highlight w:val="none"/>
                <w:lang w:val="en-US" w:eastAsia="zh-CN"/>
              </w:rPr>
              <w:t>×2</w:t>
            </w:r>
            <w:r>
              <w:rPr>
                <w:rFonts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67.2</w:t>
            </w:r>
            <w:r>
              <w:rPr>
                <w:color w:val="auto"/>
                <w:sz w:val="24"/>
                <w:szCs w:val="24"/>
              </w:rPr>
              <w:t>m</w:t>
            </w:r>
            <w:r>
              <w:rPr>
                <w:color w:val="auto"/>
                <w:sz w:val="24"/>
                <w:szCs w:val="24"/>
                <w:vertAlign w:val="superscript"/>
              </w:rPr>
              <w:t>3</w:t>
            </w:r>
            <w:r>
              <w:rPr>
                <w:color w:val="auto"/>
                <w:sz w:val="24"/>
                <w:szCs w:val="24"/>
              </w:rPr>
              <w:t>/a</w:t>
            </w:r>
            <w:r>
              <w:rPr>
                <w:color w:val="auto"/>
                <w:sz w:val="24"/>
                <w:szCs w:val="24"/>
                <w:highlight w:val="none"/>
              </w:rPr>
              <w:t>，更换的废水</w:t>
            </w:r>
            <w:r>
              <w:rPr>
                <w:rFonts w:hint="eastAsia"/>
                <w:color w:val="auto"/>
                <w:sz w:val="24"/>
                <w:szCs w:val="24"/>
                <w:lang w:val="en-US" w:eastAsia="zh-CN"/>
              </w:rPr>
              <w:t>交由有危险废物处置资质单位处置</w:t>
            </w:r>
            <w:r>
              <w:rPr>
                <w:color w:val="auto"/>
                <w:sz w:val="24"/>
                <w:szCs w:val="24"/>
                <w:highlight w:val="none"/>
              </w:rPr>
              <w:t>。</w:t>
            </w:r>
          </w:p>
          <w:p w14:paraId="49CBB412">
            <w:pPr>
              <w:keepNext w:val="0"/>
              <w:keepLines w:val="0"/>
              <w:suppressLineNumbers w:val="0"/>
              <w:adjustRightInd w:val="0"/>
              <w:spacing w:before="0" w:beforeAutospacing="0" w:after="0" w:afterAutospacing="0" w:line="360" w:lineRule="auto"/>
              <w:ind w:left="0" w:right="0" w:firstLine="482" w:firstLineChars="200"/>
              <w:rPr>
                <w:rFonts w:hint="default" w:ascii="Times New Roman" w:hAnsi="Times New Roman" w:cs="Times New Roman"/>
                <w:color w:val="auto"/>
                <w:sz w:val="24"/>
                <w:szCs w:val="24"/>
                <w:highlight w:val="none"/>
              </w:rPr>
            </w:pPr>
            <w:r>
              <w:rPr>
                <w:rFonts w:hint="eastAsia"/>
                <w:b/>
                <w:bCs/>
                <w:color w:val="auto"/>
                <w:sz w:val="24"/>
                <w:szCs w:val="24"/>
                <w:highlight w:val="none"/>
                <w:lang w:val="en-US" w:eastAsia="zh-CN"/>
              </w:rPr>
              <w:t>C.前处理废水：</w:t>
            </w:r>
            <w:r>
              <w:rPr>
                <w:rFonts w:hint="eastAsia"/>
                <w:color w:val="auto"/>
                <w:sz w:val="24"/>
                <w:szCs w:val="24"/>
                <w:highlight w:val="none"/>
                <w:lang w:val="en-US" w:eastAsia="zh-CN"/>
              </w:rPr>
              <w:t>由前文计算可知，</w:t>
            </w:r>
            <w:r>
              <w:rPr>
                <w:rFonts w:hint="eastAsia" w:cs="Times New Roman"/>
                <w:color w:val="auto"/>
                <w:sz w:val="24"/>
                <w:szCs w:val="24"/>
                <w:highlight w:val="none"/>
                <w:lang w:val="en-US" w:eastAsia="zh-CN"/>
              </w:rPr>
              <w:t>外排</w:t>
            </w:r>
            <w:r>
              <w:rPr>
                <w:rFonts w:hint="default" w:ascii="Times New Roman" w:hAnsi="Times New Roman" w:cs="Times New Roman"/>
                <w:color w:val="auto"/>
                <w:sz w:val="24"/>
                <w:szCs w:val="24"/>
                <w:highlight w:val="none"/>
              </w:rPr>
              <w:t>生产废水</w:t>
            </w:r>
            <w:r>
              <w:rPr>
                <w:rFonts w:hint="eastAsia"/>
                <w:color w:val="auto"/>
                <w:sz w:val="24"/>
                <w:szCs w:val="24"/>
                <w:highlight w:val="none"/>
                <w:lang w:val="en-US" w:eastAsia="zh-CN"/>
              </w:rPr>
              <w:t>前处理废水</w:t>
            </w:r>
            <w:r>
              <w:rPr>
                <w:rFonts w:hint="default" w:ascii="Times New Roman" w:hAnsi="Times New Roman" w:cs="Times New Roman"/>
                <w:color w:val="auto"/>
                <w:sz w:val="24"/>
                <w:szCs w:val="24"/>
                <w:highlight w:val="none"/>
              </w:rPr>
              <w:t>排放量</w:t>
            </w:r>
            <w:r>
              <w:rPr>
                <w:rFonts w:hint="eastAsia" w:ascii="Times New Roman" w:hAnsi="Times New Roman" w:cs="Times New Roman"/>
                <w:color w:val="auto"/>
                <w:sz w:val="24"/>
                <w:szCs w:val="24"/>
                <w:highlight w:val="none"/>
                <w:lang w:val="en-US" w:eastAsia="zh-CN"/>
              </w:rPr>
              <w:t>合计</w:t>
            </w:r>
            <w:r>
              <w:rPr>
                <w:rFonts w:hint="default" w:ascii="Times New Roman" w:hAnsi="Times New Roman" w:cs="Times New Roman"/>
                <w:color w:val="auto"/>
                <w:sz w:val="24"/>
                <w:szCs w:val="24"/>
                <w:highlight w:val="none"/>
              </w:rPr>
              <w:t>为</w:t>
            </w:r>
            <w:r>
              <w:rPr>
                <w:rFonts w:hint="eastAsia" w:cs="Times New Roman"/>
                <w:color w:val="auto"/>
                <w:sz w:val="24"/>
                <w:szCs w:val="24"/>
                <w:highlight w:val="none"/>
                <w:lang w:val="en-US" w:eastAsia="zh-CN"/>
              </w:rPr>
              <w:t>10010.08</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/a，折算为</w:t>
            </w:r>
            <w:r>
              <w:rPr>
                <w:rFonts w:hint="eastAsia" w:cs="Times New Roman"/>
                <w:color w:val="auto"/>
                <w:sz w:val="24"/>
                <w:szCs w:val="24"/>
                <w:highlight w:val="none"/>
                <w:lang w:val="en-US" w:eastAsia="zh-CN"/>
              </w:rPr>
              <w:t>41.54</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/d。经自建污水处理站（工艺为“</w:t>
            </w:r>
            <w:r>
              <w:rPr>
                <w:rFonts w:hint="eastAsia" w:cs="Times New Roman"/>
                <w:color w:val="auto"/>
                <w:sz w:val="24"/>
                <w:szCs w:val="24"/>
                <w:highlight w:val="none"/>
                <w:lang w:eastAsia="zh-CN"/>
              </w:rPr>
              <w:t>中和调节+混凝沉淀+气浮+化学除氟</w:t>
            </w:r>
            <w:r>
              <w:rPr>
                <w:rFonts w:hint="default" w:ascii="Times New Roman" w:hAnsi="Times New Roman" w:cs="Times New Roman"/>
                <w:color w:val="auto"/>
                <w:sz w:val="24"/>
                <w:szCs w:val="24"/>
                <w:highlight w:val="none"/>
              </w:rPr>
              <w:t>”）处理后，排入园区污水处理厂进一步处理，处理达标后排放至武江。</w:t>
            </w:r>
          </w:p>
          <w:p w14:paraId="2999C421">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排水量一览表</w:t>
            </w:r>
          </w:p>
          <w:tbl>
            <w:tblPr>
              <w:tblStyle w:val="48"/>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93"/>
              <w:gridCol w:w="1467"/>
              <w:gridCol w:w="1127"/>
              <w:gridCol w:w="4072"/>
            </w:tblGrid>
            <w:tr w14:paraId="02C08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5101E15D">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排水情形</w:t>
                  </w:r>
                </w:p>
              </w:tc>
              <w:tc>
                <w:tcPr>
                  <w:tcW w:w="888" w:type="pct"/>
                  <w:noWrap w:val="0"/>
                  <w:vAlign w:val="center"/>
                </w:tcPr>
                <w:p w14:paraId="6CBE9D8E">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排水定额</w:t>
                  </w:r>
                </w:p>
              </w:tc>
              <w:tc>
                <w:tcPr>
                  <w:tcW w:w="682" w:type="pct"/>
                  <w:noWrap w:val="0"/>
                  <w:vAlign w:val="center"/>
                </w:tcPr>
                <w:p w14:paraId="6F84FE7A">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排水量t/a</w:t>
                  </w:r>
                </w:p>
              </w:tc>
              <w:tc>
                <w:tcPr>
                  <w:tcW w:w="2464" w:type="pct"/>
                  <w:noWrap w:val="0"/>
                  <w:vAlign w:val="center"/>
                </w:tcPr>
                <w:p w14:paraId="23F2FC39">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说明</w:t>
                  </w:r>
                </w:p>
              </w:tc>
            </w:tr>
            <w:tr w14:paraId="3E5EE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58AF625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生活污水</w:t>
                  </w:r>
                </w:p>
              </w:tc>
              <w:tc>
                <w:tcPr>
                  <w:tcW w:w="888" w:type="pct"/>
                  <w:noWrap w:val="0"/>
                  <w:vAlign w:val="center"/>
                </w:tcPr>
                <w:p w14:paraId="7882A92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按生活用水量的90%</w:t>
                  </w:r>
                </w:p>
              </w:tc>
              <w:tc>
                <w:tcPr>
                  <w:tcW w:w="1161" w:type="dxa"/>
                  <w:noWrap w:val="0"/>
                  <w:vAlign w:val="center"/>
                </w:tcPr>
                <w:p w14:paraId="286832C5">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u w:val="none"/>
                      <w:lang w:val="en-US" w:eastAsia="zh-CN" w:bidi="ar"/>
                    </w:rPr>
                    <w:t>2070</w:t>
                  </w:r>
                </w:p>
              </w:tc>
              <w:tc>
                <w:tcPr>
                  <w:tcW w:w="2464" w:type="pct"/>
                  <w:noWrap w:val="0"/>
                  <w:vAlign w:val="center"/>
                </w:tcPr>
                <w:p w14:paraId="108AE515">
                  <w:pPr>
                    <w:keepNext w:val="0"/>
                    <w:keepLines w:val="0"/>
                    <w:widowControl/>
                    <w:suppressLineNumbers w:val="0"/>
                    <w:jc w:val="center"/>
                    <w:textAlignment w:val="center"/>
                    <w:rPr>
                      <w:rFonts w:hint="default" w:ascii="Times New Roman" w:hAnsi="Times New Roman"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三级化粪池、隔油隔渣池处理</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园区污水处理厂</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武江</w:t>
                  </w:r>
                </w:p>
              </w:tc>
            </w:tr>
            <w:tr w14:paraId="719BC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7195762E">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前处理</w:t>
                  </w:r>
                  <w:r>
                    <w:rPr>
                      <w:rFonts w:hint="default" w:ascii="Times New Roman" w:hAnsi="Times New Roman" w:cs="Times New Roman"/>
                      <w:color w:val="auto"/>
                      <w:sz w:val="21"/>
                      <w:szCs w:val="21"/>
                      <w:highlight w:val="none"/>
                    </w:rPr>
                    <w:t>废水</w:t>
                  </w:r>
                </w:p>
              </w:tc>
              <w:tc>
                <w:tcPr>
                  <w:tcW w:w="888" w:type="pct"/>
                  <w:noWrap w:val="0"/>
                  <w:vAlign w:val="center"/>
                </w:tcPr>
                <w:p w14:paraId="6D81017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1161" w:type="dxa"/>
                  <w:noWrap w:val="0"/>
                  <w:vAlign w:val="center"/>
                </w:tcPr>
                <w:p w14:paraId="6FB38B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10010.08</w:t>
                  </w:r>
                </w:p>
              </w:tc>
              <w:tc>
                <w:tcPr>
                  <w:tcW w:w="2464" w:type="pct"/>
                  <w:noWrap w:val="0"/>
                  <w:vAlign w:val="center"/>
                </w:tcPr>
                <w:p w14:paraId="7CFB4DAD">
                  <w:pPr>
                    <w:keepNext w:val="0"/>
                    <w:keepLines w:val="0"/>
                    <w:widowControl/>
                    <w:suppressLineNumbers w:val="0"/>
                    <w:jc w:val="left"/>
                    <w:textAlignment w:val="center"/>
                    <w:rPr>
                      <w:rFonts w:hint="default" w:ascii="Times New Roman" w:hAnsi="Times New Roman"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自建污水处理站预处理</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园区污水处理厂</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武江</w:t>
                  </w:r>
                </w:p>
              </w:tc>
            </w:tr>
            <w:tr w14:paraId="68411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603400FE">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水帘柜废水</w:t>
                  </w:r>
                </w:p>
              </w:tc>
              <w:tc>
                <w:tcPr>
                  <w:tcW w:w="888" w:type="pct"/>
                  <w:noWrap w:val="0"/>
                  <w:vAlign w:val="center"/>
                </w:tcPr>
                <w:p w14:paraId="2021AD37">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161" w:type="dxa"/>
                  <w:noWrap w:val="0"/>
                  <w:vAlign w:val="center"/>
                </w:tcPr>
                <w:p w14:paraId="1C632E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194.4</w:t>
                  </w:r>
                </w:p>
              </w:tc>
              <w:tc>
                <w:tcPr>
                  <w:tcW w:w="2464" w:type="pct"/>
                  <w:vMerge w:val="restart"/>
                  <w:noWrap w:val="0"/>
                  <w:vAlign w:val="center"/>
                </w:tcPr>
                <w:p w14:paraId="2BEACB04">
                  <w:pPr>
                    <w:keepNext w:val="0"/>
                    <w:keepLines w:val="0"/>
                    <w:widowControl/>
                    <w:suppressLineNumbers w:val="0"/>
                    <w:jc w:val="center"/>
                    <w:textAlignment w:val="center"/>
                    <w:rPr>
                      <w:rFonts w:hint="default" w:ascii="Times New Roman" w:hAnsi="Times New Roman"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交由有危险废物处置资质单位处置</w:t>
                  </w:r>
                </w:p>
              </w:tc>
            </w:tr>
            <w:tr w14:paraId="44CE5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964" w:type="pct"/>
                  <w:noWrap w:val="0"/>
                  <w:vAlign w:val="center"/>
                </w:tcPr>
                <w:p w14:paraId="41E58C61">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喷淋塔废水</w:t>
                  </w:r>
                </w:p>
              </w:tc>
              <w:tc>
                <w:tcPr>
                  <w:tcW w:w="888" w:type="pct"/>
                  <w:noWrap w:val="0"/>
                  <w:vAlign w:val="center"/>
                </w:tcPr>
                <w:p w14:paraId="62E9C19F">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161" w:type="dxa"/>
                  <w:noWrap w:val="0"/>
                  <w:vAlign w:val="center"/>
                </w:tcPr>
                <w:p w14:paraId="2367DA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67.2</w:t>
                  </w:r>
                </w:p>
              </w:tc>
              <w:tc>
                <w:tcPr>
                  <w:tcW w:w="2464" w:type="pct"/>
                  <w:vMerge w:val="continue"/>
                  <w:noWrap w:val="0"/>
                  <w:vAlign w:val="center"/>
                </w:tcPr>
                <w:p w14:paraId="22A6BE62">
                  <w:pPr>
                    <w:jc w:val="center"/>
                    <w:rPr>
                      <w:rFonts w:hint="default" w:ascii="Times New Roman" w:hAnsi="Times New Roman" w:cs="Times New Roman"/>
                      <w:bCs/>
                      <w:color w:val="auto"/>
                      <w:sz w:val="21"/>
                      <w:szCs w:val="21"/>
                      <w:highlight w:val="none"/>
                    </w:rPr>
                  </w:pPr>
                </w:p>
              </w:tc>
            </w:tr>
            <w:tr w14:paraId="6C96B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11B4D100">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cs="宋体"/>
                      <w:i w:val="0"/>
                      <w:iCs w:val="0"/>
                      <w:color w:val="auto"/>
                      <w:kern w:val="0"/>
                      <w:sz w:val="21"/>
                      <w:szCs w:val="21"/>
                      <w:u w:val="none"/>
                      <w:lang w:val="en-US" w:eastAsia="zh-CN" w:bidi="ar"/>
                    </w:rPr>
                    <w:t>外排</w:t>
                  </w:r>
                  <w:r>
                    <w:rPr>
                      <w:rFonts w:hint="eastAsia" w:ascii="宋体" w:hAnsi="宋体" w:eastAsia="宋体" w:cs="宋体"/>
                      <w:i w:val="0"/>
                      <w:iCs w:val="0"/>
                      <w:color w:val="auto"/>
                      <w:kern w:val="0"/>
                      <w:sz w:val="21"/>
                      <w:szCs w:val="21"/>
                      <w:u w:val="none"/>
                      <w:lang w:val="en-US" w:eastAsia="zh-CN" w:bidi="ar"/>
                    </w:rPr>
                    <w:t>生产废水合计</w:t>
                  </w:r>
                </w:p>
              </w:tc>
              <w:tc>
                <w:tcPr>
                  <w:tcW w:w="888" w:type="pct"/>
                  <w:noWrap w:val="0"/>
                  <w:vAlign w:val="center"/>
                </w:tcPr>
                <w:p w14:paraId="1828F1BD">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1161" w:type="dxa"/>
                  <w:noWrap w:val="0"/>
                  <w:vAlign w:val="center"/>
                </w:tcPr>
                <w:p w14:paraId="4B348F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10010.08</w:t>
                  </w:r>
                </w:p>
              </w:tc>
              <w:tc>
                <w:tcPr>
                  <w:tcW w:w="2464" w:type="pct"/>
                  <w:noWrap w:val="0"/>
                  <w:vAlign w:val="center"/>
                </w:tcPr>
                <w:p w14:paraId="0D2E6B77">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r>
            <w:tr w14:paraId="60FCD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4" w:type="pct"/>
                  <w:noWrap w:val="0"/>
                  <w:vAlign w:val="center"/>
                </w:tcPr>
                <w:p w14:paraId="30C2BFDA">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总排水</w:t>
                  </w:r>
                </w:p>
              </w:tc>
              <w:tc>
                <w:tcPr>
                  <w:tcW w:w="888" w:type="pct"/>
                  <w:noWrap w:val="0"/>
                  <w:vAlign w:val="center"/>
                </w:tcPr>
                <w:p w14:paraId="208092E4">
                  <w:pPr>
                    <w:keepNext w:val="0"/>
                    <w:keepLines w:val="0"/>
                    <w:widowControl/>
                    <w:suppressLineNumbers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161" w:type="dxa"/>
                  <w:noWrap w:val="0"/>
                  <w:vAlign w:val="center"/>
                </w:tcPr>
                <w:p w14:paraId="38C11B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12080.08</w:t>
                  </w:r>
                </w:p>
              </w:tc>
              <w:tc>
                <w:tcPr>
                  <w:tcW w:w="2464" w:type="pct"/>
                  <w:noWrap w:val="0"/>
                  <w:vAlign w:val="center"/>
                </w:tcPr>
                <w:p w14:paraId="21C3BFE9">
                  <w:pPr>
                    <w:keepNext w:val="0"/>
                    <w:keepLines w:val="0"/>
                    <w:widowControl/>
                    <w:suppressLineNumbers w:val="0"/>
                    <w:jc w:val="center"/>
                    <w:textAlignment w:val="center"/>
                    <w:rPr>
                      <w:rFonts w:hint="default" w:ascii="Times New Roman" w:hAnsi="Times New Roman" w:cs="Times New Roman"/>
                      <w:bCs/>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w:t>
                  </w:r>
                </w:p>
              </w:tc>
            </w:tr>
          </w:tbl>
          <w:p w14:paraId="081A44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jc w:val="left"/>
              <w:textAlignment w:val="auto"/>
              <w:rPr>
                <w:rFonts w:hint="default" w:ascii="Times New Roman" w:hAnsi="Times New Roman" w:cs="Times New Roman"/>
                <w:color w:val="auto"/>
                <w:kern w:val="0"/>
                <w:sz w:val="24"/>
                <w:szCs w:val="24"/>
                <w:highlight w:val="none"/>
                <w:lang w:val="en-US" w:eastAsia="zh-CN" w:bidi="ar"/>
              </w:rPr>
            </w:pPr>
          </w:p>
          <w:p w14:paraId="73EF018D">
            <w:pPr>
              <w:pStyle w:val="21"/>
              <w:widowControl/>
              <w:numPr>
                <w:ilvl w:val="4"/>
                <w:numId w:val="0"/>
              </w:numPr>
              <w:suppressLineNumbers w:val="0"/>
              <w:spacing w:before="0" w:beforeAutospacing="0" w:after="0" w:afterAutospacing="0"/>
              <w:ind w:left="0" w:right="0" w:firstLine="480" w:firstLineChars="200"/>
              <w:rPr>
                <w:rFonts w:hint="default" w:ascii="Times New Roman" w:hAnsi="Times New Roman" w:cs="Times New Roman"/>
                <w:color w:val="auto"/>
                <w:kern w:val="2"/>
                <w:highlight w:val="none"/>
              </w:rPr>
            </w:pPr>
            <w:r>
              <w:rPr>
                <w:rFonts w:hint="default" w:ascii="Times New Roman" w:hAnsi="Times New Roman" w:cs="Times New Roman"/>
                <w:b w:val="0"/>
                <w:bCs w:val="0"/>
                <w:color w:val="auto"/>
                <w:kern w:val="2"/>
                <w:highlight w:val="none"/>
              </w:rPr>
              <w:t>综上，本项目用水情况见下表。</w:t>
            </w:r>
          </w:p>
          <w:p w14:paraId="1630A5CD">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项目用水情况统计表</w:t>
            </w:r>
          </w:p>
          <w:tbl>
            <w:tblPr>
              <w:tblStyle w:val="4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9"/>
              <w:gridCol w:w="1200"/>
              <w:gridCol w:w="1045"/>
              <w:gridCol w:w="1015"/>
              <w:gridCol w:w="1270"/>
              <w:gridCol w:w="2424"/>
            </w:tblGrid>
            <w:tr w14:paraId="366E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86" w:type="pct"/>
                  <w:noWrap w:val="0"/>
                  <w:tcMar>
                    <w:top w:w="0" w:type="dxa"/>
                    <w:left w:w="0" w:type="dxa"/>
                    <w:bottom w:w="0" w:type="dxa"/>
                    <w:right w:w="0" w:type="dxa"/>
                  </w:tcMar>
                  <w:vAlign w:val="center"/>
                </w:tcPr>
                <w:p w14:paraId="56F0C7D3">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0"/>
                      <w:szCs w:val="20"/>
                      <w:highlight w:val="none"/>
                    </w:rPr>
                  </w:pPr>
                  <w:r>
                    <w:rPr>
                      <w:rFonts w:hint="default" w:ascii="Times New Roman" w:hAnsi="Times New Roman" w:cs="Times New Roman"/>
                      <w:b/>
                      <w:bCs/>
                      <w:color w:val="auto"/>
                      <w:kern w:val="2"/>
                      <w:sz w:val="20"/>
                      <w:szCs w:val="20"/>
                      <w:highlight w:val="none"/>
                    </w:rPr>
                    <w:t>用水单元</w:t>
                  </w:r>
                </w:p>
              </w:tc>
              <w:tc>
                <w:tcPr>
                  <w:tcW w:w="727" w:type="pct"/>
                  <w:noWrap w:val="0"/>
                  <w:tcMar>
                    <w:top w:w="0" w:type="dxa"/>
                    <w:left w:w="0" w:type="dxa"/>
                    <w:bottom w:w="0" w:type="dxa"/>
                    <w:right w:w="0" w:type="dxa"/>
                  </w:tcMar>
                  <w:vAlign w:val="center"/>
                </w:tcPr>
                <w:p w14:paraId="11CFB2D6">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eastAsia="宋体" w:cs="Times New Roman"/>
                      <w:b/>
                      <w:bCs/>
                      <w:color w:val="auto"/>
                      <w:kern w:val="2"/>
                      <w:sz w:val="20"/>
                      <w:szCs w:val="20"/>
                      <w:highlight w:val="none"/>
                      <w:lang w:val="en-US" w:eastAsia="zh-CN"/>
                    </w:rPr>
                  </w:pPr>
                  <w:r>
                    <w:rPr>
                      <w:rFonts w:hint="default" w:ascii="Times New Roman" w:hAnsi="Times New Roman" w:cs="Times New Roman"/>
                      <w:b/>
                      <w:bCs/>
                      <w:color w:val="auto"/>
                      <w:kern w:val="2"/>
                      <w:sz w:val="20"/>
                      <w:szCs w:val="20"/>
                      <w:highlight w:val="none"/>
                    </w:rPr>
                    <w:t>新鲜用水量m</w:t>
                  </w:r>
                  <w:r>
                    <w:rPr>
                      <w:rFonts w:hint="default" w:ascii="Times New Roman" w:hAnsi="Times New Roman" w:cs="Times New Roman"/>
                      <w:b/>
                      <w:bCs/>
                      <w:color w:val="auto"/>
                      <w:kern w:val="2"/>
                      <w:sz w:val="20"/>
                      <w:szCs w:val="20"/>
                      <w:highlight w:val="none"/>
                      <w:vertAlign w:val="superscript"/>
                    </w:rPr>
                    <w:t>3</w:t>
                  </w:r>
                  <w:r>
                    <w:rPr>
                      <w:rFonts w:hint="default" w:ascii="Times New Roman" w:hAnsi="Times New Roman" w:cs="Times New Roman"/>
                      <w:b/>
                      <w:bCs/>
                      <w:color w:val="auto"/>
                      <w:kern w:val="2"/>
                      <w:sz w:val="20"/>
                      <w:szCs w:val="20"/>
                      <w:highlight w:val="none"/>
                    </w:rPr>
                    <w:t>/</w:t>
                  </w:r>
                  <w:r>
                    <w:rPr>
                      <w:rFonts w:hint="default" w:ascii="Times New Roman" w:hAnsi="Times New Roman" w:cs="Times New Roman"/>
                      <w:b/>
                      <w:bCs/>
                      <w:color w:val="auto"/>
                      <w:kern w:val="2"/>
                      <w:sz w:val="20"/>
                      <w:szCs w:val="20"/>
                      <w:highlight w:val="none"/>
                      <w:lang w:val="en-US" w:eastAsia="zh-CN"/>
                    </w:rPr>
                    <w:t>a</w:t>
                  </w:r>
                </w:p>
              </w:tc>
              <w:tc>
                <w:tcPr>
                  <w:tcW w:w="633" w:type="pct"/>
                  <w:noWrap w:val="0"/>
                  <w:tcMar>
                    <w:top w:w="0" w:type="dxa"/>
                    <w:left w:w="0" w:type="dxa"/>
                    <w:bottom w:w="0" w:type="dxa"/>
                    <w:right w:w="0" w:type="dxa"/>
                  </w:tcMar>
                  <w:vAlign w:val="center"/>
                </w:tcPr>
                <w:p w14:paraId="59ABF5BC">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eastAsia="宋体" w:cs="Times New Roman"/>
                      <w:b/>
                      <w:bCs/>
                      <w:color w:val="auto"/>
                      <w:kern w:val="2"/>
                      <w:sz w:val="20"/>
                      <w:szCs w:val="20"/>
                      <w:highlight w:val="none"/>
                      <w:lang w:eastAsia="zh-CN"/>
                    </w:rPr>
                  </w:pPr>
                  <w:r>
                    <w:rPr>
                      <w:rFonts w:hint="default" w:ascii="Times New Roman" w:hAnsi="Times New Roman" w:cs="Times New Roman"/>
                      <w:b/>
                      <w:bCs/>
                      <w:color w:val="auto"/>
                      <w:kern w:val="2"/>
                      <w:sz w:val="20"/>
                      <w:szCs w:val="20"/>
                      <w:highlight w:val="none"/>
                    </w:rPr>
                    <w:t>损耗量m</w:t>
                  </w:r>
                  <w:r>
                    <w:rPr>
                      <w:rFonts w:hint="default" w:ascii="Times New Roman" w:hAnsi="Times New Roman" w:cs="Times New Roman"/>
                      <w:b/>
                      <w:bCs/>
                      <w:color w:val="auto"/>
                      <w:kern w:val="2"/>
                      <w:sz w:val="20"/>
                      <w:szCs w:val="20"/>
                      <w:highlight w:val="none"/>
                      <w:vertAlign w:val="superscript"/>
                    </w:rPr>
                    <w:t>3</w:t>
                  </w:r>
                  <w:r>
                    <w:rPr>
                      <w:rFonts w:hint="default" w:ascii="Times New Roman" w:hAnsi="Times New Roman" w:cs="Times New Roman"/>
                      <w:b/>
                      <w:bCs/>
                      <w:color w:val="auto"/>
                      <w:kern w:val="2"/>
                      <w:sz w:val="20"/>
                      <w:szCs w:val="20"/>
                      <w:highlight w:val="none"/>
                    </w:rPr>
                    <w:t>/</w:t>
                  </w:r>
                  <w:r>
                    <w:rPr>
                      <w:rFonts w:hint="default" w:ascii="Times New Roman" w:hAnsi="Times New Roman" w:cs="Times New Roman"/>
                      <w:b/>
                      <w:bCs/>
                      <w:color w:val="auto"/>
                      <w:kern w:val="2"/>
                      <w:sz w:val="20"/>
                      <w:szCs w:val="20"/>
                      <w:highlight w:val="none"/>
                      <w:lang w:val="en-US" w:eastAsia="zh-CN"/>
                    </w:rPr>
                    <w:t>a</w:t>
                  </w:r>
                </w:p>
              </w:tc>
              <w:tc>
                <w:tcPr>
                  <w:tcW w:w="614" w:type="pct"/>
                  <w:noWrap w:val="0"/>
                  <w:tcMar>
                    <w:top w:w="0" w:type="dxa"/>
                    <w:left w:w="0" w:type="dxa"/>
                    <w:bottom w:w="0" w:type="dxa"/>
                    <w:right w:w="0" w:type="dxa"/>
                  </w:tcMar>
                  <w:vAlign w:val="center"/>
                </w:tcPr>
                <w:p w14:paraId="083B1439">
                  <w:pPr>
                    <w:keepNext w:val="0"/>
                    <w:keepLines w:val="0"/>
                    <w:widowControl/>
                    <w:suppressLineNumbers w:val="0"/>
                    <w:jc w:val="center"/>
                    <w:textAlignment w:val="center"/>
                    <w:rPr>
                      <w:rFonts w:hint="default" w:ascii="Times New Roman" w:hAnsi="Times New Roman" w:cs="Times New Roman"/>
                      <w:b/>
                      <w:bCs/>
                      <w:color w:val="auto"/>
                      <w:kern w:val="2"/>
                      <w:sz w:val="20"/>
                      <w:szCs w:val="20"/>
                      <w:highlight w:val="none"/>
                    </w:rPr>
                  </w:pPr>
                  <w:r>
                    <w:rPr>
                      <w:rFonts w:hint="eastAsia" w:ascii="宋体" w:hAnsi="宋体" w:eastAsia="宋体" w:cs="宋体"/>
                      <w:b/>
                      <w:bCs/>
                      <w:i w:val="0"/>
                      <w:iCs w:val="0"/>
                      <w:color w:val="auto"/>
                      <w:kern w:val="0"/>
                      <w:sz w:val="20"/>
                      <w:szCs w:val="20"/>
                      <w:u w:val="none"/>
                      <w:lang w:val="en-US" w:eastAsia="zh-CN" w:bidi="ar"/>
                    </w:rPr>
                    <w:t>循环用水量m</w:t>
                  </w:r>
                  <w:r>
                    <w:rPr>
                      <w:rFonts w:hint="eastAsia" w:ascii="宋体" w:hAnsi="宋体" w:eastAsia="宋体" w:cs="宋体"/>
                      <w:b/>
                      <w:bCs/>
                      <w:i w:val="0"/>
                      <w:iCs w:val="0"/>
                      <w:color w:val="auto"/>
                      <w:kern w:val="0"/>
                      <w:sz w:val="20"/>
                      <w:szCs w:val="20"/>
                      <w:u w:val="none"/>
                      <w:vertAlign w:val="superscript"/>
                      <w:lang w:val="en-US" w:eastAsia="zh-CN" w:bidi="ar"/>
                    </w:rPr>
                    <w:t>3</w:t>
                  </w:r>
                  <w:r>
                    <w:rPr>
                      <w:rFonts w:hint="eastAsia" w:ascii="宋体" w:hAnsi="宋体" w:eastAsia="宋体" w:cs="宋体"/>
                      <w:b/>
                      <w:bCs/>
                      <w:i w:val="0"/>
                      <w:iCs w:val="0"/>
                      <w:color w:val="auto"/>
                      <w:kern w:val="0"/>
                      <w:sz w:val="20"/>
                      <w:szCs w:val="20"/>
                      <w:u w:val="none"/>
                      <w:lang w:val="en-US" w:eastAsia="zh-CN" w:bidi="ar"/>
                    </w:rPr>
                    <w:t>/a</w:t>
                  </w:r>
                </w:p>
              </w:tc>
              <w:tc>
                <w:tcPr>
                  <w:tcW w:w="769" w:type="pct"/>
                  <w:noWrap w:val="0"/>
                  <w:tcMar>
                    <w:top w:w="0" w:type="dxa"/>
                    <w:left w:w="0" w:type="dxa"/>
                    <w:bottom w:w="0" w:type="dxa"/>
                    <w:right w:w="0" w:type="dxa"/>
                  </w:tcMar>
                  <w:vAlign w:val="center"/>
                </w:tcPr>
                <w:p w14:paraId="4DB915C6">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eastAsia="宋体" w:cs="Times New Roman"/>
                      <w:b/>
                      <w:bCs/>
                      <w:color w:val="auto"/>
                      <w:kern w:val="2"/>
                      <w:sz w:val="20"/>
                      <w:szCs w:val="20"/>
                      <w:highlight w:val="none"/>
                      <w:lang w:val="en-US" w:eastAsia="zh-CN"/>
                    </w:rPr>
                  </w:pPr>
                  <w:r>
                    <w:rPr>
                      <w:rFonts w:hint="default" w:ascii="Times New Roman" w:hAnsi="Times New Roman" w:cs="Times New Roman"/>
                      <w:b/>
                      <w:bCs/>
                      <w:color w:val="auto"/>
                      <w:kern w:val="2"/>
                      <w:sz w:val="20"/>
                      <w:szCs w:val="20"/>
                      <w:highlight w:val="none"/>
                    </w:rPr>
                    <w:t>废水外排量m</w:t>
                  </w:r>
                  <w:r>
                    <w:rPr>
                      <w:rFonts w:hint="default" w:ascii="Times New Roman" w:hAnsi="Times New Roman" w:cs="Times New Roman"/>
                      <w:b/>
                      <w:bCs/>
                      <w:color w:val="auto"/>
                      <w:kern w:val="2"/>
                      <w:sz w:val="20"/>
                      <w:szCs w:val="20"/>
                      <w:highlight w:val="none"/>
                      <w:vertAlign w:val="superscript"/>
                    </w:rPr>
                    <w:t>3</w:t>
                  </w:r>
                  <w:r>
                    <w:rPr>
                      <w:rFonts w:hint="default" w:ascii="Times New Roman" w:hAnsi="Times New Roman" w:cs="Times New Roman"/>
                      <w:b/>
                      <w:bCs/>
                      <w:color w:val="auto"/>
                      <w:kern w:val="2"/>
                      <w:sz w:val="20"/>
                      <w:szCs w:val="20"/>
                      <w:highlight w:val="none"/>
                    </w:rPr>
                    <w:t>/</w:t>
                  </w:r>
                  <w:r>
                    <w:rPr>
                      <w:rFonts w:hint="eastAsia" w:cs="Times New Roman"/>
                      <w:b/>
                      <w:bCs/>
                      <w:color w:val="auto"/>
                      <w:kern w:val="2"/>
                      <w:sz w:val="20"/>
                      <w:szCs w:val="20"/>
                      <w:highlight w:val="none"/>
                      <w:lang w:val="en-US" w:eastAsia="zh-CN"/>
                    </w:rPr>
                    <w:t>a</w:t>
                  </w:r>
                </w:p>
              </w:tc>
              <w:tc>
                <w:tcPr>
                  <w:tcW w:w="1468" w:type="pct"/>
                  <w:noWrap w:val="0"/>
                  <w:tcMar>
                    <w:top w:w="0" w:type="dxa"/>
                    <w:left w:w="0" w:type="dxa"/>
                    <w:bottom w:w="0" w:type="dxa"/>
                    <w:right w:w="0" w:type="dxa"/>
                  </w:tcMar>
                  <w:vAlign w:val="center"/>
                </w:tcPr>
                <w:p w14:paraId="31B18F06">
                  <w:pPr>
                    <w:pStyle w:val="109"/>
                    <w:keepNext w:val="0"/>
                    <w:keepLines w:val="0"/>
                    <w:widowControl/>
                    <w:suppressLineNumbers w:val="0"/>
                    <w:tabs>
                      <w:tab w:val="left" w:pos="-2848"/>
                    </w:tabs>
                    <w:spacing w:before="0" w:beforeAutospacing="0" w:after="0" w:afterAutospacing="0" w:line="240" w:lineRule="auto"/>
                    <w:ind w:left="0" w:right="0"/>
                    <w:rPr>
                      <w:rFonts w:hint="eastAsia" w:ascii="Times New Roman" w:hAnsi="Times New Roman" w:eastAsia="宋体" w:cs="Times New Roman"/>
                      <w:b/>
                      <w:bCs/>
                      <w:color w:val="auto"/>
                      <w:kern w:val="2"/>
                      <w:sz w:val="20"/>
                      <w:szCs w:val="20"/>
                      <w:highlight w:val="none"/>
                      <w:lang w:val="en-US" w:eastAsia="zh-CN"/>
                    </w:rPr>
                  </w:pPr>
                  <w:r>
                    <w:rPr>
                      <w:rFonts w:hint="eastAsia" w:ascii="Times New Roman" w:hAnsi="Times New Roman" w:cs="Times New Roman"/>
                      <w:b/>
                      <w:bCs/>
                      <w:color w:val="auto"/>
                      <w:kern w:val="2"/>
                      <w:sz w:val="20"/>
                      <w:szCs w:val="20"/>
                      <w:highlight w:val="none"/>
                      <w:lang w:val="en-US" w:eastAsia="zh-CN"/>
                    </w:rPr>
                    <w:t>备注</w:t>
                  </w:r>
                </w:p>
              </w:tc>
            </w:tr>
            <w:tr w14:paraId="2EFE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86" w:type="pct"/>
                  <w:noWrap w:val="0"/>
                  <w:tcMar>
                    <w:top w:w="0" w:type="dxa"/>
                    <w:left w:w="0" w:type="dxa"/>
                    <w:bottom w:w="0" w:type="dxa"/>
                    <w:right w:w="0" w:type="dxa"/>
                  </w:tcMar>
                  <w:vAlign w:val="center"/>
                </w:tcPr>
                <w:p w14:paraId="65074F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cs="Times New Roman"/>
                      <w:color w:val="auto"/>
                      <w:sz w:val="20"/>
                      <w:szCs w:val="20"/>
                      <w:highlight w:val="none"/>
                      <w:lang w:val="en-US" w:eastAsia="zh-CN"/>
                    </w:rPr>
                    <w:t>员工办公生活用水</w:t>
                  </w:r>
                </w:p>
              </w:tc>
              <w:tc>
                <w:tcPr>
                  <w:tcW w:w="727" w:type="pct"/>
                  <w:noWrap w:val="0"/>
                  <w:tcMar>
                    <w:top w:w="0" w:type="dxa"/>
                    <w:left w:w="0" w:type="dxa"/>
                    <w:bottom w:w="0" w:type="dxa"/>
                    <w:right w:w="0" w:type="dxa"/>
                  </w:tcMar>
                  <w:vAlign w:val="center"/>
                </w:tcPr>
                <w:p w14:paraId="088B7670">
                  <w:pPr>
                    <w:keepNext w:val="0"/>
                    <w:keepLines w:val="0"/>
                    <w:widowControl/>
                    <w:suppressLineNumbers w:val="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2300</w:t>
                  </w:r>
                </w:p>
              </w:tc>
              <w:tc>
                <w:tcPr>
                  <w:tcW w:w="633" w:type="pct"/>
                  <w:noWrap w:val="0"/>
                  <w:tcMar>
                    <w:top w:w="0" w:type="dxa"/>
                    <w:left w:w="0" w:type="dxa"/>
                    <w:bottom w:w="0" w:type="dxa"/>
                    <w:right w:w="0" w:type="dxa"/>
                  </w:tcMar>
                  <w:vAlign w:val="center"/>
                </w:tcPr>
                <w:p w14:paraId="6A0A91C5">
                  <w:pPr>
                    <w:keepNext w:val="0"/>
                    <w:keepLines w:val="0"/>
                    <w:widowControl/>
                    <w:suppressLineNumbers w:val="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230</w:t>
                  </w:r>
                </w:p>
              </w:tc>
              <w:tc>
                <w:tcPr>
                  <w:tcW w:w="614" w:type="pct"/>
                  <w:noWrap w:val="0"/>
                  <w:tcMar>
                    <w:top w:w="0" w:type="dxa"/>
                    <w:left w:w="0" w:type="dxa"/>
                    <w:bottom w:w="0" w:type="dxa"/>
                    <w:right w:w="0" w:type="dxa"/>
                  </w:tcMar>
                  <w:vAlign w:val="center"/>
                </w:tcPr>
                <w:p w14:paraId="66B59ADB">
                  <w:pPr>
                    <w:keepNext w:val="0"/>
                    <w:keepLines w:val="0"/>
                    <w:widowControl/>
                    <w:suppressLineNumbers w:val="0"/>
                    <w:jc w:val="center"/>
                    <w:textAlignment w:val="center"/>
                    <w:rPr>
                      <w:rFonts w:hint="eastAsia"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769" w:type="pct"/>
                  <w:noWrap w:val="0"/>
                  <w:tcMar>
                    <w:top w:w="0" w:type="dxa"/>
                    <w:left w:w="0" w:type="dxa"/>
                    <w:bottom w:w="0" w:type="dxa"/>
                    <w:right w:w="0" w:type="dxa"/>
                  </w:tcMar>
                  <w:vAlign w:val="center"/>
                </w:tcPr>
                <w:p w14:paraId="4614C336">
                  <w:pPr>
                    <w:keepNext w:val="0"/>
                    <w:keepLines w:val="0"/>
                    <w:widowControl/>
                    <w:suppressLineNumbers w:val="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2070</w:t>
                  </w:r>
                </w:p>
              </w:tc>
              <w:tc>
                <w:tcPr>
                  <w:tcW w:w="1468" w:type="pct"/>
                  <w:noWrap w:val="0"/>
                  <w:tcMar>
                    <w:top w:w="0" w:type="dxa"/>
                    <w:left w:w="0" w:type="dxa"/>
                    <w:bottom w:w="0" w:type="dxa"/>
                    <w:right w:w="0" w:type="dxa"/>
                  </w:tcMar>
                  <w:vAlign w:val="center"/>
                </w:tcPr>
                <w:p w14:paraId="732B0C5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w:t>
                  </w:r>
                </w:p>
              </w:tc>
            </w:tr>
            <w:tr w14:paraId="0071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86" w:type="pct"/>
                  <w:noWrap w:val="0"/>
                  <w:tcMar>
                    <w:top w:w="0" w:type="dxa"/>
                    <w:left w:w="0" w:type="dxa"/>
                    <w:bottom w:w="0" w:type="dxa"/>
                    <w:right w:w="0" w:type="dxa"/>
                  </w:tcMar>
                  <w:vAlign w:val="center"/>
                </w:tcPr>
                <w:p w14:paraId="7170D0D4">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sz w:val="20"/>
                      <w:szCs w:val="20"/>
                      <w:highlight w:val="none"/>
                    </w:rPr>
                  </w:pPr>
                  <w:r>
                    <w:rPr>
                      <w:rFonts w:hint="default" w:ascii="Times New Roman" w:hAnsi="Times New Roman" w:cs="Times New Roman"/>
                      <w:color w:val="auto"/>
                      <w:kern w:val="0"/>
                      <w:sz w:val="20"/>
                      <w:szCs w:val="20"/>
                      <w:highlight w:val="none"/>
                      <w:lang w:val="en-US" w:eastAsia="zh-CN" w:bidi="ar"/>
                    </w:rPr>
                    <w:t>前处理</w:t>
                  </w:r>
                  <w:r>
                    <w:rPr>
                      <w:rFonts w:hint="default" w:ascii="Times New Roman" w:hAnsi="Times New Roman" w:cs="Times New Roman"/>
                      <w:color w:val="auto"/>
                      <w:kern w:val="0"/>
                      <w:sz w:val="20"/>
                      <w:szCs w:val="20"/>
                      <w:highlight w:val="none"/>
                      <w:lang w:bidi="ar"/>
                    </w:rPr>
                    <w:t>清洗用水</w:t>
                  </w:r>
                </w:p>
              </w:tc>
              <w:tc>
                <w:tcPr>
                  <w:tcW w:w="727" w:type="pct"/>
                  <w:noWrap w:val="0"/>
                  <w:tcMar>
                    <w:top w:w="0" w:type="dxa"/>
                    <w:left w:w="0" w:type="dxa"/>
                    <w:bottom w:w="0" w:type="dxa"/>
                    <w:right w:w="0" w:type="dxa"/>
                  </w:tcMar>
                  <w:vAlign w:val="center"/>
                </w:tcPr>
                <w:p w14:paraId="331B3B4B">
                  <w:pPr>
                    <w:keepNext w:val="0"/>
                    <w:keepLines w:val="0"/>
                    <w:widowControl/>
                    <w:suppressLineNumbers w:val="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19884.63 </w:t>
                  </w:r>
                </w:p>
              </w:tc>
              <w:tc>
                <w:tcPr>
                  <w:tcW w:w="633" w:type="pct"/>
                  <w:noWrap w:val="0"/>
                  <w:tcMar>
                    <w:top w:w="0" w:type="dxa"/>
                    <w:left w:w="0" w:type="dxa"/>
                    <w:bottom w:w="0" w:type="dxa"/>
                    <w:right w:w="0" w:type="dxa"/>
                  </w:tcMar>
                  <w:vAlign w:val="center"/>
                </w:tcPr>
                <w:p w14:paraId="47EB6797">
                  <w:pPr>
                    <w:keepNext w:val="0"/>
                    <w:keepLines w:val="0"/>
                    <w:widowControl/>
                    <w:suppressLineNumbers w:val="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9861.25 </w:t>
                  </w:r>
                </w:p>
              </w:tc>
              <w:tc>
                <w:tcPr>
                  <w:tcW w:w="614" w:type="pct"/>
                  <w:noWrap w:val="0"/>
                  <w:tcMar>
                    <w:top w:w="0" w:type="dxa"/>
                    <w:left w:w="0" w:type="dxa"/>
                    <w:bottom w:w="0" w:type="dxa"/>
                    <w:right w:w="0" w:type="dxa"/>
                  </w:tcMar>
                  <w:vAlign w:val="center"/>
                </w:tcPr>
                <w:p w14:paraId="40B9E8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1270937.60 </w:t>
                  </w:r>
                </w:p>
              </w:tc>
              <w:tc>
                <w:tcPr>
                  <w:tcW w:w="769" w:type="pct"/>
                  <w:noWrap w:val="0"/>
                  <w:tcMar>
                    <w:top w:w="0" w:type="dxa"/>
                    <w:left w:w="0" w:type="dxa"/>
                    <w:bottom w:w="0" w:type="dxa"/>
                    <w:right w:w="0" w:type="dxa"/>
                  </w:tcMar>
                  <w:vAlign w:val="center"/>
                </w:tcPr>
                <w:p w14:paraId="432FC4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10010.08</w:t>
                  </w:r>
                </w:p>
              </w:tc>
              <w:tc>
                <w:tcPr>
                  <w:tcW w:w="1468" w:type="pct"/>
                  <w:noWrap w:val="0"/>
                  <w:tcMar>
                    <w:top w:w="0" w:type="dxa"/>
                    <w:left w:w="0" w:type="dxa"/>
                    <w:bottom w:w="0" w:type="dxa"/>
                    <w:right w:w="0" w:type="dxa"/>
                  </w:tcMar>
                  <w:vAlign w:val="center"/>
                </w:tcPr>
                <w:p w14:paraId="5E8209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olor w:val="auto"/>
                      <w:lang w:val="en-US" w:eastAsia="zh-CN"/>
                    </w:rPr>
                    <w:t>另外添加除油剂27.746t/a、无铬钝化剂3.750t/a，同时无铬钝化池废槽液交由有危险废物处置资质单位</w:t>
                  </w:r>
                </w:p>
              </w:tc>
            </w:tr>
            <w:tr w14:paraId="6E1A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86" w:type="pct"/>
                  <w:noWrap w:val="0"/>
                  <w:tcMar>
                    <w:top w:w="0" w:type="dxa"/>
                    <w:left w:w="0" w:type="dxa"/>
                    <w:bottom w:w="0" w:type="dxa"/>
                    <w:right w:w="0" w:type="dxa"/>
                  </w:tcMar>
                  <w:vAlign w:val="center"/>
                </w:tcPr>
                <w:p w14:paraId="2D9D46EA">
                  <w:pPr>
                    <w:keepNext w:val="0"/>
                    <w:keepLines w:val="0"/>
                    <w:widowControl/>
                    <w:suppressLineNumbers w:val="0"/>
                    <w:jc w:val="center"/>
                    <w:textAlignment w:val="center"/>
                    <w:rPr>
                      <w:rFonts w:hint="default" w:ascii="Times New Roman" w:hAnsi="Times New Roman" w:cs="Times New Roman"/>
                      <w:color w:val="auto"/>
                      <w:kern w:val="0"/>
                      <w:sz w:val="20"/>
                      <w:szCs w:val="20"/>
                      <w:highlight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水帘柜用水</w:t>
                  </w:r>
                </w:p>
              </w:tc>
              <w:tc>
                <w:tcPr>
                  <w:tcW w:w="727" w:type="pct"/>
                  <w:noWrap w:val="0"/>
                  <w:tcMar>
                    <w:top w:w="0" w:type="dxa"/>
                    <w:left w:w="0" w:type="dxa"/>
                    <w:bottom w:w="0" w:type="dxa"/>
                    <w:right w:w="0" w:type="dxa"/>
                  </w:tcMar>
                  <w:vAlign w:val="center"/>
                </w:tcPr>
                <w:p w14:paraId="0CC7B581">
                  <w:pPr>
                    <w:keepNext w:val="0"/>
                    <w:keepLines w:val="0"/>
                    <w:widowControl/>
                    <w:suppressLineNumbers w:val="0"/>
                    <w:jc w:val="center"/>
                    <w:textAlignment w:val="center"/>
                    <w:rPr>
                      <w:rFonts w:hint="eastAsia"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5434.70 </w:t>
                  </w:r>
                </w:p>
              </w:tc>
              <w:tc>
                <w:tcPr>
                  <w:tcW w:w="633" w:type="pct"/>
                  <w:noWrap w:val="0"/>
                  <w:tcMar>
                    <w:top w:w="0" w:type="dxa"/>
                    <w:left w:w="0" w:type="dxa"/>
                    <w:bottom w:w="0" w:type="dxa"/>
                    <w:right w:w="0" w:type="dxa"/>
                  </w:tcMar>
                  <w:vAlign w:val="center"/>
                </w:tcPr>
                <w:p w14:paraId="0680970C">
                  <w:pPr>
                    <w:keepNext w:val="0"/>
                    <w:keepLines w:val="0"/>
                    <w:widowControl/>
                    <w:suppressLineNumbers w:val="0"/>
                    <w:jc w:val="center"/>
                    <w:textAlignment w:val="center"/>
                    <w:rPr>
                      <w:rFonts w:hint="eastAsia"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5240.30 </w:t>
                  </w:r>
                </w:p>
              </w:tc>
              <w:tc>
                <w:tcPr>
                  <w:tcW w:w="614" w:type="pct"/>
                  <w:noWrap w:val="0"/>
                  <w:tcMar>
                    <w:top w:w="0" w:type="dxa"/>
                    <w:left w:w="0" w:type="dxa"/>
                    <w:bottom w:w="0" w:type="dxa"/>
                    <w:right w:w="0" w:type="dxa"/>
                  </w:tcMar>
                  <w:vAlign w:val="center"/>
                </w:tcPr>
                <w:p w14:paraId="2B2B97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349353.60 </w:t>
                  </w:r>
                </w:p>
              </w:tc>
              <w:tc>
                <w:tcPr>
                  <w:tcW w:w="769" w:type="pct"/>
                  <w:noWrap w:val="0"/>
                  <w:tcMar>
                    <w:top w:w="0" w:type="dxa"/>
                    <w:left w:w="0" w:type="dxa"/>
                    <w:bottom w:w="0" w:type="dxa"/>
                    <w:right w:w="0" w:type="dxa"/>
                  </w:tcMar>
                  <w:vAlign w:val="center"/>
                </w:tcPr>
                <w:p w14:paraId="29C0662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194.4</w:t>
                  </w:r>
                </w:p>
              </w:tc>
              <w:tc>
                <w:tcPr>
                  <w:tcW w:w="1468" w:type="pct"/>
                  <w:noWrap w:val="0"/>
                  <w:tcMar>
                    <w:top w:w="0" w:type="dxa"/>
                    <w:left w:w="0" w:type="dxa"/>
                    <w:bottom w:w="0" w:type="dxa"/>
                    <w:right w:w="0" w:type="dxa"/>
                  </w:tcMar>
                  <w:vAlign w:val="center"/>
                </w:tcPr>
                <w:p w14:paraId="78A0121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w:t>
                  </w:r>
                </w:p>
              </w:tc>
            </w:tr>
            <w:tr w14:paraId="5028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86" w:type="pct"/>
                  <w:noWrap w:val="0"/>
                  <w:tcMar>
                    <w:top w:w="0" w:type="dxa"/>
                    <w:left w:w="0" w:type="dxa"/>
                    <w:bottom w:w="0" w:type="dxa"/>
                    <w:right w:w="0" w:type="dxa"/>
                  </w:tcMar>
                  <w:vAlign w:val="center"/>
                </w:tcPr>
                <w:p w14:paraId="2AFAED9A">
                  <w:pPr>
                    <w:keepNext w:val="0"/>
                    <w:keepLines w:val="0"/>
                    <w:widowControl/>
                    <w:suppressLineNumbers w:val="0"/>
                    <w:jc w:val="center"/>
                    <w:textAlignment w:val="center"/>
                    <w:rPr>
                      <w:rFonts w:hint="default" w:ascii="Times New Roman" w:hAnsi="Times New Roman" w:cs="Times New Roman"/>
                      <w:color w:val="auto"/>
                      <w:kern w:val="0"/>
                      <w:sz w:val="20"/>
                      <w:szCs w:val="20"/>
                      <w:highlight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喷淋塔用水</w:t>
                  </w:r>
                </w:p>
              </w:tc>
              <w:tc>
                <w:tcPr>
                  <w:tcW w:w="727" w:type="pct"/>
                  <w:noWrap w:val="0"/>
                  <w:tcMar>
                    <w:top w:w="0" w:type="dxa"/>
                    <w:left w:w="0" w:type="dxa"/>
                    <w:bottom w:w="0" w:type="dxa"/>
                    <w:right w:w="0" w:type="dxa"/>
                  </w:tcMar>
                  <w:vAlign w:val="center"/>
                </w:tcPr>
                <w:p w14:paraId="74180A3F">
                  <w:pPr>
                    <w:keepNext w:val="0"/>
                    <w:keepLines w:val="0"/>
                    <w:widowControl/>
                    <w:suppressLineNumbers w:val="0"/>
                    <w:jc w:val="center"/>
                    <w:textAlignment w:val="center"/>
                    <w:rPr>
                      <w:rFonts w:hint="eastAsia"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1542.12 </w:t>
                  </w:r>
                </w:p>
              </w:tc>
              <w:tc>
                <w:tcPr>
                  <w:tcW w:w="633" w:type="pct"/>
                  <w:noWrap w:val="0"/>
                  <w:tcMar>
                    <w:top w:w="0" w:type="dxa"/>
                    <w:left w:w="0" w:type="dxa"/>
                    <w:bottom w:w="0" w:type="dxa"/>
                    <w:right w:w="0" w:type="dxa"/>
                  </w:tcMar>
                  <w:vAlign w:val="center"/>
                </w:tcPr>
                <w:p w14:paraId="688C0698">
                  <w:pPr>
                    <w:keepNext w:val="0"/>
                    <w:keepLines w:val="0"/>
                    <w:widowControl/>
                    <w:suppressLineNumbers w:val="0"/>
                    <w:jc w:val="center"/>
                    <w:textAlignment w:val="center"/>
                    <w:rPr>
                      <w:rFonts w:hint="eastAsia"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1474.92 </w:t>
                  </w:r>
                </w:p>
              </w:tc>
              <w:tc>
                <w:tcPr>
                  <w:tcW w:w="614" w:type="pct"/>
                  <w:noWrap w:val="0"/>
                  <w:tcMar>
                    <w:top w:w="0" w:type="dxa"/>
                    <w:left w:w="0" w:type="dxa"/>
                    <w:bottom w:w="0" w:type="dxa"/>
                    <w:right w:w="0" w:type="dxa"/>
                  </w:tcMar>
                  <w:vAlign w:val="center"/>
                </w:tcPr>
                <w:p w14:paraId="5E33CF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98328.00 </w:t>
                  </w:r>
                </w:p>
              </w:tc>
              <w:tc>
                <w:tcPr>
                  <w:tcW w:w="769" w:type="pct"/>
                  <w:noWrap w:val="0"/>
                  <w:tcMar>
                    <w:top w:w="0" w:type="dxa"/>
                    <w:left w:w="0" w:type="dxa"/>
                    <w:bottom w:w="0" w:type="dxa"/>
                    <w:right w:w="0" w:type="dxa"/>
                  </w:tcMar>
                  <w:vAlign w:val="center"/>
                </w:tcPr>
                <w:p w14:paraId="71DBBEC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67.2</w:t>
                  </w:r>
                </w:p>
              </w:tc>
              <w:tc>
                <w:tcPr>
                  <w:tcW w:w="1468" w:type="pct"/>
                  <w:noWrap w:val="0"/>
                  <w:tcMar>
                    <w:top w:w="0" w:type="dxa"/>
                    <w:left w:w="0" w:type="dxa"/>
                    <w:bottom w:w="0" w:type="dxa"/>
                    <w:right w:w="0" w:type="dxa"/>
                  </w:tcMar>
                  <w:vAlign w:val="center"/>
                </w:tcPr>
                <w:p w14:paraId="42AFF9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w:t>
                  </w:r>
                </w:p>
              </w:tc>
            </w:tr>
            <w:tr w14:paraId="2659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86" w:type="pct"/>
                  <w:noWrap w:val="0"/>
                  <w:tcMar>
                    <w:top w:w="0" w:type="dxa"/>
                    <w:left w:w="0" w:type="dxa"/>
                    <w:bottom w:w="0" w:type="dxa"/>
                    <w:right w:w="0" w:type="dxa"/>
                  </w:tcMar>
                  <w:vAlign w:val="center"/>
                </w:tcPr>
                <w:p w14:paraId="55A39A85">
                  <w:pPr>
                    <w:keepNext w:val="0"/>
                    <w:keepLines w:val="0"/>
                    <w:widowControl/>
                    <w:suppressLineNumbers w:val="0"/>
                    <w:jc w:val="center"/>
                    <w:textAlignment w:val="center"/>
                    <w:rPr>
                      <w:rFonts w:hint="default" w:ascii="Times New Roman" w:hAnsi="Times New Roman" w:cs="Times New Roman"/>
                      <w:color w:val="auto"/>
                      <w:kern w:val="0"/>
                      <w:sz w:val="20"/>
                      <w:szCs w:val="20"/>
                      <w:highlight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生产用水合计</w:t>
                  </w:r>
                </w:p>
              </w:tc>
              <w:tc>
                <w:tcPr>
                  <w:tcW w:w="727" w:type="pct"/>
                  <w:noWrap w:val="0"/>
                  <w:tcMar>
                    <w:top w:w="0" w:type="dxa"/>
                    <w:left w:w="0" w:type="dxa"/>
                    <w:bottom w:w="0" w:type="dxa"/>
                    <w:right w:w="0" w:type="dxa"/>
                  </w:tcMar>
                  <w:vAlign w:val="center"/>
                </w:tcPr>
                <w:p w14:paraId="5E69A3EB">
                  <w:pPr>
                    <w:keepNext w:val="0"/>
                    <w:keepLines w:val="0"/>
                    <w:widowControl/>
                    <w:suppressLineNumbers w:val="0"/>
                    <w:jc w:val="center"/>
                    <w:textAlignment w:val="center"/>
                    <w:rPr>
                      <w:rFonts w:hint="eastAsia"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26861.46 </w:t>
                  </w:r>
                </w:p>
              </w:tc>
              <w:tc>
                <w:tcPr>
                  <w:tcW w:w="633" w:type="pct"/>
                  <w:noWrap w:val="0"/>
                  <w:tcMar>
                    <w:top w:w="0" w:type="dxa"/>
                    <w:left w:w="0" w:type="dxa"/>
                    <w:bottom w:w="0" w:type="dxa"/>
                    <w:right w:w="0" w:type="dxa"/>
                  </w:tcMar>
                  <w:vAlign w:val="center"/>
                </w:tcPr>
                <w:p w14:paraId="66039AAB">
                  <w:pPr>
                    <w:keepNext w:val="0"/>
                    <w:keepLines w:val="0"/>
                    <w:widowControl/>
                    <w:suppressLineNumbers w:val="0"/>
                    <w:jc w:val="center"/>
                    <w:textAlignment w:val="center"/>
                    <w:rPr>
                      <w:rFonts w:hint="eastAsia"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16576.47 </w:t>
                  </w:r>
                </w:p>
              </w:tc>
              <w:tc>
                <w:tcPr>
                  <w:tcW w:w="614" w:type="pct"/>
                  <w:noWrap w:val="0"/>
                  <w:tcMar>
                    <w:top w:w="0" w:type="dxa"/>
                    <w:left w:w="0" w:type="dxa"/>
                    <w:bottom w:w="0" w:type="dxa"/>
                    <w:right w:w="0" w:type="dxa"/>
                  </w:tcMar>
                  <w:vAlign w:val="center"/>
                </w:tcPr>
                <w:p w14:paraId="324BE0A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1718619.20 </w:t>
                  </w:r>
                </w:p>
              </w:tc>
              <w:tc>
                <w:tcPr>
                  <w:tcW w:w="769" w:type="pct"/>
                  <w:noWrap w:val="0"/>
                  <w:tcMar>
                    <w:top w:w="0" w:type="dxa"/>
                    <w:left w:w="0" w:type="dxa"/>
                    <w:bottom w:w="0" w:type="dxa"/>
                    <w:right w:w="0" w:type="dxa"/>
                  </w:tcMar>
                  <w:vAlign w:val="center"/>
                </w:tcPr>
                <w:p w14:paraId="5FE61FE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10010.08</w:t>
                  </w:r>
                </w:p>
              </w:tc>
              <w:tc>
                <w:tcPr>
                  <w:tcW w:w="1468" w:type="pct"/>
                  <w:noWrap w:val="0"/>
                  <w:tcMar>
                    <w:top w:w="0" w:type="dxa"/>
                    <w:left w:w="0" w:type="dxa"/>
                    <w:bottom w:w="0" w:type="dxa"/>
                    <w:right w:w="0" w:type="dxa"/>
                  </w:tcMar>
                  <w:vAlign w:val="center"/>
                </w:tcPr>
                <w:p w14:paraId="6905146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w:t>
                  </w:r>
                </w:p>
              </w:tc>
            </w:tr>
            <w:tr w14:paraId="65C3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86" w:type="pct"/>
                  <w:noWrap w:val="0"/>
                  <w:tcMar>
                    <w:top w:w="0" w:type="dxa"/>
                    <w:left w:w="0" w:type="dxa"/>
                    <w:bottom w:w="0" w:type="dxa"/>
                    <w:right w:w="0" w:type="dxa"/>
                  </w:tcMar>
                  <w:vAlign w:val="center"/>
                </w:tcPr>
                <w:p w14:paraId="0A814E4D">
                  <w:pPr>
                    <w:keepNext w:val="0"/>
                    <w:keepLines w:val="0"/>
                    <w:widowControl/>
                    <w:suppressLineNumbers w:val="0"/>
                    <w:jc w:val="center"/>
                    <w:textAlignment w:val="center"/>
                    <w:rPr>
                      <w:rFonts w:hint="default" w:ascii="Times New Roman" w:hAnsi="Times New Roman" w:cs="Times New Roman"/>
                      <w:color w:val="auto"/>
                      <w:sz w:val="20"/>
                      <w:szCs w:val="20"/>
                      <w:highlight w:val="none"/>
                    </w:rPr>
                  </w:pPr>
                  <w:r>
                    <w:rPr>
                      <w:rFonts w:hint="eastAsia" w:ascii="宋体" w:hAnsi="宋体" w:eastAsia="宋体" w:cs="宋体"/>
                      <w:i w:val="0"/>
                      <w:iCs w:val="0"/>
                      <w:color w:val="auto"/>
                      <w:kern w:val="0"/>
                      <w:sz w:val="20"/>
                      <w:szCs w:val="20"/>
                      <w:u w:val="none"/>
                      <w:lang w:val="en-US" w:eastAsia="zh-CN" w:bidi="ar"/>
                    </w:rPr>
                    <w:t>合计</w:t>
                  </w:r>
                </w:p>
              </w:tc>
              <w:tc>
                <w:tcPr>
                  <w:tcW w:w="727" w:type="pct"/>
                  <w:noWrap w:val="0"/>
                  <w:tcMar>
                    <w:top w:w="0" w:type="dxa"/>
                    <w:left w:w="0" w:type="dxa"/>
                    <w:bottom w:w="0" w:type="dxa"/>
                    <w:right w:w="0" w:type="dxa"/>
                  </w:tcMar>
                  <w:vAlign w:val="center"/>
                </w:tcPr>
                <w:p w14:paraId="2507C68B">
                  <w:pPr>
                    <w:keepNext w:val="0"/>
                    <w:keepLines w:val="0"/>
                    <w:widowControl/>
                    <w:suppressLineNumbers w:val="0"/>
                    <w:jc w:val="center"/>
                    <w:textAlignment w:val="center"/>
                    <w:rPr>
                      <w:rFonts w:hint="default" w:ascii="Times New Roman" w:hAnsi="Times New Roman" w:eastAsia="宋体" w:cs="Times New Roman"/>
                      <w:color w:val="auto"/>
                      <w:sz w:val="20"/>
                      <w:szCs w:val="20"/>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29161.46 </w:t>
                  </w:r>
                </w:p>
              </w:tc>
              <w:tc>
                <w:tcPr>
                  <w:tcW w:w="633" w:type="pct"/>
                  <w:noWrap w:val="0"/>
                  <w:tcMar>
                    <w:top w:w="0" w:type="dxa"/>
                    <w:left w:w="0" w:type="dxa"/>
                    <w:bottom w:w="0" w:type="dxa"/>
                    <w:right w:w="0" w:type="dxa"/>
                  </w:tcMar>
                  <w:vAlign w:val="center"/>
                </w:tcPr>
                <w:p w14:paraId="4542065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16806.47 </w:t>
                  </w:r>
                </w:p>
              </w:tc>
              <w:tc>
                <w:tcPr>
                  <w:tcW w:w="614" w:type="pct"/>
                  <w:noWrap w:val="0"/>
                  <w:tcMar>
                    <w:top w:w="0" w:type="dxa"/>
                    <w:left w:w="0" w:type="dxa"/>
                    <w:bottom w:w="0" w:type="dxa"/>
                    <w:right w:w="0" w:type="dxa"/>
                  </w:tcMar>
                  <w:vAlign w:val="center"/>
                </w:tcPr>
                <w:p w14:paraId="29A069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1718619.20 </w:t>
                  </w:r>
                </w:p>
              </w:tc>
              <w:tc>
                <w:tcPr>
                  <w:tcW w:w="769" w:type="pct"/>
                  <w:noWrap w:val="0"/>
                  <w:tcMar>
                    <w:top w:w="0" w:type="dxa"/>
                    <w:left w:w="0" w:type="dxa"/>
                    <w:bottom w:w="0" w:type="dxa"/>
                    <w:right w:w="0" w:type="dxa"/>
                  </w:tcMar>
                  <w:vAlign w:val="center"/>
                </w:tcPr>
                <w:p w14:paraId="000F79D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12080.08</w:t>
                  </w:r>
                </w:p>
              </w:tc>
              <w:tc>
                <w:tcPr>
                  <w:tcW w:w="1468" w:type="pct"/>
                  <w:noWrap w:val="0"/>
                  <w:tcMar>
                    <w:top w:w="0" w:type="dxa"/>
                    <w:left w:w="0" w:type="dxa"/>
                    <w:bottom w:w="0" w:type="dxa"/>
                    <w:right w:w="0" w:type="dxa"/>
                  </w:tcMar>
                  <w:vAlign w:val="center"/>
                </w:tcPr>
                <w:p w14:paraId="4F33C9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u w:val="none"/>
                      <w:lang w:val="en-US" w:eastAsia="zh-CN" w:bidi="ar"/>
                    </w:rPr>
                  </w:pPr>
                  <w:r>
                    <w:rPr>
                      <w:rFonts w:hint="eastAsia" w:cs="Times New Roman"/>
                      <w:i w:val="0"/>
                      <w:iCs w:val="0"/>
                      <w:color w:val="auto"/>
                      <w:kern w:val="0"/>
                      <w:sz w:val="20"/>
                      <w:szCs w:val="20"/>
                      <w:u w:val="none"/>
                      <w:lang w:val="en-US" w:eastAsia="zh-CN" w:bidi="ar"/>
                    </w:rPr>
                    <w:t>/</w:t>
                  </w:r>
                </w:p>
              </w:tc>
            </w:tr>
          </w:tbl>
          <w:p w14:paraId="3BFA66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jc w:val="left"/>
              <w:textAlignment w:val="auto"/>
              <w:rPr>
                <w:rFonts w:hint="default" w:ascii="Times New Roman" w:hAnsi="Times New Roman" w:cs="Times New Roman"/>
                <w:color w:val="auto"/>
                <w:kern w:val="0"/>
                <w:sz w:val="24"/>
                <w:szCs w:val="24"/>
                <w:highlight w:val="none"/>
                <w:lang w:val="en-US" w:eastAsia="zh-CN" w:bidi="ar"/>
              </w:rPr>
            </w:pPr>
          </w:p>
          <w:p w14:paraId="7A1D316A">
            <w:pPr>
              <w:pStyle w:val="21"/>
              <w:widowControl/>
              <w:numPr>
                <w:ilvl w:val="4"/>
                <w:numId w:val="0"/>
              </w:numPr>
              <w:suppressLineNumbers w:val="0"/>
              <w:spacing w:before="0" w:beforeAutospacing="0" w:after="0" w:afterAutospacing="0" w:line="240" w:lineRule="auto"/>
              <w:ind w:left="-960" w:right="0" w:firstLine="1440"/>
              <w:rPr>
                <w:rFonts w:hint="eastAsia" w:cs="Times New Roman"/>
                <w:color w:val="auto"/>
                <w:kern w:val="2"/>
                <w:highlight w:val="none"/>
                <w:lang w:val="en-US" w:eastAsia="zh-CN"/>
              </w:rPr>
            </w:pPr>
            <w:r>
              <w:rPr>
                <w:rFonts w:hint="default" w:ascii="Times New Roman" w:hAnsi="Times New Roman" w:cs="Times New Roman"/>
                <w:color w:val="auto"/>
                <w:kern w:val="2"/>
                <w:highlight w:val="none"/>
                <w:lang w:val="en-US" w:eastAsia="zh-CN"/>
              </w:rPr>
              <w:t>项目水平衡图如下</w:t>
            </w:r>
            <w:r>
              <w:rPr>
                <w:rFonts w:hint="eastAsia" w:cs="Times New Roman"/>
                <w:color w:val="auto"/>
                <w:kern w:val="2"/>
                <w:highlight w:val="none"/>
                <w:lang w:val="en-US" w:eastAsia="zh-CN"/>
              </w:rPr>
              <w:t>：</w:t>
            </w:r>
          </w:p>
          <w:p w14:paraId="6F72DCE4">
            <w:pPr>
              <w:rPr>
                <w:rFonts w:hint="default" w:ascii="Times New Roman" w:hAnsi="Times New Roman" w:eastAsia="宋体" w:cs="Times New Roman"/>
                <w:color w:val="auto"/>
                <w:kern w:val="2"/>
                <w:sz w:val="21"/>
                <w:szCs w:val="21"/>
                <w:highlight w:val="none"/>
                <w:lang w:val="en-US" w:eastAsia="zh-CN"/>
              </w:rPr>
            </w:pPr>
            <w:r>
              <w:rPr>
                <w:rFonts w:hint="default"/>
                <w:color w:val="auto"/>
                <w:lang w:val="en-US" w:eastAsia="zh-CN"/>
              </w:rPr>
              <w:object>
                <v:shape id="_x0000_i1025" o:spt="75" type="#_x0000_t75" style="height:316.65pt;width:407.1pt;" o:ole="t" filled="f" o:preferrelative="t" stroked="f" coordsize="21600,21600">
                  <v:path/>
                  <v:fill on="f" focussize="0,0"/>
                  <v:stroke on="f"/>
                  <v:imagedata r:id="rId21" o:title=""/>
                  <o:lock v:ext="edit" aspectratio="f"/>
                  <w10:wrap type="none"/>
                  <w10:anchorlock/>
                </v:shape>
                <o:OLEObject Type="Embed" ProgID="Visio.Drawing.15" ShapeID="_x0000_i1025" DrawAspect="Content" ObjectID="_1468075725" r:id="rId20">
                  <o:LockedField>false</o:LockedField>
                </o:OLEObject>
              </w:object>
            </w:r>
          </w:p>
          <w:p w14:paraId="2A03CDA4">
            <w:pPr>
              <w:pStyle w:val="16"/>
              <w:keepNext w:val="0"/>
              <w:keepLines w:val="0"/>
              <w:pageBreakBefore w:val="0"/>
              <w:widowControl w:val="0"/>
              <w:numPr>
                <w:ilvl w:val="0"/>
                <w:numId w:val="11"/>
              </w:numPr>
              <w:suppressLineNumbers w:val="0"/>
              <w:tabs>
                <w:tab w:val="left" w:pos="628"/>
                <w:tab w:val="left" w:pos="993"/>
                <w:tab w:val="left" w:pos="1884"/>
                <w:tab w:val="clear" w:pos="3240"/>
                <w:tab w:val="clear" w:pos="6120"/>
              </w:tabs>
              <w:kinsoku/>
              <w:wordWrap w:val="0"/>
              <w:overflowPunct/>
              <w:topLinePunct w:val="0"/>
              <w:bidi w:val="0"/>
              <w:adjustRightInd/>
              <w:snapToGrid/>
              <w:spacing w:before="0" w:beforeAutospacing="0" w:after="0" w:afterLines="0" w:afterAutospacing="0" w:line="240" w:lineRule="auto"/>
              <w:ind w:left="0" w:leftChars="0" w:right="0" w:firstLine="0" w:firstLineChars="0"/>
              <w:jc w:val="center"/>
              <w:outlineLvl w:val="9"/>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lang w:val="en-US" w:eastAsia="zh-CN"/>
              </w:rPr>
              <w:t>本项目水平衡图（单位m</w:t>
            </w:r>
            <w:r>
              <w:rPr>
                <w:rFonts w:hint="default" w:ascii="Times New Roman" w:hAnsi="Times New Roman" w:eastAsia="宋体" w:cs="Times New Roman"/>
                <w:b/>
                <w:bCs/>
                <w:color w:val="auto"/>
                <w:kern w:val="2"/>
                <w:sz w:val="24"/>
                <w:szCs w:val="24"/>
                <w:highlight w:val="none"/>
                <w:vertAlign w:val="superscript"/>
                <w:lang w:val="en-US" w:eastAsia="zh-CN"/>
              </w:rPr>
              <w:t>3</w:t>
            </w:r>
            <w:r>
              <w:rPr>
                <w:rFonts w:hint="default" w:ascii="Times New Roman" w:hAnsi="Times New Roman" w:eastAsia="宋体" w:cs="Times New Roman"/>
                <w:b/>
                <w:bCs/>
                <w:color w:val="auto"/>
                <w:kern w:val="2"/>
                <w:sz w:val="24"/>
                <w:szCs w:val="24"/>
                <w:highlight w:val="none"/>
                <w:lang w:val="en-US" w:eastAsia="zh-CN"/>
              </w:rPr>
              <w:t>/a）</w:t>
            </w:r>
          </w:p>
          <w:p w14:paraId="1CB1406C">
            <w:pPr>
              <w:wordWrap w:val="0"/>
              <w:topLinePunct/>
              <w:spacing w:line="360" w:lineRule="auto"/>
              <w:ind w:firstLine="482" w:firstLineChars="200"/>
              <w:outlineLvl w:val="4"/>
              <w:rPr>
                <w:rFonts w:hint="default" w:eastAsia="宋体"/>
                <w:b/>
                <w:color w:val="auto"/>
                <w:sz w:val="24"/>
                <w:szCs w:val="24"/>
                <w:highlight w:val="none"/>
                <w:lang w:val="en-US" w:eastAsia="zh-CN"/>
              </w:rPr>
            </w:pPr>
            <w:r>
              <w:rPr>
                <w:b/>
                <w:color w:val="auto"/>
                <w:sz w:val="24"/>
                <w:szCs w:val="24"/>
                <w:highlight w:val="none"/>
              </w:rPr>
              <w:t>（</w:t>
            </w:r>
            <w:r>
              <w:rPr>
                <w:rFonts w:hint="eastAsia"/>
                <w:b/>
                <w:color w:val="auto"/>
                <w:sz w:val="24"/>
                <w:szCs w:val="24"/>
                <w:highlight w:val="none"/>
                <w:lang w:val="en-US" w:eastAsia="zh-CN"/>
              </w:rPr>
              <w:t>4</w:t>
            </w:r>
            <w:r>
              <w:rPr>
                <w:b/>
                <w:color w:val="auto"/>
                <w:sz w:val="24"/>
                <w:szCs w:val="24"/>
                <w:highlight w:val="none"/>
              </w:rPr>
              <w:t>）</w:t>
            </w:r>
            <w:r>
              <w:rPr>
                <w:rFonts w:hint="eastAsia"/>
                <w:b/>
                <w:color w:val="auto"/>
                <w:sz w:val="24"/>
                <w:szCs w:val="24"/>
                <w:highlight w:val="none"/>
                <w:lang w:val="en-US" w:eastAsia="zh-CN"/>
              </w:rPr>
              <w:t>漆用量核算</w:t>
            </w:r>
          </w:p>
          <w:p w14:paraId="5552262A">
            <w:pPr>
              <w:pStyle w:val="27"/>
              <w:ind w:firstLine="480"/>
              <w:rPr>
                <w:rFonts w:hint="eastAsia" w:eastAsia="宋体" w:cs="Times New Roman"/>
                <w:b/>
                <w:bCs/>
                <w:color w:val="auto"/>
                <w:highlight w:val="none"/>
                <w:lang w:val="en-US" w:eastAsia="zh-CN"/>
              </w:rPr>
            </w:pPr>
            <w:r>
              <w:rPr>
                <w:rFonts w:hint="eastAsia"/>
                <w:color w:val="auto"/>
                <w:sz w:val="24"/>
                <w:szCs w:val="24"/>
                <w:highlight w:val="none"/>
                <w:lang w:val="en-US" w:eastAsia="zh-CN"/>
              </w:rPr>
              <w:t>本项目涂料实际用量采用计算公式：涂料实际用量（L）=喷涂面积×干膜厚度/（10×体积固体含量×100×上漆率）。</w:t>
            </w:r>
          </w:p>
          <w:p w14:paraId="4152271E">
            <w:pPr>
              <w:pageBreakBefore w:val="0"/>
              <w:wordWrap w:val="0"/>
              <w:overflowPunct/>
              <w:bidi w:val="0"/>
              <w:spacing w:line="360" w:lineRule="auto"/>
              <w:ind w:firstLine="482" w:firstLineChars="200"/>
              <w:rPr>
                <w:b/>
                <w:color w:val="auto"/>
                <w:sz w:val="24"/>
                <w:highlight w:val="none"/>
              </w:rPr>
            </w:pPr>
            <w:r>
              <w:rPr>
                <w:rFonts w:hint="eastAsia"/>
                <w:b/>
                <w:color w:val="auto"/>
                <w:sz w:val="24"/>
                <w:highlight w:val="none"/>
                <w:lang w:val="en-US" w:eastAsia="zh-CN"/>
              </w:rPr>
              <w:t>①</w:t>
            </w:r>
            <w:r>
              <w:rPr>
                <w:b/>
                <w:color w:val="auto"/>
                <w:sz w:val="24"/>
                <w:highlight w:val="none"/>
              </w:rPr>
              <w:t>调配后各漆料用料核算</w:t>
            </w:r>
          </w:p>
          <w:p w14:paraId="70D3E2E1">
            <w:pPr>
              <w:pageBreakBefore w:val="0"/>
              <w:widowControl w:val="0"/>
              <w:numPr>
                <w:ilvl w:val="0"/>
                <w:numId w:val="10"/>
              </w:numPr>
              <w:wordWrap w:val="0"/>
              <w:overflowPunct/>
              <w:bidi w:val="0"/>
              <w:spacing w:line="240" w:lineRule="auto"/>
              <w:ind w:left="0" w:leftChars="0" w:firstLine="40" w:firstLineChars="0"/>
              <w:jc w:val="center"/>
              <w:rPr>
                <w:b/>
                <w:color w:val="auto"/>
                <w:sz w:val="21"/>
                <w:szCs w:val="21"/>
                <w:highlight w:val="none"/>
              </w:rPr>
            </w:pPr>
            <w:r>
              <w:rPr>
                <w:rFonts w:hint="default" w:ascii="Times New Roman" w:hAnsi="Times New Roman" w:cs="Times New Roman"/>
                <w:b/>
                <w:bCs/>
                <w:color w:val="auto"/>
                <w:sz w:val="21"/>
                <w:szCs w:val="21"/>
                <w:highlight w:val="none"/>
              </w:rPr>
              <w:t xml:space="preserve"> </w:t>
            </w:r>
            <w:r>
              <w:rPr>
                <w:b/>
                <w:bCs/>
                <w:color w:val="auto"/>
                <w:sz w:val="21"/>
                <w:szCs w:val="21"/>
                <w:highlight w:val="none"/>
              </w:rPr>
              <w:t>调配后各漆料用料一览表</w:t>
            </w:r>
          </w:p>
          <w:tbl>
            <w:tblPr>
              <w:tblStyle w:val="48"/>
              <w:tblW w:w="83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1"/>
              <w:gridCol w:w="1075"/>
              <w:gridCol w:w="1086"/>
              <w:gridCol w:w="1435"/>
              <w:gridCol w:w="1217"/>
              <w:gridCol w:w="1228"/>
              <w:gridCol w:w="1215"/>
            </w:tblGrid>
            <w:tr w14:paraId="6B47E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2" w:hRule="atLeast"/>
              </w:trPr>
              <w:tc>
                <w:tcPr>
                  <w:tcW w:w="648" w:type="pct"/>
                  <w:tcBorders>
                    <w:top w:val="single" w:color="000000" w:sz="4" w:space="0"/>
                    <w:left w:val="single" w:color="000000" w:sz="4" w:space="0"/>
                    <w:bottom w:val="single" w:color="000000" w:sz="4" w:space="0"/>
                    <w:right w:val="single" w:color="000000" w:sz="4" w:space="0"/>
                  </w:tcBorders>
                  <w:noWrap w:val="0"/>
                  <w:vAlign w:val="center"/>
                </w:tcPr>
                <w:p w14:paraId="41B166D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lang w:val="en-US"/>
                    </w:rPr>
                  </w:pPr>
                  <w:r>
                    <w:rPr>
                      <w:rStyle w:val="168"/>
                      <w:color w:val="auto"/>
                      <w:lang w:val="en-US" w:eastAsia="zh-CN" w:bidi="ar"/>
                    </w:rPr>
                    <w:t>原料</w:t>
                  </w:r>
                  <w:r>
                    <w:rPr>
                      <w:rStyle w:val="168"/>
                      <w:rFonts w:hint="eastAsia"/>
                      <w:color w:val="auto"/>
                      <w:lang w:val="en-US" w:eastAsia="zh-CN" w:bidi="ar"/>
                    </w:rPr>
                    <w:t>种类</w:t>
                  </w:r>
                </w:p>
              </w:tc>
              <w:tc>
                <w:tcPr>
                  <w:tcW w:w="644" w:type="pct"/>
                  <w:tcBorders>
                    <w:top w:val="single" w:color="000000" w:sz="4" w:space="0"/>
                    <w:left w:val="single" w:color="000000" w:sz="4" w:space="0"/>
                    <w:bottom w:val="single" w:color="000000" w:sz="4" w:space="0"/>
                    <w:right w:val="single" w:color="000000" w:sz="4" w:space="0"/>
                  </w:tcBorders>
                  <w:noWrap w:val="0"/>
                  <w:vAlign w:val="center"/>
                </w:tcPr>
                <w:p w14:paraId="42697C6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8"/>
                      <w:color w:val="auto"/>
                      <w:lang w:val="en-US" w:eastAsia="zh-CN" w:bidi="ar"/>
                    </w:rPr>
                    <w:t>喷涂面积</w:t>
                  </w:r>
                  <w:r>
                    <w:rPr>
                      <w:rFonts w:hint="default" w:ascii="Times New Roman" w:hAnsi="Times New Roman" w:eastAsia="宋体" w:cs="Times New Roman"/>
                      <w:b/>
                      <w:bCs/>
                      <w:i w:val="0"/>
                      <w:iCs w:val="0"/>
                      <w:color w:val="auto"/>
                      <w:kern w:val="0"/>
                      <w:sz w:val="21"/>
                      <w:szCs w:val="21"/>
                      <w:u w:val="none"/>
                      <w:lang w:val="en-US" w:eastAsia="zh-CN" w:bidi="ar"/>
                    </w:rPr>
                    <w:t>m</w:t>
                  </w:r>
                  <w:r>
                    <w:rPr>
                      <w:rStyle w:val="169"/>
                      <w:rFonts w:eastAsia="宋体"/>
                      <w:color w:val="auto"/>
                      <w:lang w:val="en-US" w:eastAsia="zh-CN" w:bidi="ar"/>
                    </w:rPr>
                    <w:t>2</w:t>
                  </w:r>
                </w:p>
              </w:tc>
              <w:tc>
                <w:tcPr>
                  <w:tcW w:w="651" w:type="pct"/>
                  <w:tcBorders>
                    <w:top w:val="single" w:color="000000" w:sz="4" w:space="0"/>
                    <w:left w:val="single" w:color="000000" w:sz="4" w:space="0"/>
                    <w:bottom w:val="single" w:color="000000" w:sz="4" w:space="0"/>
                    <w:right w:val="single" w:color="000000" w:sz="4" w:space="0"/>
                  </w:tcBorders>
                  <w:noWrap w:val="0"/>
                  <w:vAlign w:val="center"/>
                </w:tcPr>
                <w:p w14:paraId="3B64872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8"/>
                      <w:color w:val="auto"/>
                      <w:lang w:val="en-US" w:eastAsia="zh-CN" w:bidi="ar"/>
                    </w:rPr>
                    <w:t>喷涂厚度</w:t>
                  </w:r>
                  <w:r>
                    <w:rPr>
                      <w:rFonts w:hint="default" w:ascii="Times New Roman" w:hAnsi="Times New Roman" w:eastAsia="宋体" w:cs="Times New Roman"/>
                      <w:b/>
                      <w:bCs/>
                      <w:i w:val="0"/>
                      <w:iCs w:val="0"/>
                      <w:color w:val="auto"/>
                      <w:kern w:val="0"/>
                      <w:sz w:val="21"/>
                      <w:szCs w:val="21"/>
                      <w:u w:val="none"/>
                      <w:lang w:val="en-US" w:eastAsia="zh-CN" w:bidi="ar"/>
                    </w:rPr>
                    <w:t>μm</w:t>
                  </w:r>
                </w:p>
              </w:tc>
              <w:tc>
                <w:tcPr>
                  <w:tcW w:w="860" w:type="pct"/>
                  <w:tcBorders>
                    <w:top w:val="single" w:color="000000" w:sz="4" w:space="0"/>
                    <w:left w:val="single" w:color="000000" w:sz="4" w:space="0"/>
                    <w:bottom w:val="single" w:color="000000" w:sz="4" w:space="0"/>
                    <w:right w:val="single" w:color="000000" w:sz="4" w:space="0"/>
                  </w:tcBorders>
                  <w:noWrap w:val="0"/>
                  <w:vAlign w:val="center"/>
                </w:tcPr>
                <w:p w14:paraId="41AB4CC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8"/>
                      <w:rFonts w:hint="eastAsia"/>
                      <w:color w:val="auto"/>
                      <w:lang w:val="en-US" w:eastAsia="zh-CN" w:bidi="ar"/>
                    </w:rPr>
                    <w:t>干膜</w:t>
                  </w:r>
                  <w:r>
                    <w:rPr>
                      <w:rStyle w:val="168"/>
                      <w:color w:val="auto"/>
                      <w:lang w:val="en-US" w:eastAsia="zh-CN" w:bidi="ar"/>
                    </w:rPr>
                    <w:t>密度</w:t>
                  </w:r>
                  <w:r>
                    <w:rPr>
                      <w:rFonts w:hint="default" w:ascii="Times New Roman" w:hAnsi="Times New Roman" w:eastAsia="宋体" w:cs="Times New Roman"/>
                      <w:b/>
                      <w:bCs/>
                      <w:i w:val="0"/>
                      <w:iCs w:val="0"/>
                      <w:color w:val="auto"/>
                      <w:kern w:val="0"/>
                      <w:sz w:val="21"/>
                      <w:szCs w:val="21"/>
                      <w:u w:val="none"/>
                      <w:lang w:val="en-US" w:eastAsia="zh-CN" w:bidi="ar"/>
                    </w:rPr>
                    <w:t>g/cm</w:t>
                  </w:r>
                  <w:r>
                    <w:rPr>
                      <w:rStyle w:val="169"/>
                      <w:rFonts w:eastAsia="宋体"/>
                      <w:color w:val="auto"/>
                      <w:lang w:val="en-US" w:eastAsia="zh-CN" w:bidi="ar"/>
                    </w:rPr>
                    <w:t>3</w:t>
                  </w:r>
                </w:p>
              </w:tc>
              <w:tc>
                <w:tcPr>
                  <w:tcW w:w="729" w:type="pct"/>
                  <w:tcBorders>
                    <w:top w:val="single" w:color="000000" w:sz="4" w:space="0"/>
                    <w:left w:val="single" w:color="000000" w:sz="4" w:space="0"/>
                    <w:bottom w:val="single" w:color="000000" w:sz="4" w:space="0"/>
                    <w:right w:val="single" w:color="000000" w:sz="4" w:space="0"/>
                  </w:tcBorders>
                  <w:noWrap w:val="0"/>
                  <w:vAlign w:val="center"/>
                </w:tcPr>
                <w:p w14:paraId="1EF2702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8"/>
                      <w:color w:val="auto"/>
                      <w:lang w:val="en-US" w:eastAsia="zh-CN" w:bidi="ar"/>
                    </w:rPr>
                    <w:t>固含量</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736" w:type="pct"/>
                  <w:tcBorders>
                    <w:top w:val="single" w:color="000000" w:sz="4" w:space="0"/>
                    <w:left w:val="single" w:color="000000" w:sz="4" w:space="0"/>
                    <w:bottom w:val="single" w:color="000000" w:sz="4" w:space="0"/>
                    <w:right w:val="single" w:color="000000" w:sz="4" w:space="0"/>
                  </w:tcBorders>
                  <w:noWrap w:val="0"/>
                  <w:vAlign w:val="center"/>
                </w:tcPr>
                <w:p w14:paraId="0A1FFE4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8"/>
                      <w:rFonts w:hint="eastAsia"/>
                      <w:color w:val="auto"/>
                      <w:lang w:val="en-US" w:eastAsia="zh-CN" w:bidi="ar"/>
                    </w:rPr>
                    <w:t>利用</w:t>
                  </w:r>
                  <w:r>
                    <w:rPr>
                      <w:rStyle w:val="168"/>
                      <w:color w:val="auto"/>
                      <w:lang w:val="en-US" w:eastAsia="zh-CN" w:bidi="ar"/>
                    </w:rPr>
                    <w:t>率</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noWrap w:val="0"/>
                  <w:vAlign w:val="center"/>
                </w:tcPr>
                <w:p w14:paraId="374931B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8"/>
                      <w:color w:val="auto"/>
                      <w:lang w:val="en-US" w:eastAsia="zh-CN" w:bidi="ar"/>
                    </w:rPr>
                    <w:t>原料使用量</w:t>
                  </w:r>
                  <w:r>
                    <w:rPr>
                      <w:rFonts w:hint="default" w:ascii="Times New Roman" w:hAnsi="Times New Roman" w:eastAsia="宋体" w:cs="Times New Roman"/>
                      <w:b/>
                      <w:bCs/>
                      <w:i w:val="0"/>
                      <w:iCs w:val="0"/>
                      <w:color w:val="auto"/>
                      <w:kern w:val="0"/>
                      <w:sz w:val="21"/>
                      <w:szCs w:val="21"/>
                      <w:u w:val="none"/>
                      <w:lang w:val="en-US" w:eastAsia="zh-CN" w:bidi="ar"/>
                    </w:rPr>
                    <w:t>t/a</w:t>
                  </w:r>
                </w:p>
              </w:tc>
            </w:tr>
            <w:tr w14:paraId="797A1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48" w:type="pct"/>
                  <w:tcBorders>
                    <w:top w:val="single" w:color="000000" w:sz="4" w:space="0"/>
                    <w:left w:val="single" w:color="000000" w:sz="4" w:space="0"/>
                    <w:bottom w:val="single" w:color="000000" w:sz="4" w:space="0"/>
                    <w:right w:val="single" w:color="000000" w:sz="4" w:space="0"/>
                  </w:tcBorders>
                  <w:noWrap/>
                  <w:vAlign w:val="center"/>
                </w:tcPr>
                <w:p w14:paraId="591865E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底漆</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6F77F4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68000</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14:paraId="210630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435" w:type="dxa"/>
                  <w:tcBorders>
                    <w:top w:val="single" w:color="000000" w:sz="4" w:space="0"/>
                    <w:left w:val="single" w:color="000000" w:sz="4" w:space="0"/>
                    <w:bottom w:val="single" w:color="000000" w:sz="4" w:space="0"/>
                    <w:right w:val="single" w:color="000000" w:sz="4" w:space="0"/>
                  </w:tcBorders>
                  <w:noWrap w:val="0"/>
                  <w:vAlign w:val="center"/>
                </w:tcPr>
                <w:p w14:paraId="4B193B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1.4076</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77C846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69.29 </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374085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12800A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4.605 </w:t>
                  </w:r>
                </w:p>
              </w:tc>
            </w:tr>
            <w:tr w14:paraId="1C2B8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648" w:type="pct"/>
                  <w:tcBorders>
                    <w:top w:val="single" w:color="000000" w:sz="4" w:space="0"/>
                    <w:left w:val="single" w:color="000000" w:sz="4" w:space="0"/>
                    <w:bottom w:val="single" w:color="000000" w:sz="4" w:space="0"/>
                    <w:right w:val="single" w:color="000000" w:sz="4" w:space="0"/>
                  </w:tcBorders>
                  <w:noWrap/>
                  <w:vAlign w:val="center"/>
                </w:tcPr>
                <w:p w14:paraId="067F38E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面漆</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1B41A2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68000</w:t>
                  </w:r>
                </w:p>
              </w:tc>
              <w:tc>
                <w:tcPr>
                  <w:tcW w:w="1086" w:type="dxa"/>
                  <w:tcBorders>
                    <w:top w:val="single" w:color="000000" w:sz="4" w:space="0"/>
                    <w:left w:val="single" w:color="000000" w:sz="4" w:space="0"/>
                    <w:bottom w:val="single" w:color="000000" w:sz="4" w:space="0"/>
                    <w:right w:val="single" w:color="000000" w:sz="4" w:space="0"/>
                  </w:tcBorders>
                  <w:noWrap/>
                  <w:vAlign w:val="center"/>
                </w:tcPr>
                <w:p w14:paraId="74BD5B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1435" w:type="dxa"/>
                  <w:tcBorders>
                    <w:top w:val="single" w:color="000000" w:sz="4" w:space="0"/>
                    <w:left w:val="single" w:color="000000" w:sz="4" w:space="0"/>
                    <w:bottom w:val="single" w:color="000000" w:sz="4" w:space="0"/>
                    <w:right w:val="single" w:color="000000" w:sz="4" w:space="0"/>
                  </w:tcBorders>
                  <w:noWrap/>
                  <w:vAlign w:val="center"/>
                </w:tcPr>
                <w:p w14:paraId="7B0A78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1.2852</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5C2AA1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57.81 </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77C9E5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3DAC84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4.031 </w:t>
                  </w:r>
                </w:p>
              </w:tc>
            </w:tr>
            <w:tr w14:paraId="32FED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 w:hRule="atLeast"/>
              </w:trPr>
              <w:tc>
                <w:tcPr>
                  <w:tcW w:w="648" w:type="pct"/>
                  <w:tcBorders>
                    <w:top w:val="single" w:color="000000" w:sz="4" w:space="0"/>
                    <w:left w:val="single" w:color="000000" w:sz="4" w:space="0"/>
                    <w:bottom w:val="single" w:color="000000" w:sz="4" w:space="0"/>
                    <w:right w:val="single" w:color="000000" w:sz="4" w:space="0"/>
                  </w:tcBorders>
                  <w:noWrap/>
                  <w:vAlign w:val="center"/>
                </w:tcPr>
                <w:p w14:paraId="625B43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清漆</w:t>
                  </w:r>
                </w:p>
              </w:tc>
              <w:tc>
                <w:tcPr>
                  <w:tcW w:w="1075" w:type="dxa"/>
                  <w:tcBorders>
                    <w:top w:val="single" w:color="000000" w:sz="4" w:space="0"/>
                    <w:left w:val="single" w:color="000000" w:sz="4" w:space="0"/>
                    <w:bottom w:val="single" w:color="000000" w:sz="4" w:space="0"/>
                    <w:right w:val="single" w:color="000000" w:sz="4" w:space="0"/>
                  </w:tcBorders>
                  <w:noWrap w:val="0"/>
                  <w:vAlign w:val="center"/>
                </w:tcPr>
                <w:p w14:paraId="309BE8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68000</w:t>
                  </w:r>
                </w:p>
              </w:tc>
              <w:tc>
                <w:tcPr>
                  <w:tcW w:w="1086" w:type="dxa"/>
                  <w:tcBorders>
                    <w:top w:val="single" w:color="000000" w:sz="4" w:space="0"/>
                    <w:left w:val="single" w:color="000000" w:sz="4" w:space="0"/>
                    <w:bottom w:val="single" w:color="000000" w:sz="4" w:space="0"/>
                    <w:right w:val="single" w:color="000000" w:sz="4" w:space="0"/>
                  </w:tcBorders>
                  <w:noWrap/>
                  <w:vAlign w:val="center"/>
                </w:tcPr>
                <w:p w14:paraId="2D6C66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1435" w:type="dxa"/>
                  <w:tcBorders>
                    <w:top w:val="single" w:color="000000" w:sz="4" w:space="0"/>
                    <w:left w:val="single" w:color="000000" w:sz="4" w:space="0"/>
                    <w:bottom w:val="single" w:color="000000" w:sz="4" w:space="0"/>
                    <w:right w:val="single" w:color="000000" w:sz="4" w:space="0"/>
                  </w:tcBorders>
                  <w:noWrap/>
                  <w:vAlign w:val="center"/>
                </w:tcPr>
                <w:p w14:paraId="246997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1.4076</w:t>
                  </w:r>
                </w:p>
              </w:tc>
              <w:tc>
                <w:tcPr>
                  <w:tcW w:w="1217" w:type="dxa"/>
                  <w:tcBorders>
                    <w:top w:val="single" w:color="000000" w:sz="4" w:space="0"/>
                    <w:left w:val="single" w:color="000000" w:sz="4" w:space="0"/>
                    <w:bottom w:val="single" w:color="000000" w:sz="4" w:space="0"/>
                    <w:right w:val="single" w:color="000000" w:sz="4" w:space="0"/>
                  </w:tcBorders>
                  <w:noWrap w:val="0"/>
                  <w:vAlign w:val="center"/>
                </w:tcPr>
                <w:p w14:paraId="163235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65.61 </w:t>
                  </w:r>
                </w:p>
              </w:tc>
              <w:tc>
                <w:tcPr>
                  <w:tcW w:w="1228" w:type="dxa"/>
                  <w:tcBorders>
                    <w:top w:val="single" w:color="000000" w:sz="4" w:space="0"/>
                    <w:left w:val="single" w:color="000000" w:sz="4" w:space="0"/>
                    <w:bottom w:val="single" w:color="000000" w:sz="4" w:space="0"/>
                    <w:right w:val="single" w:color="000000" w:sz="4" w:space="0"/>
                  </w:tcBorders>
                  <w:noWrap w:val="0"/>
                  <w:vAlign w:val="center"/>
                </w:tcPr>
                <w:p w14:paraId="727EC7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215" w:type="dxa"/>
                  <w:tcBorders>
                    <w:top w:val="single" w:color="000000" w:sz="4" w:space="0"/>
                    <w:left w:val="single" w:color="000000" w:sz="4" w:space="0"/>
                    <w:bottom w:val="single" w:color="000000" w:sz="4" w:space="0"/>
                    <w:right w:val="single" w:color="000000" w:sz="4" w:space="0"/>
                  </w:tcBorders>
                  <w:noWrap/>
                  <w:vAlign w:val="center"/>
                </w:tcPr>
                <w:p w14:paraId="4E58EA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1.216 </w:t>
                  </w:r>
                </w:p>
              </w:tc>
            </w:tr>
            <w:tr w14:paraId="2F501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 w:hRule="atLeast"/>
              </w:trPr>
              <w:tc>
                <w:tcPr>
                  <w:tcW w:w="4271" w:type="pct"/>
                  <w:gridSpan w:val="6"/>
                  <w:tcBorders>
                    <w:top w:val="single" w:color="000000" w:sz="4" w:space="0"/>
                    <w:left w:val="single" w:color="000000" w:sz="4" w:space="0"/>
                    <w:bottom w:val="single" w:color="000000" w:sz="4" w:space="0"/>
                    <w:right w:val="single" w:color="000000" w:sz="4" w:space="0"/>
                  </w:tcBorders>
                  <w:noWrap/>
                  <w:vAlign w:val="center"/>
                </w:tcPr>
                <w:p w14:paraId="201701A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728" w:type="pct"/>
                  <w:tcBorders>
                    <w:top w:val="single" w:color="000000" w:sz="4" w:space="0"/>
                    <w:left w:val="single" w:color="000000" w:sz="4" w:space="0"/>
                    <w:bottom w:val="single" w:color="000000" w:sz="4" w:space="0"/>
                    <w:right w:val="single" w:color="000000" w:sz="4" w:space="0"/>
                  </w:tcBorders>
                  <w:noWrap/>
                  <w:vAlign w:val="center"/>
                </w:tcPr>
                <w:p w14:paraId="40540B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r>
                    <w:rPr>
                      <w:rFonts w:hint="eastAsia" w:cs="Times New Roman"/>
                      <w:i w:val="0"/>
                      <w:iCs w:val="0"/>
                      <w:color w:val="auto"/>
                      <w:kern w:val="0"/>
                      <w:sz w:val="21"/>
                      <w:szCs w:val="21"/>
                      <w:u w:val="none"/>
                      <w:lang w:val="en-US" w:eastAsia="zh-CN" w:bidi="ar"/>
                    </w:rPr>
                    <w:t>852</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63A9E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 w:hRule="atLeast"/>
              </w:trPr>
              <w:tc>
                <w:tcPr>
                  <w:tcW w:w="5000" w:type="pct"/>
                  <w:gridSpan w:val="7"/>
                  <w:tcBorders>
                    <w:top w:val="single" w:color="000000" w:sz="4" w:space="0"/>
                    <w:left w:val="single" w:color="000000" w:sz="4" w:space="0"/>
                    <w:bottom w:val="single" w:color="000000" w:sz="4" w:space="0"/>
                    <w:right w:val="single" w:color="000000" w:sz="4" w:space="0"/>
                  </w:tcBorders>
                  <w:noWrap/>
                  <w:vAlign w:val="center"/>
                </w:tcPr>
                <w:p w14:paraId="2B0B0653">
                  <w:pPr>
                    <w:keepNext w:val="0"/>
                    <w:keepLines w:val="0"/>
                    <w:widowControl/>
                    <w:suppressLineNumbers w:val="0"/>
                    <w:spacing w:line="240" w:lineRule="auto"/>
                    <w:jc w:val="left"/>
                    <w:textAlignment w:val="center"/>
                    <w:rPr>
                      <w:rStyle w:val="152"/>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rPr>
                    <w:t>注：1、</w:t>
                  </w:r>
                  <w:r>
                    <w:rPr>
                      <w:rFonts w:hint="eastAsia" w:cs="Times New Roman"/>
                      <w:i w:val="0"/>
                      <w:iCs w:val="0"/>
                      <w:color w:val="auto"/>
                      <w:kern w:val="0"/>
                      <w:sz w:val="21"/>
                      <w:szCs w:val="21"/>
                      <w:u w:val="none"/>
                      <w:lang w:val="en-US" w:eastAsia="zh-CN"/>
                    </w:rPr>
                    <w:t>本</w:t>
                  </w:r>
                  <w:r>
                    <w:rPr>
                      <w:rFonts w:hint="default" w:ascii="Times New Roman" w:hAnsi="Times New Roman" w:eastAsia="宋体" w:cs="Times New Roman"/>
                      <w:i w:val="0"/>
                      <w:iCs w:val="0"/>
                      <w:color w:val="auto"/>
                      <w:kern w:val="0"/>
                      <w:sz w:val="21"/>
                      <w:szCs w:val="21"/>
                      <w:u w:val="none"/>
                      <w:lang w:val="en-US" w:eastAsia="zh-CN"/>
                    </w:rPr>
                    <w:t>项目</w:t>
                  </w:r>
                  <w:r>
                    <w:rPr>
                      <w:rFonts w:hint="eastAsia" w:cs="Times New Roman"/>
                      <w:i w:val="0"/>
                      <w:iCs w:val="0"/>
                      <w:color w:val="auto"/>
                      <w:kern w:val="0"/>
                      <w:sz w:val="21"/>
                      <w:szCs w:val="21"/>
                      <w:u w:val="none"/>
                      <w:lang w:val="en-US" w:eastAsia="zh-CN"/>
                    </w:rPr>
                    <w:t>以喷粉工艺产品为主，仅接受小部分的喷漆工艺产品订单，年</w:t>
                  </w:r>
                  <w:r>
                    <w:rPr>
                      <w:rFonts w:hint="default" w:ascii="Times New Roman" w:hAnsi="Times New Roman" w:eastAsia="宋体" w:cs="Times New Roman"/>
                      <w:i w:val="0"/>
                      <w:iCs w:val="0"/>
                      <w:color w:val="auto"/>
                      <w:kern w:val="0"/>
                      <w:sz w:val="21"/>
                      <w:szCs w:val="21"/>
                      <w:u w:val="none"/>
                      <w:lang w:val="en-US" w:eastAsia="zh-CN"/>
                    </w:rPr>
                    <w:t>喷漆产品</w:t>
                  </w:r>
                  <w:r>
                    <w:rPr>
                      <w:rFonts w:hint="eastAsia" w:cs="Times New Roman"/>
                      <w:i w:val="0"/>
                      <w:iCs w:val="0"/>
                      <w:color w:val="auto"/>
                      <w:kern w:val="0"/>
                      <w:sz w:val="21"/>
                      <w:szCs w:val="21"/>
                      <w:u w:val="none"/>
                      <w:lang w:val="en-US" w:eastAsia="zh-CN"/>
                    </w:rPr>
                    <w:t>约为6.8</w:t>
                  </w:r>
                  <w:r>
                    <w:rPr>
                      <w:rFonts w:hint="default" w:ascii="Times New Roman" w:hAnsi="Times New Roman" w:eastAsia="宋体" w:cs="Times New Roman"/>
                      <w:i w:val="0"/>
                      <w:iCs w:val="0"/>
                      <w:color w:val="auto"/>
                      <w:kern w:val="0"/>
                      <w:sz w:val="21"/>
                      <w:szCs w:val="21"/>
                      <w:u w:val="none"/>
                      <w:lang w:val="en-US" w:eastAsia="zh-CN"/>
                    </w:rPr>
                    <w:t>万m</w:t>
                  </w:r>
                  <w:r>
                    <w:rPr>
                      <w:rStyle w:val="152"/>
                      <w:rFonts w:hint="default" w:ascii="Times New Roman" w:hAnsi="Times New Roman" w:eastAsia="宋体" w:cs="Times New Roman"/>
                      <w:color w:val="auto"/>
                      <w:sz w:val="21"/>
                      <w:szCs w:val="21"/>
                      <w:vertAlign w:val="superscript"/>
                      <w:lang w:val="en-US" w:eastAsia="zh-CN"/>
                    </w:rPr>
                    <w:t>2</w:t>
                  </w:r>
                  <w:r>
                    <w:rPr>
                      <w:rStyle w:val="152"/>
                      <w:rFonts w:hint="default" w:ascii="Times New Roman" w:hAnsi="Times New Roman" w:eastAsia="宋体" w:cs="Times New Roman"/>
                      <w:color w:val="auto"/>
                      <w:sz w:val="21"/>
                      <w:szCs w:val="21"/>
                      <w:vertAlign w:val="baseline"/>
                      <w:lang w:val="en-US" w:eastAsia="zh-CN"/>
                    </w:rPr>
                    <w:t>；</w:t>
                  </w:r>
                </w:p>
                <w:p w14:paraId="0C96C159">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outlineLvl w:val="9"/>
                    <w:rPr>
                      <w:color w:val="auto"/>
                    </w:rPr>
                  </w:pPr>
                  <w:r>
                    <w:rPr>
                      <w:rStyle w:val="152"/>
                      <w:rFonts w:hint="default" w:ascii="Times New Roman" w:hAnsi="Times New Roman" w:eastAsia="宋体" w:cs="Times New Roman"/>
                      <w:color w:val="auto"/>
                      <w:sz w:val="21"/>
                      <w:szCs w:val="21"/>
                      <w:vertAlign w:val="baseline"/>
                      <w:lang w:val="en-US" w:eastAsia="zh-CN"/>
                    </w:rPr>
                    <w:t>2、</w:t>
                  </w:r>
                  <w:r>
                    <w:rPr>
                      <w:rFonts w:hint="default" w:ascii="Times New Roman" w:hAnsi="Times New Roman" w:cs="Times New Roman"/>
                      <w:bCs/>
                      <w:color w:val="auto"/>
                      <w:sz w:val="21"/>
                      <w:szCs w:val="21"/>
                      <w:highlight w:val="none"/>
                    </w:rPr>
                    <w:t>根据建设单位提供资料，</w:t>
                  </w:r>
                  <w:r>
                    <w:rPr>
                      <w:rFonts w:hint="default" w:ascii="Times New Roman" w:hAnsi="Times New Roman" w:cs="Times New Roman"/>
                      <w:bCs/>
                      <w:color w:val="auto"/>
                      <w:sz w:val="21"/>
                      <w:szCs w:val="21"/>
                      <w:highlight w:val="none"/>
                      <w:lang w:val="en-US" w:eastAsia="zh-CN"/>
                    </w:rPr>
                    <w:t>本项目喷漆工序</w:t>
                  </w:r>
                  <w:r>
                    <w:rPr>
                      <w:rFonts w:hint="default" w:ascii="Times New Roman" w:hAnsi="Times New Roman" w:cs="Times New Roman"/>
                      <w:bCs/>
                      <w:color w:val="auto"/>
                      <w:sz w:val="21"/>
                      <w:szCs w:val="21"/>
                      <w:highlight w:val="none"/>
                    </w:rPr>
                    <w:t>采用空气喷涂法，涂料利用率参考《现代涂装手册 化学工业出版社 2010年（第一版）》内容：“第4章 空气喷涂-4.1.2 空气喷涂的特点”，选取为</w:t>
                  </w:r>
                  <w:r>
                    <w:rPr>
                      <w:rFonts w:hint="eastAsia" w:ascii="Times New Roman" w:hAnsi="Times New Roman" w:cs="Times New Roman"/>
                      <w:bCs/>
                      <w:color w:val="auto"/>
                      <w:sz w:val="21"/>
                      <w:szCs w:val="21"/>
                      <w:highlight w:val="none"/>
                      <w:lang w:val="en-US" w:eastAsia="zh-CN"/>
                    </w:rPr>
                    <w:t>6</w:t>
                  </w:r>
                  <w:r>
                    <w:rPr>
                      <w:rFonts w:hint="default" w:ascii="Times New Roman" w:hAnsi="Times New Roman" w:cs="Times New Roman"/>
                      <w:bCs/>
                      <w:color w:val="auto"/>
                      <w:sz w:val="21"/>
                      <w:szCs w:val="21"/>
                      <w:highlight w:val="none"/>
                    </w:rPr>
                    <w:t>0%</w:t>
                  </w:r>
                  <w:r>
                    <w:rPr>
                      <w:rFonts w:hint="default" w:ascii="Times New Roman" w:hAnsi="Times New Roman" w:cs="Times New Roman"/>
                      <w:bCs/>
                      <w:color w:val="auto"/>
                      <w:sz w:val="21"/>
                      <w:szCs w:val="21"/>
                      <w:highlight w:val="none"/>
                      <w:lang w:eastAsia="zh-CN"/>
                    </w:rPr>
                    <w:t>。</w:t>
                  </w:r>
                </w:p>
                <w:p w14:paraId="3DF10E6A">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outlineLvl w:val="9"/>
                    <w:rPr>
                      <w:rFonts w:hint="default"/>
                      <w:color w:val="auto"/>
                      <w:lang w:val="en-US" w:eastAsia="zh-CN"/>
                    </w:rPr>
                  </w:pPr>
                  <w:r>
                    <w:rPr>
                      <w:rFonts w:hint="eastAsia"/>
                      <w:color w:val="auto"/>
                      <w:lang w:val="en-US" w:eastAsia="zh-CN"/>
                    </w:rPr>
                    <w:t>3、油粉混合线工作模式为，当油漆工作时，喷粉线不工作，同时只进行其中一种工艺处理。根据订单情况选择工作模式。</w:t>
                  </w:r>
                </w:p>
                <w:p w14:paraId="30A59B3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left"/>
                    <w:textAlignment w:val="auto"/>
                    <w:outlineLvl w:val="9"/>
                    <w:rPr>
                      <w:rFonts w:hint="eastAsia" w:ascii="Times New Roman" w:hAnsi="Times New Roman" w:eastAsia="宋体" w:cs="Times New Roman"/>
                      <w:b w:val="0"/>
                      <w:bCs w:val="0"/>
                      <w:i w:val="0"/>
                      <w:iCs w:val="0"/>
                      <w:color w:val="auto"/>
                      <w:kern w:val="0"/>
                      <w:sz w:val="21"/>
                      <w:szCs w:val="21"/>
                      <w:u w:val="none"/>
                      <w:lang w:val="en-US" w:eastAsia="zh-CN" w:bidi="ar"/>
                    </w:rPr>
                  </w:pPr>
                  <w:r>
                    <w:rPr>
                      <w:rFonts w:hint="eastAsia"/>
                      <w:color w:val="auto"/>
                      <w:lang w:val="en-US" w:eastAsia="zh-CN"/>
                    </w:rPr>
                    <w:t>4、根据建设单位提供信息，本表格为供需双方商定喷涂厚度，液体喷涂氟碳涂</w:t>
                  </w:r>
                  <w:r>
                    <w:rPr>
                      <w:rFonts w:hint="eastAsia"/>
                      <w:b w:val="0"/>
                      <w:bCs w:val="0"/>
                      <w:color w:val="auto"/>
                      <w:lang w:val="en-US" w:eastAsia="zh-CN"/>
                    </w:rPr>
                    <w:t>层三涂平均膜厚≥40</w:t>
                  </w:r>
                  <w:r>
                    <w:rPr>
                      <w:rFonts w:hint="default" w:ascii="Times New Roman" w:hAnsi="Times New Roman" w:eastAsia="宋体" w:cs="Times New Roman"/>
                      <w:b w:val="0"/>
                      <w:bCs w:val="0"/>
                      <w:i w:val="0"/>
                      <w:iCs w:val="0"/>
                      <w:color w:val="auto"/>
                      <w:kern w:val="0"/>
                      <w:sz w:val="21"/>
                      <w:szCs w:val="21"/>
                      <w:u w:val="none"/>
                      <w:lang w:val="en-US" w:eastAsia="zh-CN" w:bidi="ar"/>
                    </w:rPr>
                    <w:t>μm</w:t>
                  </w:r>
                  <w:r>
                    <w:rPr>
                      <w:rFonts w:hint="eastAsia" w:cs="Times New Roman"/>
                      <w:b w:val="0"/>
                      <w:bCs w:val="0"/>
                      <w:i w:val="0"/>
                      <w:iCs w:val="0"/>
                      <w:color w:val="auto"/>
                      <w:kern w:val="0"/>
                      <w:sz w:val="21"/>
                      <w:szCs w:val="21"/>
                      <w:u w:val="none"/>
                      <w:lang w:val="en-US" w:eastAsia="zh-CN" w:bidi="ar"/>
                    </w:rPr>
                    <w:t>（最小局部膜厚≥34</w:t>
                  </w:r>
                  <w:r>
                    <w:rPr>
                      <w:rFonts w:hint="default" w:ascii="Times New Roman" w:hAnsi="Times New Roman" w:eastAsia="宋体" w:cs="Times New Roman"/>
                      <w:b w:val="0"/>
                      <w:bCs w:val="0"/>
                      <w:i w:val="0"/>
                      <w:iCs w:val="0"/>
                      <w:color w:val="auto"/>
                      <w:kern w:val="0"/>
                      <w:sz w:val="21"/>
                      <w:szCs w:val="21"/>
                      <w:u w:val="none"/>
                      <w:lang w:val="en-US" w:eastAsia="zh-CN" w:bidi="ar"/>
                    </w:rPr>
                    <w:t>μm</w:t>
                  </w:r>
                  <w:r>
                    <w:rPr>
                      <w:rFonts w:hint="eastAsia" w:cs="Times New Roman"/>
                      <w:b w:val="0"/>
                      <w:bCs w:val="0"/>
                      <w:i w:val="0"/>
                      <w:iCs w:val="0"/>
                      <w:color w:val="auto"/>
                      <w:kern w:val="0"/>
                      <w:sz w:val="21"/>
                      <w:szCs w:val="21"/>
                      <w:u w:val="none"/>
                      <w:lang w:val="en-US" w:eastAsia="zh-CN" w:bidi="ar"/>
                    </w:rPr>
                    <w:t>）</w:t>
                  </w:r>
                  <w:r>
                    <w:rPr>
                      <w:rFonts w:hint="eastAsia" w:ascii="Times New Roman" w:hAnsi="Times New Roman" w:eastAsia="宋体" w:cs="Times New Roman"/>
                      <w:b w:val="0"/>
                      <w:bCs w:val="0"/>
                      <w:i w:val="0"/>
                      <w:iCs w:val="0"/>
                      <w:color w:val="auto"/>
                      <w:kern w:val="0"/>
                      <w:sz w:val="21"/>
                      <w:szCs w:val="21"/>
                      <w:u w:val="none"/>
                      <w:lang w:val="en-US" w:eastAsia="zh-CN" w:bidi="ar"/>
                    </w:rPr>
                    <w:t xml:space="preserve">，满足《建筑装饰用铝单板》（GB/T 23443-2024） 中 </w:t>
                  </w:r>
                  <w:r>
                    <w:rPr>
                      <w:rFonts w:hint="eastAsia" w:cs="Times New Roman"/>
                      <w:b w:val="0"/>
                      <w:bCs w:val="0"/>
                      <w:i w:val="0"/>
                      <w:iCs w:val="0"/>
                      <w:color w:val="auto"/>
                      <w:kern w:val="0"/>
                      <w:sz w:val="21"/>
                      <w:szCs w:val="21"/>
                      <w:u w:val="none"/>
                      <w:lang w:val="en-US" w:eastAsia="zh-CN" w:bidi="ar"/>
                    </w:rPr>
                    <w:t>表</w:t>
                  </w:r>
                  <w:r>
                    <w:rPr>
                      <w:rFonts w:hint="eastAsia" w:ascii="Times New Roman" w:hAnsi="Times New Roman" w:eastAsia="宋体" w:cs="Times New Roman"/>
                      <w:b w:val="0"/>
                      <w:bCs w:val="0"/>
                      <w:i w:val="0"/>
                      <w:iCs w:val="0"/>
                      <w:color w:val="auto"/>
                      <w:kern w:val="0"/>
                      <w:sz w:val="21"/>
                      <w:szCs w:val="21"/>
                      <w:u w:val="none"/>
                      <w:lang w:val="en-US" w:eastAsia="zh-CN" w:bidi="ar"/>
                    </w:rPr>
                    <w:t>3 装饰面层厚度要求。</w:t>
                  </w:r>
                </w:p>
                <w:p w14:paraId="6D7CF094">
                  <w:pPr>
                    <w:pStyle w:val="2"/>
                    <w:ind w:firstLine="420" w:firstLineChars="200"/>
                    <w:rPr>
                      <w:rFonts w:hint="default"/>
                      <w:color w:val="auto"/>
                      <w:lang w:val="en-US" w:eastAsia="zh-CN"/>
                    </w:rPr>
                  </w:pPr>
                  <w:r>
                    <w:rPr>
                      <w:rFonts w:hint="eastAsia" w:ascii="Times New Roman" w:eastAsia="宋体" w:cs="Times New Roman"/>
                      <w:b w:val="0"/>
                      <w:bCs w:val="0"/>
                      <w:i w:val="0"/>
                      <w:iCs w:val="0"/>
                      <w:color w:val="auto"/>
                      <w:kern w:val="0"/>
                      <w:sz w:val="21"/>
                      <w:szCs w:val="21"/>
                      <w:u w:val="none"/>
                      <w:lang w:val="en-US" w:eastAsia="zh-CN" w:bidi="ar"/>
                    </w:rPr>
                    <w:t>5、原料年使用量（吨 / 年）＝（喷涂总面积 × 干膜厚度 × 干漆膜固体密度）÷（涂料质量固含量 × 喷涂原料利用率 × 10⁶）</w:t>
                  </w:r>
                </w:p>
              </w:tc>
            </w:tr>
          </w:tbl>
          <w:p w14:paraId="4F864A2E">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b/>
                <w:color w:val="auto"/>
                <w:sz w:val="24"/>
                <w:highlight w:val="none"/>
              </w:rPr>
            </w:pPr>
            <w:r>
              <w:rPr>
                <w:rFonts w:hint="eastAsia"/>
                <w:b/>
                <w:color w:val="auto"/>
                <w:sz w:val="24"/>
                <w:highlight w:val="none"/>
                <w:lang w:val="en-US" w:eastAsia="zh-CN"/>
              </w:rPr>
              <w:t>②</w:t>
            </w:r>
            <w:r>
              <w:rPr>
                <w:b/>
                <w:color w:val="auto"/>
                <w:sz w:val="24"/>
                <w:highlight w:val="none"/>
              </w:rPr>
              <w:t>原漆料用量核算</w:t>
            </w:r>
          </w:p>
          <w:p w14:paraId="6AB4F2F9">
            <w:pPr>
              <w:pStyle w:val="2"/>
              <w:pageBreakBefore w:val="0"/>
              <w:wordWrap w:val="0"/>
              <w:overflowPunct/>
              <w:bidi w:val="0"/>
              <w:ind w:firstLine="480" w:firstLineChars="200"/>
              <w:rPr>
                <w:rFonts w:ascii="Times New Roman" w:hAnsi="Times New Roman" w:eastAsia="宋体"/>
                <w:color w:val="auto"/>
                <w:szCs w:val="24"/>
                <w:highlight w:val="none"/>
              </w:rPr>
            </w:pPr>
            <w:r>
              <w:rPr>
                <w:rFonts w:ascii="Times New Roman" w:hAnsi="Times New Roman" w:eastAsia="宋体"/>
                <w:color w:val="auto"/>
                <w:szCs w:val="24"/>
                <w:highlight w:val="none"/>
              </w:rPr>
              <w:t>根据各漆料配比比例，得出原漆料具体成分使用量，详见下表。</w:t>
            </w:r>
          </w:p>
          <w:p w14:paraId="4513CF69">
            <w:pPr>
              <w:pageBreakBefore w:val="0"/>
              <w:widowControl w:val="0"/>
              <w:numPr>
                <w:ilvl w:val="0"/>
                <w:numId w:val="10"/>
              </w:numPr>
              <w:wordWrap w:val="0"/>
              <w:overflowPunct/>
              <w:bidi w:val="0"/>
              <w:spacing w:line="240" w:lineRule="auto"/>
              <w:ind w:left="0" w:leftChars="0" w:firstLine="40" w:firstLineChars="0"/>
              <w:jc w:val="center"/>
              <w:rPr>
                <w:color w:val="auto"/>
                <w:highlight w:val="none"/>
              </w:rPr>
            </w:pPr>
            <w:r>
              <w:rPr>
                <w:b/>
                <w:bCs/>
                <w:color w:val="auto"/>
                <w:sz w:val="21"/>
                <w:szCs w:val="21"/>
                <w:highlight w:val="none"/>
              </w:rPr>
              <w:t>各原漆料用料一览表</w:t>
            </w:r>
          </w:p>
          <w:tbl>
            <w:tblPr>
              <w:tblStyle w:val="4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1"/>
              <w:gridCol w:w="1354"/>
              <w:gridCol w:w="1389"/>
              <w:gridCol w:w="4422"/>
            </w:tblGrid>
            <w:tr w14:paraId="7A416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61" w:type="pct"/>
                  <w:noWrap w:val="0"/>
                  <w:vAlign w:val="center"/>
                </w:tcPr>
                <w:p w14:paraId="0A1ECBE9">
                  <w:pPr>
                    <w:pageBreakBefore w:val="0"/>
                    <w:wordWrap w:val="0"/>
                    <w:overflowPunct/>
                    <w:bidi w:val="0"/>
                    <w:spacing w:line="240" w:lineRule="auto"/>
                    <w:jc w:val="center"/>
                    <w:outlineLvl w:val="3"/>
                    <w:rPr>
                      <w:b/>
                      <w:color w:val="auto"/>
                      <w:sz w:val="21"/>
                      <w:szCs w:val="21"/>
                      <w:highlight w:val="none"/>
                    </w:rPr>
                  </w:pPr>
                  <w:r>
                    <w:rPr>
                      <w:b/>
                      <w:color w:val="auto"/>
                      <w:sz w:val="21"/>
                      <w:szCs w:val="21"/>
                      <w:highlight w:val="none"/>
                    </w:rPr>
                    <w:t>涂层种类</w:t>
                  </w:r>
                </w:p>
              </w:tc>
              <w:tc>
                <w:tcPr>
                  <w:tcW w:w="820" w:type="pct"/>
                  <w:noWrap w:val="0"/>
                  <w:vAlign w:val="center"/>
                </w:tcPr>
                <w:p w14:paraId="25338233">
                  <w:pPr>
                    <w:pageBreakBefore w:val="0"/>
                    <w:wordWrap w:val="0"/>
                    <w:overflowPunct/>
                    <w:bidi w:val="0"/>
                    <w:spacing w:line="240" w:lineRule="auto"/>
                    <w:jc w:val="center"/>
                    <w:outlineLvl w:val="3"/>
                    <w:rPr>
                      <w:b/>
                      <w:color w:val="auto"/>
                      <w:sz w:val="21"/>
                      <w:szCs w:val="21"/>
                      <w:highlight w:val="none"/>
                    </w:rPr>
                  </w:pPr>
                  <w:r>
                    <w:rPr>
                      <w:rFonts w:hint="eastAsia"/>
                      <w:b/>
                      <w:color w:val="auto"/>
                      <w:sz w:val="21"/>
                      <w:szCs w:val="21"/>
                      <w:highlight w:val="none"/>
                      <w:lang w:val="en-US" w:eastAsia="zh-CN"/>
                    </w:rPr>
                    <w:t>漆料</w:t>
                  </w:r>
                  <w:r>
                    <w:rPr>
                      <w:b/>
                      <w:color w:val="auto"/>
                      <w:sz w:val="21"/>
                      <w:szCs w:val="21"/>
                      <w:highlight w:val="none"/>
                    </w:rPr>
                    <w:t>名称</w:t>
                  </w:r>
                </w:p>
              </w:tc>
              <w:tc>
                <w:tcPr>
                  <w:tcW w:w="841" w:type="pct"/>
                  <w:noWrap w:val="0"/>
                  <w:vAlign w:val="center"/>
                </w:tcPr>
                <w:p w14:paraId="3E1F01F4">
                  <w:pPr>
                    <w:pageBreakBefore w:val="0"/>
                    <w:wordWrap w:val="0"/>
                    <w:overflowPunct/>
                    <w:bidi w:val="0"/>
                    <w:spacing w:line="240" w:lineRule="auto"/>
                    <w:jc w:val="center"/>
                    <w:outlineLvl w:val="3"/>
                    <w:rPr>
                      <w:b/>
                      <w:color w:val="auto"/>
                      <w:sz w:val="21"/>
                      <w:szCs w:val="21"/>
                      <w:highlight w:val="none"/>
                    </w:rPr>
                  </w:pPr>
                  <w:r>
                    <w:rPr>
                      <w:b/>
                      <w:color w:val="auto"/>
                      <w:sz w:val="21"/>
                      <w:szCs w:val="21"/>
                      <w:highlight w:val="none"/>
                    </w:rPr>
                    <w:t>原漆料用量（t/a）</w:t>
                  </w:r>
                </w:p>
              </w:tc>
              <w:tc>
                <w:tcPr>
                  <w:tcW w:w="2677" w:type="pct"/>
                  <w:noWrap w:val="0"/>
                  <w:vAlign w:val="center"/>
                </w:tcPr>
                <w:p w14:paraId="1249B3C7">
                  <w:pPr>
                    <w:pageBreakBefore w:val="0"/>
                    <w:wordWrap w:val="0"/>
                    <w:overflowPunct/>
                    <w:bidi w:val="0"/>
                    <w:spacing w:line="240" w:lineRule="auto"/>
                    <w:jc w:val="center"/>
                    <w:outlineLvl w:val="3"/>
                    <w:rPr>
                      <w:b/>
                      <w:color w:val="auto"/>
                      <w:sz w:val="21"/>
                      <w:szCs w:val="21"/>
                      <w:highlight w:val="none"/>
                    </w:rPr>
                  </w:pPr>
                  <w:r>
                    <w:rPr>
                      <w:b/>
                      <w:color w:val="auto"/>
                      <w:sz w:val="21"/>
                      <w:szCs w:val="21"/>
                      <w:highlight w:val="none"/>
                    </w:rPr>
                    <w:t>备注</w:t>
                  </w:r>
                </w:p>
              </w:tc>
            </w:tr>
            <w:tr w14:paraId="2FE4A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61" w:type="pct"/>
                  <w:vMerge w:val="restart"/>
                  <w:noWrap w:val="0"/>
                  <w:vAlign w:val="center"/>
                </w:tcPr>
                <w:p w14:paraId="3BEE6967">
                  <w:pPr>
                    <w:pageBreakBefore w:val="0"/>
                    <w:wordWrap w:val="0"/>
                    <w:overflowPunct/>
                    <w:bidi w:val="0"/>
                    <w:spacing w:line="240" w:lineRule="auto"/>
                    <w:jc w:val="center"/>
                    <w:outlineLvl w:val="3"/>
                    <w:rPr>
                      <w:rFonts w:hint="default" w:eastAsia="宋体"/>
                      <w:bCs/>
                      <w:color w:val="auto"/>
                      <w:sz w:val="21"/>
                      <w:szCs w:val="21"/>
                      <w:highlight w:val="none"/>
                      <w:lang w:val="en-US" w:eastAsia="zh-CN"/>
                    </w:rPr>
                  </w:pPr>
                  <w:r>
                    <w:rPr>
                      <w:rFonts w:hint="eastAsia"/>
                      <w:bCs/>
                      <w:color w:val="auto"/>
                      <w:sz w:val="21"/>
                      <w:szCs w:val="21"/>
                      <w:highlight w:val="none"/>
                      <w:lang w:val="en-US" w:eastAsia="zh-CN"/>
                    </w:rPr>
                    <w:t>油性漆</w:t>
                  </w:r>
                </w:p>
              </w:tc>
              <w:tc>
                <w:tcPr>
                  <w:tcW w:w="820" w:type="pct"/>
                  <w:noWrap w:val="0"/>
                  <w:vAlign w:val="center"/>
                </w:tcPr>
                <w:p w14:paraId="0B1C6DE2">
                  <w:pPr>
                    <w:keepNext w:val="0"/>
                    <w:keepLines w:val="0"/>
                    <w:widowControl/>
                    <w:suppressLineNumbers w:val="0"/>
                    <w:jc w:val="center"/>
                    <w:textAlignment w:val="center"/>
                    <w:rPr>
                      <w:rFonts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稀释剂</w:t>
                  </w:r>
                </w:p>
              </w:tc>
              <w:tc>
                <w:tcPr>
                  <w:tcW w:w="1431" w:type="dxa"/>
                  <w:noWrap w:val="0"/>
                  <w:vAlign w:val="center"/>
                </w:tcPr>
                <w:p w14:paraId="772C01BF">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1.2</w:t>
                  </w:r>
                  <w:r>
                    <w:rPr>
                      <w:rFonts w:hint="eastAsia" w:cs="Times New Roman"/>
                      <w:i w:val="0"/>
                      <w:iCs w:val="0"/>
                      <w:color w:val="auto"/>
                      <w:kern w:val="0"/>
                      <w:sz w:val="21"/>
                      <w:szCs w:val="21"/>
                      <w:u w:val="none"/>
                      <w:lang w:val="en-US" w:eastAsia="zh-CN" w:bidi="ar"/>
                    </w:rPr>
                    <w:t>49</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2677" w:type="pct"/>
                  <w:noWrap w:val="0"/>
                  <w:vAlign w:val="center"/>
                </w:tcPr>
                <w:p w14:paraId="26C56A19">
                  <w:pPr>
                    <w:pageBreakBefore w:val="0"/>
                    <w:wordWrap w:val="0"/>
                    <w:overflowPunct/>
                    <w:bidi w:val="0"/>
                    <w:spacing w:line="240" w:lineRule="auto"/>
                    <w:jc w:val="center"/>
                    <w:rPr>
                      <w:rFonts w:hint="default" w:ascii="Times New Roman" w:hAnsi="Times New Roman" w:eastAsia="宋体" w:cs="Times New Roman"/>
                      <w:bCs/>
                      <w:color w:val="auto"/>
                      <w:kern w:val="2"/>
                      <w:sz w:val="21"/>
                      <w:szCs w:val="21"/>
                      <w:highlight w:val="none"/>
                      <w:lang w:val="en-US" w:eastAsia="zh-CN" w:bidi="ar-SA"/>
                    </w:rPr>
                  </w:pPr>
                  <w:r>
                    <w:rPr>
                      <w:rFonts w:hint="eastAsia"/>
                      <w:color w:val="auto"/>
                      <w:sz w:val="21"/>
                      <w:szCs w:val="21"/>
                      <w:highlight w:val="none"/>
                      <w:lang w:val="en-US" w:eastAsia="zh-CN"/>
                    </w:rPr>
                    <w:t>/</w:t>
                  </w:r>
                </w:p>
              </w:tc>
            </w:tr>
            <w:tr w14:paraId="2FBF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61" w:type="pct"/>
                  <w:vMerge w:val="continue"/>
                  <w:noWrap w:val="0"/>
                  <w:vAlign w:val="center"/>
                </w:tcPr>
                <w:p w14:paraId="69F96C6E">
                  <w:pPr>
                    <w:pageBreakBefore w:val="0"/>
                    <w:wordWrap w:val="0"/>
                    <w:overflowPunct/>
                    <w:bidi w:val="0"/>
                    <w:spacing w:line="240" w:lineRule="auto"/>
                    <w:jc w:val="center"/>
                    <w:rPr>
                      <w:bCs/>
                      <w:color w:val="auto"/>
                      <w:sz w:val="21"/>
                      <w:szCs w:val="21"/>
                      <w:highlight w:val="none"/>
                    </w:rPr>
                  </w:pPr>
                </w:p>
              </w:tc>
              <w:tc>
                <w:tcPr>
                  <w:tcW w:w="820" w:type="pct"/>
                  <w:noWrap w:val="0"/>
                  <w:vAlign w:val="center"/>
                </w:tcPr>
                <w:p w14:paraId="72510D0E">
                  <w:pPr>
                    <w:keepNext w:val="0"/>
                    <w:keepLines w:val="0"/>
                    <w:widowControl/>
                    <w:suppressLineNumbers w:val="0"/>
                    <w:jc w:val="center"/>
                    <w:textAlignment w:val="center"/>
                    <w:rPr>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底漆</w:t>
                  </w:r>
                </w:p>
              </w:tc>
              <w:tc>
                <w:tcPr>
                  <w:tcW w:w="1431" w:type="dxa"/>
                  <w:noWrap w:val="0"/>
                  <w:vAlign w:val="center"/>
                </w:tcPr>
                <w:p w14:paraId="149F6E0E">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cs="Times New Roman"/>
                      <w:i w:val="0"/>
                      <w:iCs w:val="0"/>
                      <w:color w:val="auto"/>
                      <w:kern w:val="0"/>
                      <w:sz w:val="21"/>
                      <w:szCs w:val="21"/>
                      <w:u w:val="none"/>
                      <w:lang w:val="en-US" w:eastAsia="zh-CN" w:bidi="ar"/>
                    </w:rPr>
                    <w:t>4.186</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2677" w:type="pct"/>
                  <w:noWrap w:val="0"/>
                  <w:vAlign w:val="center"/>
                </w:tcPr>
                <w:p w14:paraId="214A7354">
                  <w:pPr>
                    <w:pageBreakBefore w:val="0"/>
                    <w:wordWrap w:val="0"/>
                    <w:overflowPunct/>
                    <w:bidi w:val="0"/>
                    <w:spacing w:line="240" w:lineRule="auto"/>
                    <w:jc w:val="center"/>
                    <w:outlineLvl w:val="3"/>
                    <w:rPr>
                      <w:rFonts w:hint="default" w:eastAsia="宋体"/>
                      <w:bCs/>
                      <w:color w:val="auto"/>
                      <w:sz w:val="21"/>
                      <w:szCs w:val="21"/>
                      <w:highlight w:val="none"/>
                      <w:lang w:val="en-US" w:eastAsia="zh-CN"/>
                    </w:rPr>
                  </w:pPr>
                  <w:r>
                    <w:rPr>
                      <w:rFonts w:hint="eastAsia"/>
                      <w:color w:val="auto"/>
                      <w:sz w:val="21"/>
                      <w:szCs w:val="21"/>
                      <w:highlight w:val="none"/>
                      <w:lang w:val="en-US" w:eastAsia="zh-CN"/>
                    </w:rPr>
                    <w:t>漆:稀释剂=1:0.1</w:t>
                  </w:r>
                </w:p>
              </w:tc>
            </w:tr>
            <w:tr w14:paraId="148A6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661" w:type="pct"/>
                  <w:vMerge w:val="continue"/>
                  <w:noWrap w:val="0"/>
                  <w:vAlign w:val="center"/>
                </w:tcPr>
                <w:p w14:paraId="13170FC6">
                  <w:pPr>
                    <w:pageBreakBefore w:val="0"/>
                    <w:wordWrap w:val="0"/>
                    <w:overflowPunct/>
                    <w:bidi w:val="0"/>
                    <w:spacing w:line="240" w:lineRule="auto"/>
                    <w:jc w:val="center"/>
                    <w:rPr>
                      <w:bCs/>
                      <w:color w:val="auto"/>
                      <w:sz w:val="21"/>
                      <w:szCs w:val="21"/>
                      <w:highlight w:val="none"/>
                    </w:rPr>
                  </w:pPr>
                </w:p>
              </w:tc>
              <w:tc>
                <w:tcPr>
                  <w:tcW w:w="820" w:type="pct"/>
                  <w:noWrap w:val="0"/>
                  <w:vAlign w:val="center"/>
                </w:tcPr>
                <w:p w14:paraId="0692919B">
                  <w:pPr>
                    <w:keepNext w:val="0"/>
                    <w:keepLines w:val="0"/>
                    <w:widowControl/>
                    <w:suppressLineNumbers w:val="0"/>
                    <w:jc w:val="center"/>
                    <w:textAlignment w:val="center"/>
                    <w:rPr>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面漆</w:t>
                  </w:r>
                </w:p>
              </w:tc>
              <w:tc>
                <w:tcPr>
                  <w:tcW w:w="1431" w:type="dxa"/>
                  <w:noWrap w:val="0"/>
                  <w:vAlign w:val="center"/>
                </w:tcPr>
                <w:p w14:paraId="0CFE9C1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3.359</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2677" w:type="pct"/>
                  <w:noWrap w:val="0"/>
                  <w:vAlign w:val="center"/>
                </w:tcPr>
                <w:p w14:paraId="5DA62D6C">
                  <w:pPr>
                    <w:pageBreakBefore w:val="0"/>
                    <w:wordWrap w:val="0"/>
                    <w:overflowPunct/>
                    <w:bidi w:val="0"/>
                    <w:spacing w:line="240" w:lineRule="auto"/>
                    <w:jc w:val="center"/>
                    <w:outlineLvl w:val="3"/>
                    <w:rPr>
                      <w:rFonts w:hint="default"/>
                      <w:bCs/>
                      <w:color w:val="auto"/>
                      <w:sz w:val="21"/>
                      <w:szCs w:val="21"/>
                      <w:highlight w:val="none"/>
                      <w:lang w:val="en-US" w:eastAsia="zh-CN"/>
                    </w:rPr>
                  </w:pPr>
                  <w:r>
                    <w:rPr>
                      <w:rFonts w:hint="eastAsia"/>
                      <w:color w:val="auto"/>
                      <w:sz w:val="21"/>
                      <w:szCs w:val="21"/>
                      <w:highlight w:val="none"/>
                      <w:lang w:val="en-US" w:eastAsia="zh-CN"/>
                    </w:rPr>
                    <w:t>漆:稀释剂=1:0.2</w:t>
                  </w:r>
                </w:p>
              </w:tc>
            </w:tr>
            <w:tr w14:paraId="3332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1" w:type="pct"/>
                  <w:vMerge w:val="continue"/>
                  <w:noWrap w:val="0"/>
                  <w:vAlign w:val="center"/>
                </w:tcPr>
                <w:p w14:paraId="08FE8B55">
                  <w:pPr>
                    <w:pageBreakBefore w:val="0"/>
                    <w:wordWrap w:val="0"/>
                    <w:overflowPunct/>
                    <w:bidi w:val="0"/>
                    <w:spacing w:line="240" w:lineRule="auto"/>
                    <w:jc w:val="center"/>
                    <w:rPr>
                      <w:bCs/>
                      <w:color w:val="auto"/>
                      <w:sz w:val="21"/>
                      <w:szCs w:val="21"/>
                      <w:highlight w:val="none"/>
                    </w:rPr>
                  </w:pPr>
                </w:p>
              </w:tc>
              <w:tc>
                <w:tcPr>
                  <w:tcW w:w="820" w:type="pct"/>
                  <w:noWrap w:val="0"/>
                  <w:vAlign w:val="center"/>
                </w:tcPr>
                <w:p w14:paraId="36FD9B60">
                  <w:pPr>
                    <w:keepNext w:val="0"/>
                    <w:keepLines w:val="0"/>
                    <w:widowControl/>
                    <w:suppressLineNumbers w:val="0"/>
                    <w:jc w:val="center"/>
                    <w:textAlignment w:val="center"/>
                    <w:rPr>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清漆</w:t>
                  </w:r>
                </w:p>
              </w:tc>
              <w:tc>
                <w:tcPr>
                  <w:tcW w:w="1431" w:type="dxa"/>
                  <w:noWrap w:val="0"/>
                  <w:vAlign w:val="center"/>
                </w:tcPr>
                <w:p w14:paraId="041E6F46">
                  <w:pPr>
                    <w:keepNext w:val="0"/>
                    <w:keepLines w:val="0"/>
                    <w:widowControl/>
                    <w:suppressLineNumbers w:val="0"/>
                    <w:jc w:val="center"/>
                    <w:textAlignment w:val="center"/>
                    <w:rPr>
                      <w:rFonts w:hint="default" w:eastAsia="宋体"/>
                      <w:bCs/>
                      <w:color w:val="auto"/>
                      <w:sz w:val="21"/>
                      <w:szCs w:val="21"/>
                      <w:highlight w:val="none"/>
                      <w:lang w:val="en-US" w:eastAsia="zh-CN"/>
                    </w:rPr>
                  </w:pPr>
                  <w:r>
                    <w:rPr>
                      <w:rFonts w:hint="eastAsia" w:cs="Times New Roman"/>
                      <w:i w:val="0"/>
                      <w:iCs w:val="0"/>
                      <w:color w:val="auto"/>
                      <w:kern w:val="0"/>
                      <w:sz w:val="21"/>
                      <w:szCs w:val="21"/>
                      <w:u w:val="none"/>
                      <w:lang w:val="en-US" w:eastAsia="zh-CN" w:bidi="ar"/>
                    </w:rPr>
                    <w:t>1.057</w:t>
                  </w:r>
                </w:p>
              </w:tc>
              <w:tc>
                <w:tcPr>
                  <w:tcW w:w="2677" w:type="pct"/>
                  <w:noWrap w:val="0"/>
                  <w:vAlign w:val="center"/>
                </w:tcPr>
                <w:p w14:paraId="0443B0AC">
                  <w:pPr>
                    <w:pageBreakBefore w:val="0"/>
                    <w:wordWrap w:val="0"/>
                    <w:overflowPunct/>
                    <w:bidi w:val="0"/>
                    <w:spacing w:line="240" w:lineRule="auto"/>
                    <w:jc w:val="center"/>
                    <w:outlineLvl w:val="3"/>
                    <w:rPr>
                      <w:rFonts w:hint="default" w:eastAsia="宋体"/>
                      <w:bCs/>
                      <w:color w:val="auto"/>
                      <w:sz w:val="21"/>
                      <w:szCs w:val="21"/>
                      <w:highlight w:val="none"/>
                      <w:lang w:val="en-US" w:eastAsia="zh-CN"/>
                    </w:rPr>
                  </w:pPr>
                  <w:r>
                    <w:rPr>
                      <w:rFonts w:hint="eastAsia"/>
                      <w:color w:val="auto"/>
                      <w:sz w:val="21"/>
                      <w:szCs w:val="21"/>
                      <w:highlight w:val="none"/>
                      <w:lang w:val="en-US" w:eastAsia="zh-CN"/>
                    </w:rPr>
                    <w:t>漆:稀释剂=1:0.15</w:t>
                  </w:r>
                </w:p>
              </w:tc>
            </w:tr>
            <w:tr w14:paraId="07F79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noWrap w:val="0"/>
                  <w:vAlign w:val="center"/>
                </w:tcPr>
                <w:p w14:paraId="6181E9ED">
                  <w:pPr>
                    <w:pStyle w:val="24"/>
                    <w:spacing w:line="360" w:lineRule="auto"/>
                    <w:ind w:left="0" w:leftChars="0" w:firstLine="0" w:firstLineChars="0"/>
                    <w:rPr>
                      <w:rFonts w:hint="eastAsia"/>
                      <w:color w:val="auto"/>
                      <w:sz w:val="21"/>
                      <w:szCs w:val="21"/>
                      <w:highlight w:val="none"/>
                      <w:lang w:val="en-US" w:eastAsia="zh-CN"/>
                    </w:rPr>
                  </w:pPr>
                  <w:r>
                    <w:rPr>
                      <w:rFonts w:hint="eastAsia" w:cs="Times New Roman"/>
                      <w:color w:val="auto"/>
                      <w:sz w:val="21"/>
                      <w:szCs w:val="21"/>
                      <w:highlight w:val="none"/>
                      <w:lang w:val="en-US" w:eastAsia="zh-CN"/>
                    </w:rPr>
                    <w:t>注：</w:t>
                  </w:r>
                  <w:r>
                    <w:rPr>
                      <w:rFonts w:hint="default" w:ascii="Times New Roman" w:hAnsi="Times New Roman" w:cs="Times New Roman"/>
                      <w:color w:val="auto"/>
                      <w:sz w:val="21"/>
                      <w:szCs w:val="21"/>
                      <w:highlight w:val="none"/>
                    </w:rPr>
                    <w:t>油性漆不可替代说明：油性漆相对硬度较高，具有很好的耐污性、易清洁性且耐磨抗刮，这使得</w:t>
                  </w:r>
                  <w:r>
                    <w:rPr>
                      <w:rFonts w:hint="eastAsia" w:cs="Times New Roman"/>
                      <w:color w:val="auto"/>
                      <w:sz w:val="21"/>
                      <w:szCs w:val="21"/>
                      <w:highlight w:val="none"/>
                      <w:lang w:val="en-US" w:eastAsia="zh-CN"/>
                    </w:rPr>
                    <w:t>产品</w:t>
                  </w:r>
                  <w:r>
                    <w:rPr>
                      <w:rFonts w:hint="default" w:ascii="Times New Roman" w:hAnsi="Times New Roman" w:cs="Times New Roman"/>
                      <w:color w:val="auto"/>
                      <w:sz w:val="21"/>
                      <w:szCs w:val="21"/>
                      <w:highlight w:val="none"/>
                    </w:rPr>
                    <w:t>即使在频繁使用后也能保持干净整洁。油性漆表面光滑，可以轻易擦去污渍，无需特殊清洁剂即可保持清洁。油性漆在产品生产过程中有机成分全部挥发，产品表面残留物均为安全成分。因此，根据客户要求，本项目目前对少部分耐磨性要求高的产品仍需采用油性漆进行生产。</w:t>
                  </w:r>
                </w:p>
              </w:tc>
            </w:tr>
          </w:tbl>
          <w:p w14:paraId="74DF286A">
            <w:pPr>
              <w:pageBreakBefore w:val="0"/>
              <w:widowControl w:val="0"/>
              <w:numPr>
                <w:ilvl w:val="0"/>
                <w:numId w:val="10"/>
              </w:numPr>
              <w:wordWrap w:val="0"/>
              <w:overflowPunct/>
              <w:bidi w:val="0"/>
              <w:spacing w:line="240" w:lineRule="auto"/>
              <w:ind w:left="0" w:leftChars="0" w:firstLine="40" w:firstLineChars="0"/>
              <w:jc w:val="center"/>
              <w:rPr>
                <w:rFonts w:hint="eastAsia" w:asci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 xml:space="preserve"> </w:t>
            </w:r>
            <w:r>
              <w:rPr>
                <w:rFonts w:hint="eastAsia" w:ascii="Times New Roman" w:cs="Times New Roman"/>
                <w:b/>
                <w:bCs/>
                <w:color w:val="auto"/>
                <w:sz w:val="21"/>
                <w:szCs w:val="21"/>
                <w:highlight w:val="none"/>
              </w:rPr>
              <w:t>项目涉VOCs原辅材料VOCs含量情况一览表</w:t>
            </w:r>
          </w:p>
          <w:tbl>
            <w:tblPr>
              <w:tblStyle w:val="48"/>
              <w:tblW w:w="852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26"/>
              <w:gridCol w:w="1078"/>
              <w:gridCol w:w="1078"/>
              <w:gridCol w:w="1495"/>
              <w:gridCol w:w="1302"/>
              <w:gridCol w:w="1302"/>
              <w:gridCol w:w="788"/>
            </w:tblGrid>
            <w:tr w14:paraId="19869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802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漆种类</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B2F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底漆</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67C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面漆</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FE70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清漆</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5F7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配漆稀释剂</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ADD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喷枪清洗剂</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993D">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粉末涂料</w:t>
                  </w:r>
                </w:p>
              </w:tc>
            </w:tr>
            <w:tr w14:paraId="71715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35D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用量</w:t>
                  </w:r>
                  <w:r>
                    <w:rPr>
                      <w:rFonts w:hint="default" w:ascii="Times New Roman" w:hAnsi="Times New Roman" w:eastAsia="宋体" w:cs="Times New Roman"/>
                      <w:i w:val="0"/>
                      <w:iCs w:val="0"/>
                      <w:color w:val="auto"/>
                      <w:kern w:val="0"/>
                      <w:sz w:val="21"/>
                      <w:szCs w:val="21"/>
                      <w:u w:val="none"/>
                      <w:lang w:val="en-US" w:eastAsia="zh-CN" w:bidi="ar"/>
                    </w:rPr>
                    <w:t>t/a</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F66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4.186 </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06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3.359 </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939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1.057 </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71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1.249 </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58B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167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105.857 </w:t>
                  </w:r>
                </w:p>
              </w:tc>
            </w:tr>
            <w:tr w14:paraId="14783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06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密度</w:t>
                  </w:r>
                  <w:r>
                    <w:rPr>
                      <w:rFonts w:hint="default" w:ascii="Times New Roman" w:hAnsi="Times New Roman" w:eastAsia="宋体" w:cs="Times New Roman"/>
                      <w:i w:val="0"/>
                      <w:iCs w:val="0"/>
                      <w:color w:val="auto"/>
                      <w:kern w:val="0"/>
                      <w:sz w:val="21"/>
                      <w:szCs w:val="21"/>
                      <w:u w:val="none"/>
                      <w:lang w:val="en-US" w:eastAsia="zh-CN" w:bidi="ar"/>
                    </w:rPr>
                    <w:t>g/cm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D1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1.173</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99A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1.071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DFA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1.173</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B6A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0.892</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689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0.828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65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39CCB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CAF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（调漆前）</w:t>
                  </w:r>
                  <w:r>
                    <w:rPr>
                      <w:rFonts w:hint="default" w:ascii="Times New Roman" w:hAnsi="Times New Roman" w:eastAsia="宋体" w:cs="Times New Roman"/>
                      <w:i w:val="0"/>
                      <w:iCs w:val="0"/>
                      <w:color w:val="auto"/>
                      <w:kern w:val="0"/>
                      <w:sz w:val="21"/>
                      <w:szCs w:val="21"/>
                      <w:u w:val="none"/>
                      <w:lang w:val="en-US" w:eastAsia="zh-CN" w:bidi="ar"/>
                    </w:rPr>
                    <w:t>VOCs</w:t>
                  </w:r>
                  <w:r>
                    <w:rPr>
                      <w:rFonts w:hint="eastAsia" w:ascii="宋体" w:hAnsi="宋体" w:eastAsia="宋体" w:cs="宋体"/>
                      <w:i w:val="0"/>
                      <w:iCs w:val="0"/>
                      <w:color w:val="auto"/>
                      <w:kern w:val="0"/>
                      <w:sz w:val="21"/>
                      <w:szCs w:val="21"/>
                      <w:u w:val="none"/>
                      <w:lang w:val="en-US" w:eastAsia="zh-CN" w:bidi="ar"/>
                    </w:rPr>
                    <w:t>含量</w:t>
                  </w:r>
                  <w:r>
                    <w:rPr>
                      <w:rFonts w:hint="default" w:ascii="Times New Roman" w:hAnsi="Times New Roman" w:eastAsia="宋体" w:cs="Times New Roman"/>
                      <w:i w:val="0"/>
                      <w:iCs w:val="0"/>
                      <w:color w:val="auto"/>
                      <w:kern w:val="0"/>
                      <w:sz w:val="21"/>
                      <w:szCs w:val="21"/>
                      <w:u w:val="none"/>
                      <w:lang w:val="en-US" w:eastAsia="zh-CN" w:bidi="ar"/>
                    </w:rPr>
                    <w:t>%</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88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23.7852%</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66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30.6256%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459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24.5524%</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2C1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91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A65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1.2kg/t</w:t>
                  </w:r>
                  <w:r>
                    <w:rPr>
                      <w:rFonts w:hint="eastAsia" w:ascii="宋体" w:hAnsi="宋体" w:eastAsia="宋体" w:cs="宋体"/>
                      <w:i w:val="0"/>
                      <w:iCs w:val="0"/>
                      <w:color w:val="auto"/>
                      <w:kern w:val="0"/>
                      <w:sz w:val="21"/>
                      <w:szCs w:val="21"/>
                      <w:u w:val="none"/>
                      <w:lang w:val="en-US" w:eastAsia="zh-CN" w:bidi="ar"/>
                    </w:rPr>
                    <w:t>粉末涂料</w:t>
                  </w:r>
                </w:p>
              </w:tc>
            </w:tr>
            <w:tr w14:paraId="23C4F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DBE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VOCs</w:t>
                  </w:r>
                  <w:r>
                    <w:rPr>
                      <w:rFonts w:hint="eastAsia" w:ascii="宋体" w:hAnsi="宋体" w:eastAsia="宋体" w:cs="宋体"/>
                      <w:i w:val="0"/>
                      <w:iCs w:val="0"/>
                      <w:color w:val="auto"/>
                      <w:kern w:val="0"/>
                      <w:sz w:val="21"/>
                      <w:szCs w:val="21"/>
                      <w:u w:val="none"/>
                      <w:lang w:val="en-US" w:eastAsia="zh-CN" w:bidi="ar"/>
                    </w:rPr>
                    <w:t>产生量</w:t>
                  </w:r>
                  <w:r>
                    <w:rPr>
                      <w:rFonts w:hint="default" w:ascii="Times New Roman" w:hAnsi="Times New Roman" w:eastAsia="宋体" w:cs="Times New Roman"/>
                      <w:i w:val="0"/>
                      <w:iCs w:val="0"/>
                      <w:color w:val="auto"/>
                      <w:kern w:val="0"/>
                      <w:sz w:val="21"/>
                      <w:szCs w:val="21"/>
                      <w:u w:val="none"/>
                      <w:lang w:val="en-US" w:eastAsia="zh-CN" w:bidi="ar"/>
                    </w:rPr>
                    <w:t>t/a</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6D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0.9957 </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03B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1.0288 </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64E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0.2596 </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76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1.2491 </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E6A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0.0419 </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43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0.1270 </w:t>
                  </w:r>
                </w:p>
              </w:tc>
            </w:tr>
            <w:tr w14:paraId="727E9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864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lang w:val="en-US"/>
                    </w:rPr>
                  </w:pPr>
                  <w:r>
                    <w:rPr>
                      <w:rFonts w:hint="eastAsia" w:cs="Times New Roman"/>
                      <w:i w:val="0"/>
                      <w:iCs w:val="0"/>
                      <w:color w:val="auto"/>
                      <w:kern w:val="0"/>
                      <w:sz w:val="21"/>
                      <w:szCs w:val="21"/>
                      <w:u w:val="none"/>
                      <w:lang w:val="en-US" w:eastAsia="zh-CN" w:bidi="ar"/>
                    </w:rPr>
                    <w:t>（调漆后）</w:t>
                  </w:r>
                  <w:r>
                    <w:rPr>
                      <w:rFonts w:hint="default" w:ascii="Times New Roman" w:hAnsi="Times New Roman" w:eastAsia="宋体" w:cs="Times New Roman"/>
                      <w:i w:val="0"/>
                      <w:iCs w:val="0"/>
                      <w:color w:val="auto"/>
                      <w:kern w:val="0"/>
                      <w:sz w:val="21"/>
                      <w:szCs w:val="21"/>
                      <w:u w:val="none"/>
                      <w:lang w:val="en-US" w:eastAsia="zh-CN" w:bidi="ar"/>
                    </w:rPr>
                    <w:t>施工状态下VOC含量</w:t>
                  </w:r>
                  <w:r>
                    <w:rPr>
                      <w:rFonts w:hint="eastAsia" w:cs="Times New Roman"/>
                      <w:i w:val="0"/>
                      <w:iCs w:val="0"/>
                      <w:color w:val="auto"/>
                      <w:kern w:val="0"/>
                      <w:sz w:val="21"/>
                      <w:szCs w:val="21"/>
                      <w:u w:val="none"/>
                      <w:lang w:val="en-US" w:eastAsia="zh-CN" w:bidi="ar"/>
                    </w:rPr>
                    <w:t>g/L</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4095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350.2 </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B26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437.2 </w:t>
                  </w:r>
                </w:p>
              </w:tc>
              <w:tc>
                <w:tcPr>
                  <w:tcW w:w="15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BF32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387.5 </w:t>
                  </w:r>
                </w:p>
              </w:tc>
              <w:tc>
                <w:tcPr>
                  <w:tcW w:w="1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1C26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6E04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0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087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6DBE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52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9B56">
                  <w:pPr>
                    <w:keepNext w:val="0"/>
                    <w:keepLines w:val="0"/>
                    <w:widowControl/>
                    <w:numPr>
                      <w:ilvl w:val="0"/>
                      <w:numId w:val="12"/>
                    </w:numPr>
                    <w:suppressLineNumbers w:val="0"/>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喷枪清洗</w:t>
                  </w:r>
                  <w:r>
                    <w:rPr>
                      <w:rFonts w:hint="eastAsia" w:cs="Times New Roman"/>
                      <w:i w:val="0"/>
                      <w:iCs w:val="0"/>
                      <w:color w:val="auto"/>
                      <w:kern w:val="0"/>
                      <w:sz w:val="21"/>
                      <w:szCs w:val="21"/>
                      <w:u w:val="none"/>
                      <w:lang w:val="en-US" w:eastAsia="zh-CN" w:bidi="ar"/>
                    </w:rPr>
                    <w:t>过程在密闭塑料桶内，仅在塑料桶开关盖时有少量清洗剂的挥发，本项目保守以</w:t>
                  </w:r>
                  <w:r>
                    <w:rPr>
                      <w:rFonts w:hint="default" w:ascii="Times New Roman" w:hAnsi="Times New Roman" w:eastAsia="宋体" w:cs="Times New Roman"/>
                      <w:i w:val="0"/>
                      <w:iCs w:val="0"/>
                      <w:color w:val="auto"/>
                      <w:kern w:val="0"/>
                      <w:sz w:val="21"/>
                      <w:szCs w:val="21"/>
                      <w:u w:val="none"/>
                      <w:lang w:val="en-US" w:eastAsia="zh-CN" w:bidi="ar"/>
                    </w:rPr>
                    <w:t>50%</w:t>
                  </w:r>
                  <w:r>
                    <w:rPr>
                      <w:rFonts w:hint="eastAsia" w:cs="Times New Roman"/>
                      <w:i w:val="0"/>
                      <w:iCs w:val="0"/>
                      <w:color w:val="auto"/>
                      <w:kern w:val="0"/>
                      <w:sz w:val="21"/>
                      <w:szCs w:val="21"/>
                      <w:u w:val="none"/>
                      <w:lang w:val="en-US" w:eastAsia="zh-CN" w:bidi="ar"/>
                    </w:rPr>
                    <w:t>的</w:t>
                  </w:r>
                  <w:r>
                    <w:rPr>
                      <w:rFonts w:hint="default" w:ascii="Times New Roman" w:hAnsi="Times New Roman" w:eastAsia="宋体" w:cs="Times New Roman"/>
                      <w:i w:val="0"/>
                      <w:iCs w:val="0"/>
                      <w:color w:val="auto"/>
                      <w:kern w:val="0"/>
                      <w:sz w:val="21"/>
                      <w:szCs w:val="21"/>
                      <w:u w:val="none"/>
                      <w:lang w:val="en-US" w:eastAsia="zh-CN" w:bidi="ar"/>
                    </w:rPr>
                    <w:t>挥发</w:t>
                  </w:r>
                  <w:r>
                    <w:rPr>
                      <w:rFonts w:hint="eastAsia" w:cs="Times New Roman"/>
                      <w:i w:val="0"/>
                      <w:iCs w:val="0"/>
                      <w:color w:val="auto"/>
                      <w:kern w:val="0"/>
                      <w:sz w:val="21"/>
                      <w:szCs w:val="21"/>
                      <w:u w:val="none"/>
                      <w:lang w:val="en-US" w:eastAsia="zh-CN" w:bidi="ar"/>
                    </w:rPr>
                    <w:t>占比</w:t>
                  </w:r>
                  <w:r>
                    <w:rPr>
                      <w:rFonts w:hint="default" w:ascii="Times New Roman" w:hAnsi="Times New Roman" w:eastAsia="宋体" w:cs="Times New Roman"/>
                      <w:i w:val="0"/>
                      <w:iCs w:val="0"/>
                      <w:color w:val="auto"/>
                      <w:kern w:val="0"/>
                      <w:sz w:val="21"/>
                      <w:szCs w:val="21"/>
                      <w:u w:val="none"/>
                      <w:lang w:val="en-US" w:eastAsia="zh-CN" w:bidi="ar"/>
                    </w:rPr>
                    <w:t>计，其余50%进入危险废物。</w:t>
                  </w:r>
                </w:p>
                <w:p w14:paraId="4AFAC97D">
                  <w:pPr>
                    <w:pStyle w:val="2"/>
                    <w:numPr>
                      <w:ilvl w:val="0"/>
                      <w:numId w:val="12"/>
                    </w:numP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溶剂型涂料-工业防护涂料-金属基层防腐涂料-单组分：≤500g/L，本项目使用底漆、面漆、清漆符合</w:t>
                  </w:r>
                  <w:r>
                    <w:rPr>
                      <w:rFonts w:hint="default" w:ascii="Times New Roman" w:hAnsi="Times New Roman" w:cs="Times New Roman"/>
                      <w:bCs/>
                      <w:color w:val="auto"/>
                      <w:kern w:val="2"/>
                      <w:sz w:val="21"/>
                      <w:szCs w:val="21"/>
                      <w:highlight w:val="none"/>
                    </w:rPr>
                    <w:t>《低挥发性有机化合物含量涂料产品技术要求》（GB/T38597-2020）</w:t>
                  </w:r>
                  <w:r>
                    <w:rPr>
                      <w:rFonts w:hint="default" w:ascii="Times New Roman" w:hAnsi="Times New Roman" w:cs="Times New Roman"/>
                      <w:color w:val="auto"/>
                      <w:sz w:val="21"/>
                      <w:szCs w:val="21"/>
                    </w:rPr>
                    <w:t>要求</w:t>
                  </w:r>
                  <w:r>
                    <w:rPr>
                      <w:rFonts w:hint="default" w:ascii="Times New Roman" w:hAnsi="Times New Roman" w:cs="Times New Roman"/>
                      <w:color w:val="auto"/>
                      <w:sz w:val="21"/>
                      <w:szCs w:val="21"/>
                      <w:lang w:eastAsia="zh-CN"/>
                    </w:rPr>
                    <w:t>。</w:t>
                  </w:r>
                </w:p>
                <w:p w14:paraId="687C4562">
                  <w:pPr>
                    <w:pStyle w:val="2"/>
                    <w:numPr>
                      <w:ilvl w:val="0"/>
                      <w:numId w:val="12"/>
                    </w:numPr>
                    <w:rPr>
                      <w:rFonts w:hint="eastAsia" w:eastAsia="宋体"/>
                      <w:color w:val="auto"/>
                      <w:lang w:val="en-US" w:eastAsia="zh-CN"/>
                    </w:rPr>
                  </w:pPr>
                  <w:r>
                    <w:rPr>
                      <w:rFonts w:hint="default" w:ascii="Times New Roman" w:hAnsi="Times New Roman" w:cs="Times New Roman"/>
                      <w:color w:val="auto"/>
                      <w:sz w:val="21"/>
                      <w:szCs w:val="21"/>
                      <w:lang w:val="en-US" w:eastAsia="zh-CN"/>
                    </w:rPr>
                    <w:t>喷枪清洗剂，满足</w:t>
                  </w:r>
                  <w:r>
                    <w:rPr>
                      <w:rFonts w:hint="default" w:ascii="Times New Roman" w:hAnsi="Times New Roman" w:cs="Times New Roman"/>
                      <w:color w:val="auto"/>
                      <w:sz w:val="21"/>
                      <w:szCs w:val="21"/>
                    </w:rPr>
                    <w:t>有机溶剂清洗剂 《清洗剂挥发性有机化合物含量限值》（GB38508-2020）VOC</w:t>
                  </w:r>
                  <w:r>
                    <w:rPr>
                      <w:rFonts w:hint="eastAsia" w:ascii="Times New Roman" w:cs="Times New Roman"/>
                      <w:color w:val="auto"/>
                      <w:sz w:val="21"/>
                      <w:szCs w:val="21"/>
                      <w:lang w:val="en-US" w:eastAsia="zh-CN"/>
                    </w:rPr>
                    <w:t>s</w:t>
                  </w:r>
                  <w:r>
                    <w:rPr>
                      <w:rFonts w:hint="default" w:ascii="Times New Roman" w:hAnsi="Times New Roman" w:cs="Times New Roman"/>
                      <w:color w:val="auto"/>
                      <w:sz w:val="21"/>
                      <w:szCs w:val="21"/>
                    </w:rPr>
                    <w:t xml:space="preserve"> 含量限值（≤ 900g/L）</w:t>
                  </w:r>
                  <w:r>
                    <w:rPr>
                      <w:rFonts w:hint="default" w:ascii="Times New Roman" w:hAnsi="Times New Roman" w:cs="Times New Roman"/>
                      <w:color w:val="auto"/>
                      <w:sz w:val="21"/>
                      <w:szCs w:val="21"/>
                      <w:lang w:val="en-US" w:eastAsia="zh-CN"/>
                    </w:rPr>
                    <w:t>要求</w:t>
                  </w:r>
                  <w:r>
                    <w:rPr>
                      <w:rFonts w:hint="default" w:ascii="Times New Roman" w:hAnsi="Times New Roman" w:cs="Times New Roman"/>
                      <w:color w:val="auto"/>
                      <w:lang w:val="en-US" w:eastAsia="zh-CN"/>
                    </w:rPr>
                    <w:t>。</w:t>
                  </w:r>
                </w:p>
              </w:tc>
            </w:tr>
          </w:tbl>
          <w:p w14:paraId="5065625D">
            <w:pPr>
              <w:pageBreakBefore w:val="0"/>
              <w:widowControl w:val="0"/>
              <w:wordWrap w:val="0"/>
              <w:overflowPunct/>
              <w:bidi w:val="0"/>
              <w:spacing w:line="360" w:lineRule="auto"/>
              <w:ind w:firstLine="482" w:firstLineChars="200"/>
              <w:jc w:val="both"/>
              <w:rPr>
                <w:rFonts w:hint="default" w:ascii="Times New Roman" w:hAnsi="Times New Roman" w:eastAsia="宋体" w:cs="Times New Roman"/>
                <w:b/>
                <w:bCs/>
                <w:color w:val="auto"/>
                <w:kern w:val="2"/>
                <w:sz w:val="24"/>
                <w:szCs w:val="24"/>
                <w:highlight w:val="none"/>
                <w:lang w:val="en-US" w:eastAsia="zh-CN" w:bidi="ar-SA"/>
              </w:rPr>
            </w:pPr>
            <w:r>
              <w:rPr>
                <w:rFonts w:hint="eastAsia" w:cs="Times New Roman"/>
                <w:b/>
                <w:bCs/>
                <w:color w:val="auto"/>
                <w:kern w:val="2"/>
                <w:sz w:val="24"/>
                <w:szCs w:val="24"/>
                <w:highlight w:val="none"/>
                <w:lang w:val="en-US" w:eastAsia="zh-CN" w:bidi="ar-SA"/>
              </w:rPr>
              <w:t>③</w:t>
            </w:r>
            <w:r>
              <w:rPr>
                <w:rFonts w:hint="eastAsia" w:ascii="Times New Roman" w:hAnsi="Times New Roman" w:eastAsia="宋体" w:cs="Times New Roman"/>
                <w:b/>
                <w:bCs/>
                <w:color w:val="auto"/>
                <w:kern w:val="2"/>
                <w:sz w:val="24"/>
                <w:szCs w:val="24"/>
                <w:highlight w:val="none"/>
                <w:lang w:val="en-US" w:eastAsia="zh-CN" w:bidi="ar-SA"/>
              </w:rPr>
              <w:t>粉末涂料用量核算</w:t>
            </w:r>
          </w:p>
          <w:p w14:paraId="4989FA6E">
            <w:pPr>
              <w:widowControl/>
              <w:wordWrap w:val="0"/>
              <w:topLinePunct/>
              <w:spacing w:line="360" w:lineRule="auto"/>
              <w:ind w:firstLine="480" w:firstLineChars="200"/>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根据《现代涂装手册 化学工业出版社 2010年（第一版）》内容：“第13章粉末涂装 表13-1粉末涂料和液体涂料的涂装性能比较”可知，静电喷粉涂料喷涂损失率小于10%，综合考虑本项目设备性能及粉末喷粉厚度，静电喷粉附在工件表面的附着率取70%，无法吸附在工件上的喷粉材料约占30%。</w:t>
            </w:r>
          </w:p>
          <w:p w14:paraId="22DD6152">
            <w:pPr>
              <w:pageBreakBefore w:val="0"/>
              <w:widowControl w:val="0"/>
              <w:numPr>
                <w:ilvl w:val="0"/>
                <w:numId w:val="10"/>
              </w:numPr>
              <w:wordWrap w:val="0"/>
              <w:overflowPunct/>
              <w:bidi w:val="0"/>
              <w:spacing w:line="240" w:lineRule="auto"/>
              <w:ind w:left="0" w:leftChars="0" w:firstLine="40" w:firstLine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粉末使用量计算一览表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2"/>
              <w:gridCol w:w="1503"/>
              <w:gridCol w:w="1015"/>
              <w:gridCol w:w="1273"/>
              <w:gridCol w:w="1273"/>
              <w:gridCol w:w="1302"/>
            </w:tblGrid>
            <w:tr w14:paraId="2F13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52" w:type="dxa"/>
                  <w:vAlign w:val="center"/>
                </w:tcPr>
                <w:p w14:paraId="67542575">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lang w:bidi="ar"/>
                    </w:rPr>
                  </w:pPr>
                  <w:r>
                    <w:rPr>
                      <w:rFonts w:hint="default" w:ascii="Times New Roman" w:hAnsi="Times New Roman" w:eastAsia="宋体" w:cs="Times New Roman"/>
                      <w:b/>
                      <w:bCs/>
                      <w:color w:val="auto"/>
                      <w:kern w:val="2"/>
                      <w:sz w:val="21"/>
                      <w:szCs w:val="21"/>
                      <w:highlight w:val="none"/>
                      <w:lang w:bidi="ar"/>
                    </w:rPr>
                    <w:t>产品喷粉总面积/m</w:t>
                  </w:r>
                  <w:r>
                    <w:rPr>
                      <w:rFonts w:hint="default" w:ascii="Times New Roman" w:hAnsi="Times New Roman" w:eastAsia="宋体" w:cs="Times New Roman"/>
                      <w:b/>
                      <w:bCs/>
                      <w:color w:val="auto"/>
                      <w:kern w:val="2"/>
                      <w:sz w:val="21"/>
                      <w:szCs w:val="21"/>
                      <w:highlight w:val="none"/>
                      <w:vertAlign w:val="superscript"/>
                      <w:lang w:bidi="ar"/>
                    </w:rPr>
                    <w:t>2</w:t>
                  </w:r>
                </w:p>
              </w:tc>
              <w:tc>
                <w:tcPr>
                  <w:tcW w:w="1503" w:type="dxa"/>
                  <w:vAlign w:val="center"/>
                </w:tcPr>
                <w:p w14:paraId="1B09B61E">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lang w:bidi="ar"/>
                    </w:rPr>
                  </w:pPr>
                  <w:r>
                    <w:rPr>
                      <w:rFonts w:hint="default" w:ascii="Times New Roman" w:hAnsi="Times New Roman" w:eastAsia="宋体" w:cs="Times New Roman"/>
                      <w:b/>
                      <w:bCs/>
                      <w:color w:val="auto"/>
                      <w:kern w:val="2"/>
                      <w:sz w:val="21"/>
                      <w:szCs w:val="21"/>
                      <w:highlight w:val="none"/>
                      <w:lang w:bidi="ar"/>
                    </w:rPr>
                    <w:t>喷粉厚度（</w:t>
                  </w:r>
                  <w:r>
                    <w:rPr>
                      <w:rFonts w:hint="default" w:ascii="Times New Roman" w:hAnsi="Times New Roman" w:eastAsia="宋体" w:cs="Times New Roman"/>
                      <w:b/>
                      <w:bCs/>
                      <w:color w:val="auto"/>
                      <w:kern w:val="2"/>
                      <w:sz w:val="21"/>
                      <w:szCs w:val="21"/>
                      <w:highlight w:val="none"/>
                    </w:rPr>
                    <w:t>μm）</w:t>
                  </w:r>
                </w:p>
              </w:tc>
              <w:tc>
                <w:tcPr>
                  <w:tcW w:w="1015" w:type="dxa"/>
                  <w:vAlign w:val="center"/>
                </w:tcPr>
                <w:p w14:paraId="3FBCEF15">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lang w:bidi="ar"/>
                    </w:rPr>
                  </w:pPr>
                  <w:r>
                    <w:rPr>
                      <w:rFonts w:hint="default" w:ascii="Times New Roman" w:hAnsi="Times New Roman" w:eastAsia="宋体" w:cs="Times New Roman"/>
                      <w:b/>
                      <w:bCs/>
                      <w:color w:val="auto"/>
                      <w:kern w:val="2"/>
                      <w:sz w:val="21"/>
                      <w:szCs w:val="21"/>
                      <w:highlight w:val="none"/>
                      <w:lang w:bidi="ar"/>
                    </w:rPr>
                    <w:t>密度/g/cm</w:t>
                  </w:r>
                  <w:r>
                    <w:rPr>
                      <w:rFonts w:hint="default" w:ascii="Times New Roman" w:hAnsi="Times New Roman" w:eastAsia="宋体" w:cs="Times New Roman"/>
                      <w:b/>
                      <w:bCs/>
                      <w:color w:val="auto"/>
                      <w:kern w:val="2"/>
                      <w:sz w:val="21"/>
                      <w:szCs w:val="21"/>
                      <w:highlight w:val="none"/>
                      <w:vertAlign w:val="superscript"/>
                      <w:lang w:bidi="ar"/>
                    </w:rPr>
                    <w:t>3</w:t>
                  </w:r>
                </w:p>
              </w:tc>
              <w:tc>
                <w:tcPr>
                  <w:tcW w:w="1273" w:type="dxa"/>
                  <w:vAlign w:val="center"/>
                </w:tcPr>
                <w:p w14:paraId="52F4F790">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lang w:bidi="ar"/>
                    </w:rPr>
                  </w:pPr>
                  <w:r>
                    <w:rPr>
                      <w:rFonts w:hint="eastAsia" w:ascii="Times New Roman" w:hAnsi="Times New Roman" w:eastAsia="宋体" w:cs="Times New Roman"/>
                      <w:b/>
                      <w:bCs/>
                      <w:color w:val="auto"/>
                      <w:kern w:val="2"/>
                      <w:sz w:val="21"/>
                      <w:szCs w:val="21"/>
                      <w:highlight w:val="none"/>
                      <w:lang w:bidi="ar"/>
                    </w:rPr>
                    <w:t>一次</w:t>
                  </w:r>
                  <w:r>
                    <w:rPr>
                      <w:rFonts w:hint="default" w:ascii="Times New Roman" w:hAnsi="Times New Roman" w:eastAsia="宋体" w:cs="Times New Roman"/>
                      <w:b/>
                      <w:bCs/>
                      <w:color w:val="auto"/>
                      <w:kern w:val="2"/>
                      <w:sz w:val="21"/>
                      <w:szCs w:val="21"/>
                      <w:highlight w:val="none"/>
                      <w:lang w:bidi="ar"/>
                    </w:rPr>
                    <w:t>附着率%</w:t>
                  </w:r>
                </w:p>
              </w:tc>
              <w:tc>
                <w:tcPr>
                  <w:tcW w:w="1273" w:type="dxa"/>
                  <w:vAlign w:val="center"/>
                </w:tcPr>
                <w:p w14:paraId="213F153A">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lang w:bidi="ar"/>
                    </w:rPr>
                  </w:pPr>
                  <w:r>
                    <w:rPr>
                      <w:rFonts w:hint="default" w:ascii="Times New Roman" w:hAnsi="Times New Roman" w:eastAsia="宋体" w:cs="Times New Roman"/>
                      <w:b/>
                      <w:bCs/>
                      <w:color w:val="auto"/>
                      <w:kern w:val="2"/>
                      <w:sz w:val="21"/>
                      <w:szCs w:val="21"/>
                      <w:highlight w:val="none"/>
                      <w:lang w:bidi="ar"/>
                    </w:rPr>
                    <w:t>综合利用率%</w:t>
                  </w:r>
                </w:p>
              </w:tc>
              <w:tc>
                <w:tcPr>
                  <w:tcW w:w="1302" w:type="dxa"/>
                  <w:vAlign w:val="center"/>
                </w:tcPr>
                <w:p w14:paraId="79F0E606">
                  <w:pPr>
                    <w:keepNext w:val="0"/>
                    <w:keepLines w:val="0"/>
                    <w:widowControl/>
                    <w:suppressLineNumbers w:val="0"/>
                    <w:wordWrap w:val="0"/>
                    <w:topLinePunct/>
                    <w:spacing w:before="0" w:beforeAutospacing="0" w:after="0" w:afterAutospacing="0" w:line="240" w:lineRule="auto"/>
                    <w:ind w:left="0" w:right="0"/>
                    <w:jc w:val="center"/>
                    <w:rPr>
                      <w:rFonts w:hint="default" w:ascii="Times New Roman" w:hAnsi="Times New Roman" w:eastAsia="宋体" w:cs="Times New Roman"/>
                      <w:b/>
                      <w:bCs/>
                      <w:color w:val="auto"/>
                      <w:kern w:val="2"/>
                      <w:sz w:val="21"/>
                      <w:szCs w:val="21"/>
                      <w:highlight w:val="none"/>
                      <w:lang w:bidi="ar"/>
                    </w:rPr>
                  </w:pPr>
                  <w:r>
                    <w:rPr>
                      <w:rFonts w:hint="default" w:ascii="Times New Roman" w:hAnsi="Times New Roman" w:eastAsia="宋体" w:cs="Times New Roman"/>
                      <w:b/>
                      <w:bCs/>
                      <w:color w:val="auto"/>
                      <w:kern w:val="2"/>
                      <w:sz w:val="21"/>
                      <w:szCs w:val="21"/>
                      <w:highlight w:val="none"/>
                      <w:lang w:bidi="ar"/>
                    </w:rPr>
                    <w:t>粉末使用量t/a</w:t>
                  </w:r>
                </w:p>
              </w:tc>
            </w:tr>
            <w:tr w14:paraId="78C9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52" w:type="dxa"/>
                  <w:vAlign w:val="center"/>
                </w:tcPr>
                <w:p w14:paraId="205C6CD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bidi="ar"/>
                    </w:rPr>
                  </w:pPr>
                  <w:r>
                    <w:rPr>
                      <w:rFonts w:hint="default" w:ascii="Times New Roman" w:hAnsi="Times New Roman" w:eastAsia="宋体" w:cs="Times New Roman"/>
                      <w:i w:val="0"/>
                      <w:iCs w:val="0"/>
                      <w:color w:val="auto"/>
                      <w:kern w:val="0"/>
                      <w:sz w:val="21"/>
                      <w:szCs w:val="21"/>
                      <w:u w:val="none"/>
                      <w:lang w:val="en-US" w:eastAsia="zh-CN" w:bidi="ar"/>
                    </w:rPr>
                    <w:t>1032000</w:t>
                  </w:r>
                </w:p>
              </w:tc>
              <w:tc>
                <w:tcPr>
                  <w:tcW w:w="1503" w:type="dxa"/>
                  <w:vAlign w:val="center"/>
                </w:tcPr>
                <w:p w14:paraId="02D6199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70</w:t>
                  </w:r>
                </w:p>
              </w:tc>
              <w:tc>
                <w:tcPr>
                  <w:tcW w:w="1015" w:type="dxa"/>
                  <w:vAlign w:val="center"/>
                </w:tcPr>
                <w:p w14:paraId="7436BDF3">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eastAsia="zh-CN" w:bidi="ar"/>
                    </w:rPr>
                  </w:pPr>
                  <w:r>
                    <w:rPr>
                      <w:rFonts w:hint="default" w:ascii="Times New Roman" w:hAnsi="Times New Roman" w:eastAsia="宋体" w:cs="Times New Roman"/>
                      <w:i w:val="0"/>
                      <w:iCs w:val="0"/>
                      <w:color w:val="auto"/>
                      <w:kern w:val="0"/>
                      <w:sz w:val="21"/>
                      <w:szCs w:val="21"/>
                      <w:u w:val="none"/>
                      <w:lang w:val="en-US" w:eastAsia="zh-CN" w:bidi="ar"/>
                    </w:rPr>
                    <w:t>1.4</w:t>
                  </w:r>
                </w:p>
              </w:tc>
              <w:tc>
                <w:tcPr>
                  <w:tcW w:w="1273" w:type="dxa"/>
                  <w:vAlign w:val="center"/>
                </w:tcPr>
                <w:p w14:paraId="4922E4E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70</w:t>
                  </w:r>
                </w:p>
              </w:tc>
              <w:tc>
                <w:tcPr>
                  <w:tcW w:w="1273" w:type="dxa"/>
                  <w:vAlign w:val="center"/>
                </w:tcPr>
                <w:p w14:paraId="30B51A5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95.54%</w:t>
                  </w:r>
                </w:p>
              </w:tc>
              <w:tc>
                <w:tcPr>
                  <w:tcW w:w="1302" w:type="dxa"/>
                  <w:vAlign w:val="center"/>
                </w:tcPr>
                <w:p w14:paraId="545FD5B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105.857 </w:t>
                  </w:r>
                </w:p>
              </w:tc>
            </w:tr>
            <w:tr w14:paraId="10A0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018" w:type="dxa"/>
                  <w:gridSpan w:val="6"/>
                  <w:vAlign w:val="center"/>
                </w:tcPr>
                <w:p w14:paraId="346DF2ED">
                  <w:pPr>
                    <w:keepNext w:val="0"/>
                    <w:keepLines w:val="0"/>
                    <w:widowControl/>
                    <w:suppressLineNumbers w:val="0"/>
                    <w:wordWrap w:val="0"/>
                    <w:topLinePunct/>
                    <w:spacing w:before="0" w:beforeAutospacing="0" w:after="0" w:afterAutospacing="0" w:line="240" w:lineRule="auto"/>
                    <w:ind w:left="0" w:right="0"/>
                    <w:rPr>
                      <w:rFonts w:hint="default"/>
                      <w:color w:val="auto"/>
                      <w:kern w:val="2"/>
                      <w:sz w:val="21"/>
                      <w:szCs w:val="21"/>
                      <w:highlight w:val="none"/>
                      <w:lang w:bidi="ar"/>
                    </w:rPr>
                  </w:pPr>
                  <w:r>
                    <w:rPr>
                      <w:rFonts w:hint="default"/>
                      <w:color w:val="auto"/>
                      <w:kern w:val="2"/>
                      <w:sz w:val="21"/>
                      <w:szCs w:val="21"/>
                      <w:highlight w:val="none"/>
                      <w:lang w:bidi="ar"/>
                    </w:rPr>
                    <w:t>注：①根据粉末涂料MSDS报告可知，该物质的密度为1.</w:t>
                  </w:r>
                  <w:r>
                    <w:rPr>
                      <w:rFonts w:hint="eastAsia"/>
                      <w:color w:val="auto"/>
                      <w:kern w:val="2"/>
                      <w:sz w:val="21"/>
                      <w:szCs w:val="21"/>
                      <w:highlight w:val="none"/>
                      <w:lang w:val="en-US" w:eastAsia="zh-CN" w:bidi="ar"/>
                    </w:rPr>
                    <w:t>3</w:t>
                  </w:r>
                  <w:r>
                    <w:rPr>
                      <w:rFonts w:hint="default"/>
                      <w:color w:val="auto"/>
                      <w:kern w:val="2"/>
                      <w:sz w:val="21"/>
                      <w:szCs w:val="21"/>
                      <w:highlight w:val="none"/>
                      <w:lang w:bidi="ar"/>
                    </w:rPr>
                    <w:t>～1.</w:t>
                  </w:r>
                  <w:r>
                    <w:rPr>
                      <w:rFonts w:hint="eastAsia"/>
                      <w:color w:val="auto"/>
                      <w:kern w:val="2"/>
                      <w:sz w:val="21"/>
                      <w:szCs w:val="21"/>
                      <w:highlight w:val="none"/>
                      <w:lang w:val="en-US" w:eastAsia="zh-CN" w:bidi="ar"/>
                    </w:rPr>
                    <w:t>4</w:t>
                  </w:r>
                  <w:r>
                    <w:rPr>
                      <w:rFonts w:hint="default"/>
                      <w:color w:val="auto"/>
                      <w:kern w:val="2"/>
                      <w:sz w:val="21"/>
                      <w:szCs w:val="21"/>
                      <w:highlight w:val="none"/>
                      <w:lang w:bidi="ar"/>
                    </w:rPr>
                    <w:t>g/cm</w:t>
                  </w:r>
                  <w:r>
                    <w:rPr>
                      <w:rFonts w:hint="default"/>
                      <w:color w:val="auto"/>
                      <w:kern w:val="2"/>
                      <w:sz w:val="21"/>
                      <w:szCs w:val="21"/>
                      <w:highlight w:val="none"/>
                      <w:vertAlign w:val="superscript"/>
                      <w:lang w:bidi="ar"/>
                    </w:rPr>
                    <w:t>3</w:t>
                  </w:r>
                  <w:r>
                    <w:rPr>
                      <w:rFonts w:hint="default"/>
                      <w:color w:val="auto"/>
                      <w:kern w:val="2"/>
                      <w:sz w:val="21"/>
                      <w:szCs w:val="21"/>
                      <w:highlight w:val="none"/>
                      <w:lang w:bidi="ar"/>
                    </w:rPr>
                    <w:t>，本评价取值1.</w:t>
                  </w:r>
                  <w:r>
                    <w:rPr>
                      <w:rFonts w:hint="eastAsia"/>
                      <w:color w:val="auto"/>
                      <w:kern w:val="2"/>
                      <w:sz w:val="21"/>
                      <w:szCs w:val="21"/>
                      <w:highlight w:val="none"/>
                      <w:lang w:val="en-US" w:eastAsia="zh-CN" w:bidi="ar"/>
                    </w:rPr>
                    <w:t>4</w:t>
                  </w:r>
                  <w:r>
                    <w:rPr>
                      <w:rFonts w:hint="default"/>
                      <w:color w:val="auto"/>
                      <w:kern w:val="2"/>
                      <w:sz w:val="21"/>
                      <w:szCs w:val="21"/>
                      <w:highlight w:val="none"/>
                      <w:lang w:bidi="ar"/>
                    </w:rPr>
                    <w:t>g/cm</w:t>
                  </w:r>
                  <w:r>
                    <w:rPr>
                      <w:rFonts w:hint="default"/>
                      <w:color w:val="auto"/>
                      <w:kern w:val="2"/>
                      <w:sz w:val="21"/>
                      <w:szCs w:val="21"/>
                      <w:highlight w:val="none"/>
                      <w:vertAlign w:val="superscript"/>
                      <w:lang w:bidi="ar"/>
                    </w:rPr>
                    <w:t>3</w:t>
                  </w:r>
                  <w:r>
                    <w:rPr>
                      <w:rFonts w:hint="default"/>
                      <w:color w:val="auto"/>
                      <w:kern w:val="2"/>
                      <w:sz w:val="21"/>
                      <w:szCs w:val="21"/>
                      <w:highlight w:val="none"/>
                      <w:lang w:bidi="ar"/>
                    </w:rPr>
                    <w:t>；</w:t>
                  </w:r>
                </w:p>
                <w:p w14:paraId="745D8917">
                  <w:pPr>
                    <w:keepNext w:val="0"/>
                    <w:keepLines w:val="0"/>
                    <w:widowControl/>
                    <w:suppressLineNumbers w:val="0"/>
                    <w:wordWrap w:val="0"/>
                    <w:topLinePunct/>
                    <w:spacing w:before="0" w:beforeAutospacing="0" w:after="0" w:afterAutospacing="0" w:line="240" w:lineRule="auto"/>
                    <w:ind w:left="0" w:right="0"/>
                    <w:rPr>
                      <w:rFonts w:hint="default"/>
                      <w:color w:val="auto"/>
                      <w:kern w:val="2"/>
                      <w:sz w:val="21"/>
                      <w:szCs w:val="21"/>
                      <w:highlight w:val="none"/>
                      <w:lang w:bidi="ar"/>
                    </w:rPr>
                  </w:pPr>
                  <w:r>
                    <w:rPr>
                      <w:rFonts w:hint="default"/>
                      <w:color w:val="auto"/>
                      <w:kern w:val="2"/>
                      <w:sz w:val="21"/>
                      <w:szCs w:val="21"/>
                      <w:highlight w:val="none"/>
                      <w:lang w:bidi="ar"/>
                    </w:rPr>
                    <w:t>②本项目喷粉粉末</w:t>
                  </w:r>
                  <w:r>
                    <w:rPr>
                      <w:rFonts w:hint="eastAsia"/>
                      <w:color w:val="auto"/>
                      <w:kern w:val="2"/>
                      <w:sz w:val="21"/>
                      <w:szCs w:val="21"/>
                      <w:highlight w:val="none"/>
                      <w:lang w:bidi="ar"/>
                    </w:rPr>
                    <w:t>一次</w:t>
                  </w:r>
                  <w:r>
                    <w:rPr>
                      <w:rFonts w:hint="default"/>
                      <w:color w:val="auto"/>
                      <w:kern w:val="2"/>
                      <w:sz w:val="21"/>
                      <w:szCs w:val="21"/>
                      <w:highlight w:val="none"/>
                      <w:lang w:bidi="ar"/>
                    </w:rPr>
                    <w:t>附着率为70%，粉末收集效率为90%，回用率为99%，未收集部分粉尘沉降率为80%。因本项目回用粉末一直参与回用，其粉末综合利用率为0.7+（0.3×0.9×0.99）×0.7+（0.3×0.9×0.99）</w:t>
                  </w:r>
                  <w:r>
                    <w:rPr>
                      <w:rFonts w:hint="default"/>
                      <w:color w:val="auto"/>
                      <w:kern w:val="2"/>
                      <w:sz w:val="21"/>
                      <w:szCs w:val="21"/>
                      <w:highlight w:val="none"/>
                      <w:vertAlign w:val="superscript"/>
                      <w:lang w:bidi="ar"/>
                    </w:rPr>
                    <w:t>2</w:t>
                  </w:r>
                  <w:r>
                    <w:rPr>
                      <w:rFonts w:hint="default"/>
                      <w:color w:val="auto"/>
                      <w:kern w:val="2"/>
                      <w:sz w:val="21"/>
                      <w:szCs w:val="21"/>
                      <w:highlight w:val="none"/>
                      <w:lang w:bidi="ar"/>
                    </w:rPr>
                    <w:t>×0.7....=0.7×(1-0.2673</w:t>
                  </w:r>
                  <w:r>
                    <w:rPr>
                      <w:rFonts w:hint="default"/>
                      <w:color w:val="auto"/>
                      <w:kern w:val="2"/>
                      <w:sz w:val="21"/>
                      <w:szCs w:val="21"/>
                      <w:highlight w:val="none"/>
                      <w:vertAlign w:val="superscript"/>
                    </w:rPr>
                    <w:t>n</w:t>
                  </w:r>
                  <w:r>
                    <w:rPr>
                      <w:rFonts w:hint="default"/>
                      <w:color w:val="auto"/>
                      <w:kern w:val="2"/>
                      <w:sz w:val="21"/>
                      <w:szCs w:val="21"/>
                      <w:highlight w:val="none"/>
                      <w:lang w:bidi="ar"/>
                    </w:rPr>
                    <w:t>)/（1-0.2673）=0.7（1-0）/（1-0.2673）=95.54%；</w:t>
                  </w:r>
                </w:p>
                <w:p w14:paraId="67C507A4">
                  <w:pPr>
                    <w:keepNext w:val="0"/>
                    <w:keepLines w:val="0"/>
                    <w:widowControl/>
                    <w:suppressLineNumbers w:val="0"/>
                    <w:spacing w:line="240" w:lineRule="auto"/>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color w:val="auto"/>
                      <w:kern w:val="2"/>
                      <w:sz w:val="21"/>
                      <w:szCs w:val="21"/>
                      <w:highlight w:val="none"/>
                      <w:lang w:bidi="ar"/>
                    </w:rPr>
                    <w:t>③</w:t>
                  </w:r>
                  <w:r>
                    <w:rPr>
                      <w:rFonts w:hint="default"/>
                      <w:color w:val="auto"/>
                      <w:kern w:val="2"/>
                      <w:sz w:val="21"/>
                      <w:szCs w:val="21"/>
                      <w:highlight w:val="none"/>
                    </w:rPr>
                    <w:t>粉末使用量（t）=喷涂面积×厚度×密度/综合利用率×100%（固体分）。</w:t>
                  </w:r>
                </w:p>
              </w:tc>
            </w:tr>
          </w:tbl>
          <w:p w14:paraId="5A16ECAD">
            <w:pPr>
              <w:pageBreakBefore w:val="0"/>
              <w:widowControl w:val="0"/>
              <w:wordWrap w:val="0"/>
              <w:overflowPunct/>
              <w:bidi w:val="0"/>
              <w:spacing w:line="360" w:lineRule="auto"/>
              <w:ind w:firstLine="482" w:firstLineChars="200"/>
              <w:jc w:val="both"/>
              <w:rPr>
                <w:rFonts w:ascii="Times New Roman" w:hAnsi="Times New Roman" w:eastAsia="宋体" w:cs="Times New Roman"/>
                <w:b/>
                <w:color w:val="auto"/>
                <w:kern w:val="2"/>
                <w:sz w:val="24"/>
                <w:szCs w:val="24"/>
                <w:highlight w:val="none"/>
                <w:lang w:val="en-US" w:eastAsia="zh-CN" w:bidi="ar-SA"/>
              </w:rPr>
            </w:pPr>
            <w:r>
              <w:rPr>
                <w:rFonts w:hint="eastAsia" w:cs="Times New Roman"/>
                <w:b/>
                <w:color w:val="auto"/>
                <w:kern w:val="2"/>
                <w:sz w:val="24"/>
                <w:szCs w:val="24"/>
                <w:highlight w:val="none"/>
                <w:lang w:val="en-US" w:eastAsia="zh-CN" w:bidi="ar-SA"/>
              </w:rPr>
              <w:t>④</w:t>
            </w:r>
            <w:r>
              <w:rPr>
                <w:rFonts w:ascii="Times New Roman" w:hAnsi="Times New Roman" w:eastAsia="宋体" w:cs="Times New Roman"/>
                <w:b/>
                <w:color w:val="auto"/>
                <w:kern w:val="2"/>
                <w:sz w:val="24"/>
                <w:szCs w:val="24"/>
                <w:highlight w:val="none"/>
                <w:lang w:val="en-US" w:eastAsia="zh-CN" w:bidi="ar-SA"/>
              </w:rPr>
              <w:t>喷枪产能核算：</w:t>
            </w:r>
          </w:p>
          <w:p w14:paraId="73DE4E0C">
            <w:pPr>
              <w:pageBreakBefore w:val="0"/>
              <w:widowControl w:val="0"/>
              <w:numPr>
                <w:ilvl w:val="0"/>
                <w:numId w:val="10"/>
              </w:numPr>
              <w:wordWrap w:val="0"/>
              <w:overflowPunct/>
              <w:bidi w:val="0"/>
              <w:spacing w:line="240" w:lineRule="auto"/>
              <w:ind w:left="0" w:leftChars="0" w:firstLine="40" w:firstLineChars="0"/>
              <w:jc w:val="center"/>
              <w:rPr>
                <w:rFonts w:ascii="Times New Roman" w:hAnsi="Times New Roman" w:eastAsia="宋体" w:cs="Times New Roman"/>
                <w:b/>
                <w:bCs/>
                <w:color w:val="auto"/>
                <w:kern w:val="2"/>
                <w:sz w:val="21"/>
                <w:szCs w:val="21"/>
                <w:highlight w:val="none"/>
                <w:lang w:val="en-US" w:eastAsia="zh-CN" w:bidi="ar-SA"/>
              </w:rPr>
            </w:pPr>
            <w:r>
              <w:rPr>
                <w:rFonts w:ascii="Times New Roman" w:hAnsi="Times New Roman" w:eastAsia="宋体" w:cs="Times New Roman"/>
                <w:b/>
                <w:bCs/>
                <w:color w:val="auto"/>
                <w:kern w:val="2"/>
                <w:sz w:val="21"/>
                <w:szCs w:val="21"/>
                <w:highlight w:val="none"/>
                <w:lang w:val="en-US" w:eastAsia="zh-CN" w:bidi="ar-SA"/>
              </w:rPr>
              <w:t xml:space="preserve"> 喷枪产能核算一览表</w:t>
            </w: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88"/>
              <w:gridCol w:w="1181"/>
              <w:gridCol w:w="789"/>
              <w:gridCol w:w="1422"/>
              <w:gridCol w:w="1046"/>
              <w:gridCol w:w="1450"/>
              <w:gridCol w:w="1383"/>
            </w:tblGrid>
            <w:tr w14:paraId="470FE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018" w:type="dxa"/>
                  <w:vAlign w:val="center"/>
                </w:tcPr>
                <w:p w14:paraId="2E7B45E3">
                  <w:pPr>
                    <w:keepNext w:val="0"/>
                    <w:keepLines w:val="0"/>
                    <w:widowControl/>
                    <w:suppressLineNumbers w:val="0"/>
                    <w:spacing w:line="240" w:lineRule="auto"/>
                    <w:jc w:val="center"/>
                    <w:textAlignment w:val="center"/>
                    <w:rPr>
                      <w:rFonts w:hint="eastAsia" w:ascii="Times New Roman" w:hAnsi="Times New Roman" w:eastAsia="宋体" w:cs="Times New Roman"/>
                      <w:b/>
                      <w:bCs/>
                      <w:color w:val="auto"/>
                      <w:sz w:val="21"/>
                      <w:szCs w:val="21"/>
                      <w:highlight w:val="none"/>
                      <w:lang w:eastAsia="zh-CN"/>
                    </w:rPr>
                  </w:pPr>
                  <w:r>
                    <w:rPr>
                      <w:rFonts w:hint="eastAsia" w:ascii="宋体" w:hAnsi="宋体" w:eastAsia="宋体" w:cs="宋体"/>
                      <w:b/>
                      <w:bCs/>
                      <w:i w:val="0"/>
                      <w:iCs w:val="0"/>
                      <w:color w:val="auto"/>
                      <w:kern w:val="0"/>
                      <w:sz w:val="21"/>
                      <w:szCs w:val="21"/>
                      <w:u w:val="none"/>
                      <w:lang w:val="en-US" w:eastAsia="zh-CN"/>
                    </w:rPr>
                    <w:t>物料名称</w:t>
                  </w:r>
                </w:p>
              </w:tc>
              <w:tc>
                <w:tcPr>
                  <w:tcW w:w="1217" w:type="dxa"/>
                  <w:vAlign w:val="center"/>
                </w:tcPr>
                <w:p w14:paraId="1DFF6F90">
                  <w:pPr>
                    <w:keepNext w:val="0"/>
                    <w:keepLines w:val="0"/>
                    <w:widowControl/>
                    <w:suppressLineNumbers w:val="0"/>
                    <w:spacing w:line="240" w:lineRule="auto"/>
                    <w:jc w:val="center"/>
                    <w:textAlignment w:val="center"/>
                    <w:rPr>
                      <w:rFonts w:ascii="Times New Roman" w:hAnsi="Times New Roman" w:eastAsia="宋体" w:cs="Times New Roman"/>
                      <w:b/>
                      <w:bCs/>
                      <w:color w:val="auto"/>
                      <w:sz w:val="21"/>
                      <w:szCs w:val="21"/>
                      <w:highlight w:val="none"/>
                    </w:rPr>
                  </w:pPr>
                  <w:r>
                    <w:rPr>
                      <w:rFonts w:hint="eastAsia" w:ascii="宋体" w:hAnsi="宋体" w:eastAsia="宋体" w:cs="宋体"/>
                      <w:b/>
                      <w:bCs/>
                      <w:i w:val="0"/>
                      <w:iCs w:val="0"/>
                      <w:color w:val="auto"/>
                      <w:kern w:val="0"/>
                      <w:sz w:val="21"/>
                      <w:szCs w:val="21"/>
                      <w:u w:val="none"/>
                      <w:lang w:val="en-US" w:eastAsia="zh-CN"/>
                    </w:rPr>
                    <w:t>设备名称</w:t>
                  </w:r>
                </w:p>
              </w:tc>
              <w:tc>
                <w:tcPr>
                  <w:tcW w:w="813" w:type="dxa"/>
                  <w:vAlign w:val="center"/>
                </w:tcPr>
                <w:p w14:paraId="24488A82">
                  <w:pPr>
                    <w:keepNext w:val="0"/>
                    <w:keepLines w:val="0"/>
                    <w:widowControl/>
                    <w:suppressLineNumbers w:val="0"/>
                    <w:spacing w:line="240" w:lineRule="auto"/>
                    <w:jc w:val="center"/>
                    <w:textAlignment w:val="center"/>
                    <w:rPr>
                      <w:rFonts w:ascii="Times New Roman" w:hAnsi="Times New Roman" w:eastAsia="宋体" w:cs="Times New Roman"/>
                      <w:b/>
                      <w:bCs/>
                      <w:color w:val="auto"/>
                      <w:sz w:val="21"/>
                      <w:szCs w:val="21"/>
                      <w:highlight w:val="none"/>
                    </w:rPr>
                  </w:pPr>
                  <w:r>
                    <w:rPr>
                      <w:rFonts w:hint="eastAsia" w:ascii="宋体" w:hAnsi="宋体" w:eastAsia="宋体" w:cs="宋体"/>
                      <w:b/>
                      <w:bCs/>
                      <w:i w:val="0"/>
                      <w:iCs w:val="0"/>
                      <w:color w:val="auto"/>
                      <w:kern w:val="0"/>
                      <w:sz w:val="21"/>
                      <w:szCs w:val="21"/>
                      <w:u w:val="none"/>
                      <w:lang w:val="en-US" w:eastAsia="zh-CN"/>
                    </w:rPr>
                    <w:t>数量（支）</w:t>
                  </w:r>
                </w:p>
              </w:tc>
              <w:tc>
                <w:tcPr>
                  <w:tcW w:w="1465" w:type="dxa"/>
                  <w:vAlign w:val="center"/>
                </w:tcPr>
                <w:p w14:paraId="6EFF2198">
                  <w:pPr>
                    <w:keepNext w:val="0"/>
                    <w:keepLines w:val="0"/>
                    <w:widowControl/>
                    <w:suppressLineNumbers w:val="0"/>
                    <w:spacing w:line="240" w:lineRule="auto"/>
                    <w:jc w:val="center"/>
                    <w:textAlignment w:val="center"/>
                    <w:rPr>
                      <w:rFonts w:ascii="Times New Roman" w:hAnsi="Times New Roman" w:eastAsia="宋体" w:cs="Times New Roman"/>
                      <w:b/>
                      <w:bCs/>
                      <w:color w:val="auto"/>
                      <w:sz w:val="21"/>
                      <w:szCs w:val="21"/>
                      <w:highlight w:val="none"/>
                    </w:rPr>
                  </w:pPr>
                  <w:r>
                    <w:rPr>
                      <w:rFonts w:hint="eastAsia" w:ascii="宋体" w:hAnsi="宋体" w:eastAsia="宋体" w:cs="宋体"/>
                      <w:b/>
                      <w:bCs/>
                      <w:i w:val="0"/>
                      <w:iCs w:val="0"/>
                      <w:color w:val="auto"/>
                      <w:kern w:val="0"/>
                      <w:sz w:val="21"/>
                      <w:szCs w:val="21"/>
                      <w:u w:val="none"/>
                      <w:lang w:val="en-US" w:eastAsia="zh-CN"/>
                    </w:rPr>
                    <w:t>设计喷枪流量（</w:t>
                  </w:r>
                  <w:r>
                    <w:rPr>
                      <w:rFonts w:hint="default" w:ascii="Times New Roman" w:hAnsi="Times New Roman" w:eastAsia="宋体" w:cs="Times New Roman"/>
                      <w:b/>
                      <w:bCs/>
                      <w:i w:val="0"/>
                      <w:iCs w:val="0"/>
                      <w:color w:val="auto"/>
                      <w:kern w:val="0"/>
                      <w:sz w:val="21"/>
                      <w:szCs w:val="21"/>
                      <w:u w:val="none"/>
                      <w:lang w:val="en-US" w:eastAsia="zh-CN"/>
                    </w:rPr>
                    <w:t>kg/h</w:t>
                  </w:r>
                  <w:r>
                    <w:rPr>
                      <w:rFonts w:hint="eastAsia" w:ascii="宋体" w:hAnsi="宋体" w:eastAsia="宋体" w:cs="宋体"/>
                      <w:b/>
                      <w:bCs/>
                      <w:i w:val="0"/>
                      <w:iCs w:val="0"/>
                      <w:color w:val="auto"/>
                      <w:kern w:val="0"/>
                      <w:sz w:val="21"/>
                      <w:szCs w:val="21"/>
                      <w:u w:val="none"/>
                      <w:lang w:val="en-US" w:eastAsia="zh-CN"/>
                    </w:rPr>
                    <w:t>）</w:t>
                  </w:r>
                </w:p>
              </w:tc>
              <w:tc>
                <w:tcPr>
                  <w:tcW w:w="1078" w:type="dxa"/>
                  <w:vAlign w:val="center"/>
                </w:tcPr>
                <w:p w14:paraId="66CB5F0D">
                  <w:pPr>
                    <w:keepNext w:val="0"/>
                    <w:keepLines w:val="0"/>
                    <w:widowControl/>
                    <w:suppressLineNumbers w:val="0"/>
                    <w:spacing w:line="240" w:lineRule="auto"/>
                    <w:jc w:val="center"/>
                    <w:textAlignment w:val="center"/>
                    <w:rPr>
                      <w:rFonts w:ascii="Times New Roman" w:hAnsi="Times New Roman" w:eastAsia="宋体" w:cs="Times New Roman"/>
                      <w:b/>
                      <w:bCs/>
                      <w:color w:val="auto"/>
                      <w:sz w:val="21"/>
                      <w:szCs w:val="21"/>
                      <w:highlight w:val="none"/>
                    </w:rPr>
                  </w:pPr>
                  <w:r>
                    <w:rPr>
                      <w:rFonts w:hint="eastAsia" w:ascii="宋体" w:hAnsi="宋体" w:eastAsia="宋体" w:cs="宋体"/>
                      <w:b/>
                      <w:bCs/>
                      <w:i w:val="0"/>
                      <w:iCs w:val="0"/>
                      <w:color w:val="auto"/>
                      <w:kern w:val="0"/>
                      <w:sz w:val="21"/>
                      <w:szCs w:val="21"/>
                      <w:u w:val="none"/>
                      <w:lang w:val="en-US" w:eastAsia="zh-CN"/>
                    </w:rPr>
                    <w:t>工作时间（</w:t>
                  </w:r>
                  <w:r>
                    <w:rPr>
                      <w:rFonts w:hint="default" w:ascii="Times New Roman" w:hAnsi="Times New Roman" w:eastAsia="宋体" w:cs="Times New Roman"/>
                      <w:b/>
                      <w:bCs/>
                      <w:i w:val="0"/>
                      <w:iCs w:val="0"/>
                      <w:color w:val="auto"/>
                      <w:kern w:val="0"/>
                      <w:sz w:val="21"/>
                      <w:szCs w:val="21"/>
                      <w:u w:val="none"/>
                      <w:lang w:val="en-US" w:eastAsia="zh-CN"/>
                    </w:rPr>
                    <w:t>h</w:t>
                  </w:r>
                  <w:r>
                    <w:rPr>
                      <w:rFonts w:hint="eastAsia" w:ascii="宋体" w:hAnsi="宋体" w:eastAsia="宋体" w:cs="宋体"/>
                      <w:b/>
                      <w:bCs/>
                      <w:i w:val="0"/>
                      <w:iCs w:val="0"/>
                      <w:color w:val="auto"/>
                      <w:kern w:val="0"/>
                      <w:sz w:val="21"/>
                      <w:szCs w:val="21"/>
                      <w:u w:val="none"/>
                      <w:lang w:val="en-US" w:eastAsia="zh-CN"/>
                    </w:rPr>
                    <w:t>）</w:t>
                  </w:r>
                </w:p>
              </w:tc>
              <w:tc>
                <w:tcPr>
                  <w:tcW w:w="1494" w:type="dxa"/>
                  <w:vAlign w:val="center"/>
                </w:tcPr>
                <w:p w14:paraId="3C6DACF2">
                  <w:pPr>
                    <w:keepNext w:val="0"/>
                    <w:keepLines w:val="0"/>
                    <w:widowControl/>
                    <w:suppressLineNumbers w:val="0"/>
                    <w:spacing w:line="240" w:lineRule="auto"/>
                    <w:jc w:val="center"/>
                    <w:textAlignment w:val="center"/>
                    <w:rPr>
                      <w:rFonts w:ascii="Times New Roman" w:hAnsi="Times New Roman" w:eastAsia="宋体" w:cs="Times New Roman"/>
                      <w:b/>
                      <w:bCs/>
                      <w:color w:val="auto"/>
                      <w:sz w:val="21"/>
                      <w:szCs w:val="21"/>
                      <w:highlight w:val="none"/>
                    </w:rPr>
                  </w:pPr>
                  <w:r>
                    <w:rPr>
                      <w:rFonts w:hint="eastAsia" w:ascii="宋体" w:hAnsi="宋体" w:eastAsia="宋体" w:cs="宋体"/>
                      <w:b/>
                      <w:bCs/>
                      <w:i w:val="0"/>
                      <w:iCs w:val="0"/>
                      <w:color w:val="auto"/>
                      <w:kern w:val="0"/>
                      <w:sz w:val="21"/>
                      <w:szCs w:val="21"/>
                      <w:u w:val="none"/>
                      <w:lang w:val="en-US" w:eastAsia="zh-CN"/>
                    </w:rPr>
                    <w:t>设计年喷涂量（</w:t>
                  </w:r>
                  <w:r>
                    <w:rPr>
                      <w:rFonts w:hint="default" w:ascii="Times New Roman" w:hAnsi="Times New Roman" w:eastAsia="宋体" w:cs="Times New Roman"/>
                      <w:b/>
                      <w:bCs/>
                      <w:i w:val="0"/>
                      <w:iCs w:val="0"/>
                      <w:color w:val="auto"/>
                      <w:kern w:val="0"/>
                      <w:sz w:val="21"/>
                      <w:szCs w:val="21"/>
                      <w:u w:val="none"/>
                      <w:lang w:val="en-US" w:eastAsia="zh-CN"/>
                    </w:rPr>
                    <w:t>t/a</w:t>
                  </w:r>
                  <w:r>
                    <w:rPr>
                      <w:rFonts w:hint="eastAsia" w:ascii="宋体" w:hAnsi="宋体" w:eastAsia="宋体" w:cs="宋体"/>
                      <w:b/>
                      <w:bCs/>
                      <w:i w:val="0"/>
                      <w:iCs w:val="0"/>
                      <w:color w:val="auto"/>
                      <w:kern w:val="0"/>
                      <w:sz w:val="21"/>
                      <w:szCs w:val="21"/>
                      <w:u w:val="none"/>
                      <w:lang w:val="en-US" w:eastAsia="zh-CN"/>
                    </w:rPr>
                    <w:t>）</w:t>
                  </w:r>
                </w:p>
              </w:tc>
              <w:tc>
                <w:tcPr>
                  <w:tcW w:w="1425" w:type="dxa"/>
                  <w:vAlign w:val="center"/>
                </w:tcPr>
                <w:p w14:paraId="72C3548A">
                  <w:pPr>
                    <w:keepNext w:val="0"/>
                    <w:keepLines w:val="0"/>
                    <w:widowControl/>
                    <w:suppressLineNumbers w:val="0"/>
                    <w:spacing w:line="240" w:lineRule="auto"/>
                    <w:jc w:val="center"/>
                    <w:textAlignment w:val="center"/>
                    <w:rPr>
                      <w:rFonts w:ascii="Times New Roman" w:hAnsi="Times New Roman" w:eastAsia="宋体" w:cs="Times New Roman"/>
                      <w:b/>
                      <w:bCs/>
                      <w:color w:val="auto"/>
                      <w:sz w:val="21"/>
                      <w:szCs w:val="21"/>
                      <w:highlight w:val="none"/>
                    </w:rPr>
                  </w:pPr>
                  <w:r>
                    <w:rPr>
                      <w:rFonts w:hint="eastAsia" w:ascii="宋体" w:hAnsi="宋体" w:eastAsia="宋体" w:cs="宋体"/>
                      <w:b/>
                      <w:bCs/>
                      <w:i w:val="0"/>
                      <w:iCs w:val="0"/>
                      <w:color w:val="auto"/>
                      <w:kern w:val="0"/>
                      <w:sz w:val="21"/>
                      <w:szCs w:val="21"/>
                      <w:u w:val="none"/>
                      <w:lang w:val="en-US" w:eastAsia="zh-CN"/>
                    </w:rPr>
                    <w:t>项目实际年喷涂量（</w:t>
                  </w:r>
                  <w:r>
                    <w:rPr>
                      <w:rFonts w:hint="default" w:ascii="Times New Roman" w:hAnsi="Times New Roman" w:eastAsia="宋体" w:cs="Times New Roman"/>
                      <w:b/>
                      <w:bCs/>
                      <w:i w:val="0"/>
                      <w:iCs w:val="0"/>
                      <w:color w:val="auto"/>
                      <w:kern w:val="0"/>
                      <w:sz w:val="21"/>
                      <w:szCs w:val="21"/>
                      <w:u w:val="none"/>
                      <w:lang w:val="en-US" w:eastAsia="zh-CN"/>
                    </w:rPr>
                    <w:t>t/a</w:t>
                  </w:r>
                  <w:r>
                    <w:rPr>
                      <w:rFonts w:hint="eastAsia" w:ascii="宋体" w:hAnsi="宋体" w:eastAsia="宋体" w:cs="宋体"/>
                      <w:b/>
                      <w:bCs/>
                      <w:i w:val="0"/>
                      <w:iCs w:val="0"/>
                      <w:color w:val="auto"/>
                      <w:kern w:val="0"/>
                      <w:sz w:val="21"/>
                      <w:szCs w:val="21"/>
                      <w:u w:val="none"/>
                      <w:lang w:val="en-US" w:eastAsia="zh-CN"/>
                    </w:rPr>
                    <w:t>）</w:t>
                  </w:r>
                </w:p>
              </w:tc>
            </w:tr>
            <w:tr w14:paraId="7B67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018" w:type="dxa"/>
                  <w:vAlign w:val="center"/>
                </w:tcPr>
                <w:p w14:paraId="5CA0E55E">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eastAsia="zh-CN"/>
                    </w:rPr>
                  </w:pPr>
                  <w:r>
                    <w:rPr>
                      <w:rFonts w:hint="eastAsia" w:ascii="宋体" w:hAnsi="宋体" w:eastAsia="宋体" w:cs="宋体"/>
                      <w:i w:val="0"/>
                      <w:iCs w:val="0"/>
                      <w:color w:val="auto"/>
                      <w:kern w:val="0"/>
                      <w:sz w:val="21"/>
                      <w:szCs w:val="21"/>
                      <w:u w:val="none"/>
                      <w:lang w:val="en-US" w:eastAsia="zh-CN" w:bidi="ar"/>
                    </w:rPr>
                    <w:t>油性漆</w:t>
                  </w:r>
                </w:p>
              </w:tc>
              <w:tc>
                <w:tcPr>
                  <w:tcW w:w="1217" w:type="dxa"/>
                  <w:vAlign w:val="center"/>
                </w:tcPr>
                <w:p w14:paraId="5248F223">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1.2mm</w:t>
                  </w:r>
                  <w:r>
                    <w:rPr>
                      <w:rFonts w:hint="eastAsia" w:ascii="宋体" w:hAnsi="宋体" w:eastAsia="宋体" w:cs="宋体"/>
                      <w:i w:val="0"/>
                      <w:iCs w:val="0"/>
                      <w:color w:val="auto"/>
                      <w:kern w:val="0"/>
                      <w:sz w:val="21"/>
                      <w:szCs w:val="21"/>
                      <w:u w:val="none"/>
                      <w:lang w:val="en-US" w:eastAsia="zh-CN" w:bidi="ar"/>
                    </w:rPr>
                    <w:t>口径喷枪</w:t>
                  </w:r>
                </w:p>
              </w:tc>
              <w:tc>
                <w:tcPr>
                  <w:tcW w:w="813" w:type="dxa"/>
                  <w:vAlign w:val="center"/>
                </w:tcPr>
                <w:p w14:paraId="5380CEF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6</w:t>
                  </w:r>
                </w:p>
              </w:tc>
              <w:tc>
                <w:tcPr>
                  <w:tcW w:w="1465" w:type="dxa"/>
                  <w:vAlign w:val="center"/>
                </w:tcPr>
                <w:p w14:paraId="644C212C">
                  <w:pPr>
                    <w:keepNext w:val="0"/>
                    <w:keepLines w:val="0"/>
                    <w:widowControl/>
                    <w:suppressLineNumbers w:val="0"/>
                    <w:jc w:val="center"/>
                    <w:textAlignment w:val="center"/>
                    <w:rPr>
                      <w:rFonts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78" w:type="dxa"/>
                  <w:vAlign w:val="center"/>
                </w:tcPr>
                <w:p w14:paraId="5B2EF57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1928</w:t>
                  </w:r>
                </w:p>
              </w:tc>
              <w:tc>
                <w:tcPr>
                  <w:tcW w:w="1494" w:type="dxa"/>
                  <w:vAlign w:val="center"/>
                </w:tcPr>
                <w:p w14:paraId="02748EC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11.568</w:t>
                  </w:r>
                </w:p>
              </w:tc>
              <w:tc>
                <w:tcPr>
                  <w:tcW w:w="1425" w:type="dxa"/>
                  <w:vAlign w:val="center"/>
                </w:tcPr>
                <w:p w14:paraId="449CE8C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9.852</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773C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8510" w:type="dxa"/>
                  <w:gridSpan w:val="7"/>
                  <w:vAlign w:val="center"/>
                </w:tcPr>
                <w:p w14:paraId="003BDAD8">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注：</w:t>
                  </w:r>
                  <w:r>
                    <w:rPr>
                      <w:rFonts w:hint="eastAsia" w:ascii="Times New Roman" w:hAnsi="Times New Roman" w:eastAsia="宋体" w:cs="Times New Roman"/>
                      <w:color w:val="auto"/>
                      <w:kern w:val="2"/>
                      <w:sz w:val="21"/>
                      <w:szCs w:val="21"/>
                      <w:highlight w:val="none"/>
                      <w:lang w:val="en-US" w:eastAsia="zh-CN" w:bidi="ar-SA"/>
                    </w:rPr>
                    <w:t>①单支喷枪流量为5~50ml/min，本项目取10ml/min，即约为1kg/h；</w:t>
                  </w:r>
                </w:p>
                <w:p w14:paraId="3FCC352D">
                  <w:pPr>
                    <w:keepNext w:val="0"/>
                    <w:keepLines w:val="0"/>
                    <w:pageBreakBefore w:val="0"/>
                    <w:widowControl w:val="0"/>
                    <w:kinsoku/>
                    <w:wordWrap w:val="0"/>
                    <w:overflowPunct/>
                    <w:topLinePunct w:val="0"/>
                    <w:autoSpaceDE/>
                    <w:autoSpaceDN/>
                    <w:bidi w:val="0"/>
                    <w:adjustRightInd/>
                    <w:snapToGrid/>
                    <w:spacing w:line="360" w:lineRule="auto"/>
                    <w:jc w:val="left"/>
                    <w:textAlignment w:val="auto"/>
                    <w:rPr>
                      <w:rFonts w:ascii="Times New Roman" w:hAnsi="Times New Roman" w:eastAsia="宋体" w:cs="Times New Roman"/>
                      <w:color w:val="auto"/>
                      <w:kern w:val="2"/>
                      <w:sz w:val="24"/>
                      <w:szCs w:val="28"/>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②</w:t>
                  </w:r>
                  <w:r>
                    <w:rPr>
                      <w:rFonts w:ascii="Times New Roman" w:hAnsi="Times New Roman" w:eastAsia="宋体" w:cs="Times New Roman"/>
                      <w:color w:val="auto"/>
                      <w:kern w:val="2"/>
                      <w:sz w:val="21"/>
                      <w:szCs w:val="21"/>
                      <w:highlight w:val="none"/>
                      <w:lang w:val="en-US" w:eastAsia="zh-CN" w:bidi="ar-SA"/>
                    </w:rPr>
                    <w:t>喷枪设计喷涂总量</w:t>
                  </w:r>
                  <w:r>
                    <w:rPr>
                      <w:rFonts w:hint="eastAsia" w:ascii="Times New Roman" w:hAnsi="Times New Roman" w:eastAsia="宋体" w:cs="Times New Roman"/>
                      <w:color w:val="auto"/>
                      <w:kern w:val="2"/>
                      <w:sz w:val="21"/>
                      <w:szCs w:val="21"/>
                      <w:highlight w:val="none"/>
                      <w:lang w:val="en-US" w:eastAsia="zh-CN" w:bidi="ar-SA"/>
                    </w:rPr>
                    <w:t>分别</w:t>
                  </w:r>
                  <w:r>
                    <w:rPr>
                      <w:rFonts w:ascii="Times New Roman" w:hAnsi="Times New Roman" w:eastAsia="宋体" w:cs="Times New Roman"/>
                      <w:color w:val="auto"/>
                      <w:kern w:val="2"/>
                      <w:sz w:val="21"/>
                      <w:szCs w:val="21"/>
                      <w:highlight w:val="none"/>
                      <w:lang w:val="en-US" w:eastAsia="zh-CN" w:bidi="ar-SA"/>
                    </w:rPr>
                    <w:t>为</w:t>
                  </w:r>
                  <w:r>
                    <w:rPr>
                      <w:rFonts w:hint="eastAsia" w:ascii="Times New Roman" w:hAnsi="Times New Roman" w:eastAsia="宋体" w:cs="Times New Roman"/>
                      <w:color w:val="auto"/>
                      <w:kern w:val="2"/>
                      <w:sz w:val="21"/>
                      <w:szCs w:val="21"/>
                      <w:highlight w:val="none"/>
                      <w:lang w:val="en-US" w:eastAsia="zh-CN" w:bidi="ar-SA"/>
                    </w:rPr>
                    <w:t>11.568t/a</w:t>
                  </w:r>
                  <w:r>
                    <w:rPr>
                      <w:rFonts w:ascii="Times New Roman" w:hAnsi="Times New Roman" w:eastAsia="宋体" w:cs="Times New Roman"/>
                      <w:color w:val="auto"/>
                      <w:kern w:val="2"/>
                      <w:sz w:val="21"/>
                      <w:szCs w:val="21"/>
                      <w:highlight w:val="none"/>
                      <w:lang w:val="en-US" w:eastAsia="zh-CN" w:bidi="ar-SA"/>
                    </w:rPr>
                    <w:t>，项目油漆实际总用量为</w:t>
                  </w:r>
                  <w:r>
                    <w:rPr>
                      <w:rFonts w:hint="eastAsia" w:cs="Times New Roman"/>
                      <w:color w:val="auto"/>
                      <w:kern w:val="2"/>
                      <w:sz w:val="21"/>
                      <w:szCs w:val="21"/>
                      <w:highlight w:val="none"/>
                      <w:lang w:val="en-US" w:eastAsia="zh-CN" w:bidi="ar-SA"/>
                    </w:rPr>
                    <w:t>9.852</w:t>
                  </w:r>
                  <w:r>
                    <w:rPr>
                      <w:rFonts w:ascii="Times New Roman" w:hAnsi="Times New Roman" w:eastAsia="宋体" w:cs="Times New Roman"/>
                      <w:color w:val="auto"/>
                      <w:kern w:val="2"/>
                      <w:sz w:val="21"/>
                      <w:szCs w:val="21"/>
                      <w:highlight w:val="none"/>
                      <w:lang w:val="en-US" w:eastAsia="zh-CN" w:bidi="ar-SA"/>
                    </w:rPr>
                    <w:t>t/a，约占喷枪设计产能的</w:t>
                  </w:r>
                  <w:r>
                    <w:rPr>
                      <w:rFonts w:hint="eastAsia" w:cs="Times New Roman"/>
                      <w:color w:val="auto"/>
                      <w:kern w:val="2"/>
                      <w:sz w:val="21"/>
                      <w:szCs w:val="21"/>
                      <w:highlight w:val="none"/>
                      <w:lang w:val="en-US" w:eastAsia="zh-CN" w:bidi="ar-SA"/>
                    </w:rPr>
                    <w:t>85</w:t>
                  </w:r>
                  <w:r>
                    <w:rPr>
                      <w:rFonts w:ascii="Times New Roman" w:hAnsi="Times New Roman" w:eastAsia="宋体" w:cs="Times New Roman"/>
                      <w:color w:val="auto"/>
                      <w:kern w:val="2"/>
                      <w:sz w:val="21"/>
                      <w:szCs w:val="21"/>
                      <w:highlight w:val="none"/>
                      <w:lang w:val="en-US" w:eastAsia="zh-CN" w:bidi="ar-SA"/>
                    </w:rPr>
                    <w:t>%，与喷枪的产能相匹配。因此，生产设备的产能和原料用量相匹配、合理。</w:t>
                  </w:r>
                </w:p>
              </w:tc>
            </w:tr>
          </w:tbl>
          <w:p w14:paraId="1C5E516C">
            <w:pPr>
              <w:pageBreakBefore w:val="0"/>
              <w:widowControl w:val="0"/>
              <w:wordWrap w:val="0"/>
              <w:overflowPunct/>
              <w:bidi w:val="0"/>
              <w:spacing w:line="360" w:lineRule="auto"/>
              <w:ind w:firstLine="482" w:firstLineChars="200"/>
              <w:jc w:val="both"/>
              <w:rPr>
                <w:rFonts w:ascii="Times New Roman" w:hAnsi="Times New Roman" w:eastAsia="宋体" w:cs="Times New Roman"/>
                <w:b/>
                <w:color w:val="auto"/>
                <w:kern w:val="2"/>
                <w:sz w:val="24"/>
                <w:szCs w:val="24"/>
                <w:highlight w:val="none"/>
                <w:lang w:val="en-US" w:eastAsia="zh-CN" w:bidi="ar-SA"/>
              </w:rPr>
            </w:pPr>
            <w:r>
              <w:rPr>
                <w:rFonts w:hint="eastAsia" w:cs="Times New Roman"/>
                <w:b/>
                <w:color w:val="auto"/>
                <w:kern w:val="2"/>
                <w:sz w:val="24"/>
                <w:szCs w:val="24"/>
                <w:highlight w:val="none"/>
                <w:lang w:val="en-US" w:eastAsia="zh-CN" w:bidi="ar-SA"/>
              </w:rPr>
              <w:t>⑤</w:t>
            </w:r>
            <w:r>
              <w:rPr>
                <w:rFonts w:ascii="Times New Roman" w:hAnsi="Times New Roman" w:eastAsia="宋体" w:cs="Times New Roman"/>
                <w:b/>
                <w:color w:val="auto"/>
                <w:kern w:val="2"/>
                <w:sz w:val="24"/>
                <w:szCs w:val="24"/>
                <w:highlight w:val="none"/>
                <w:lang w:val="en-US" w:eastAsia="zh-CN" w:bidi="ar-SA"/>
              </w:rPr>
              <w:t>喷枪</w:t>
            </w:r>
            <w:r>
              <w:rPr>
                <w:rFonts w:hint="eastAsia" w:ascii="Times New Roman" w:hAnsi="Times New Roman" w:eastAsia="宋体" w:cs="Times New Roman"/>
                <w:b/>
                <w:color w:val="auto"/>
                <w:kern w:val="2"/>
                <w:sz w:val="24"/>
                <w:szCs w:val="24"/>
                <w:highlight w:val="none"/>
                <w:lang w:val="en-US" w:eastAsia="zh-CN" w:bidi="ar-SA"/>
              </w:rPr>
              <w:t>清洗剂用量</w:t>
            </w:r>
            <w:r>
              <w:rPr>
                <w:rFonts w:ascii="Times New Roman" w:hAnsi="Times New Roman" w:eastAsia="宋体" w:cs="Times New Roman"/>
                <w:b/>
                <w:color w:val="auto"/>
                <w:kern w:val="2"/>
                <w:sz w:val="24"/>
                <w:szCs w:val="24"/>
                <w:highlight w:val="none"/>
                <w:lang w:val="en-US" w:eastAsia="zh-CN" w:bidi="ar-SA"/>
              </w:rPr>
              <w:t>核算：</w:t>
            </w:r>
          </w:p>
          <w:p w14:paraId="109C17E4">
            <w:pPr>
              <w:pageBreakBefore w:val="0"/>
              <w:widowControl w:val="0"/>
              <w:numPr>
                <w:ilvl w:val="0"/>
                <w:numId w:val="10"/>
              </w:numPr>
              <w:wordWrap w:val="0"/>
              <w:overflowPunct/>
              <w:bidi w:val="0"/>
              <w:spacing w:line="240" w:lineRule="auto"/>
              <w:ind w:left="0" w:leftChars="0" w:firstLine="40" w:firstLineChars="0"/>
              <w:jc w:val="center"/>
              <w:rPr>
                <w:rFonts w:ascii="Times New Roman" w:hAnsi="Times New Roman" w:eastAsia="宋体" w:cs="Times New Roman"/>
                <w:b/>
                <w:bCs/>
                <w:color w:val="auto"/>
                <w:kern w:val="2"/>
                <w:sz w:val="21"/>
                <w:szCs w:val="21"/>
                <w:highlight w:val="none"/>
                <w:lang w:val="en-US" w:eastAsia="zh-CN" w:bidi="ar-SA"/>
              </w:rPr>
            </w:pPr>
            <w:r>
              <w:rPr>
                <w:rFonts w:ascii="Times New Roman" w:hAnsi="Times New Roman" w:eastAsia="宋体" w:cs="Times New Roman"/>
                <w:b/>
                <w:bCs/>
                <w:color w:val="auto"/>
                <w:kern w:val="2"/>
                <w:sz w:val="21"/>
                <w:szCs w:val="21"/>
                <w:highlight w:val="none"/>
                <w:lang w:val="en-US" w:eastAsia="zh-CN" w:bidi="ar-SA"/>
              </w:rPr>
              <w:t xml:space="preserve"> 喷枪产能</w:t>
            </w:r>
            <w:r>
              <w:rPr>
                <w:rFonts w:hint="eastAsia" w:ascii="Times New Roman" w:hAnsi="Times New Roman" w:eastAsia="宋体" w:cs="Times New Roman"/>
                <w:b/>
                <w:bCs/>
                <w:color w:val="auto"/>
                <w:kern w:val="2"/>
                <w:sz w:val="21"/>
                <w:szCs w:val="21"/>
                <w:highlight w:val="none"/>
                <w:lang w:val="en-US" w:eastAsia="zh-CN" w:bidi="ar-SA"/>
              </w:rPr>
              <w:t>清洗剂用量</w:t>
            </w:r>
            <w:r>
              <w:rPr>
                <w:rFonts w:ascii="Times New Roman" w:hAnsi="Times New Roman" w:eastAsia="宋体" w:cs="Times New Roman"/>
                <w:b/>
                <w:bCs/>
                <w:color w:val="auto"/>
                <w:kern w:val="2"/>
                <w:sz w:val="21"/>
                <w:szCs w:val="21"/>
                <w:highlight w:val="none"/>
                <w:lang w:val="en-US" w:eastAsia="zh-CN" w:bidi="ar-SA"/>
              </w:rPr>
              <w:t>核算一览表</w:t>
            </w:r>
          </w:p>
          <w:tbl>
            <w:tblPr>
              <w:tblStyle w:val="48"/>
              <w:tblW w:w="496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22"/>
              <w:gridCol w:w="1949"/>
              <w:gridCol w:w="1041"/>
              <w:gridCol w:w="1729"/>
              <w:gridCol w:w="2375"/>
            </w:tblGrid>
            <w:tr w14:paraId="20247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2B978">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auto"/>
                      <w:sz w:val="21"/>
                      <w:szCs w:val="21"/>
                      <w:u w:val="none"/>
                      <w:lang w:val="en-US"/>
                    </w:rPr>
                  </w:pPr>
                  <w:r>
                    <w:rPr>
                      <w:rFonts w:hint="eastAsia" w:ascii="宋体" w:hAnsi="宋体" w:eastAsia="宋体" w:cs="宋体"/>
                      <w:b/>
                      <w:bCs/>
                      <w:i w:val="0"/>
                      <w:iCs w:val="0"/>
                      <w:color w:val="auto"/>
                      <w:kern w:val="0"/>
                      <w:sz w:val="21"/>
                      <w:szCs w:val="21"/>
                      <w:u w:val="none"/>
                      <w:lang w:val="en-US" w:eastAsia="zh-CN" w:bidi="ar"/>
                    </w:rPr>
                    <w:t>用量t/a</w:t>
                  </w:r>
                </w:p>
              </w:tc>
              <w:tc>
                <w:tcPr>
                  <w:tcW w:w="1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442FC">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每次每把</w:t>
                  </w:r>
                  <w:r>
                    <w:rPr>
                      <w:rFonts w:hint="default" w:ascii="Times New Roman" w:hAnsi="Times New Roman" w:eastAsia="宋体" w:cs="Times New Roman"/>
                      <w:b/>
                      <w:bCs/>
                      <w:i w:val="0"/>
                      <w:iCs w:val="0"/>
                      <w:color w:val="auto"/>
                      <w:kern w:val="0"/>
                      <w:sz w:val="21"/>
                      <w:szCs w:val="21"/>
                      <w:u w:val="none"/>
                      <w:lang w:val="en-US" w:eastAsia="zh-CN" w:bidi="ar"/>
                    </w:rPr>
                    <w:t>ml</w:t>
                  </w:r>
                </w:p>
              </w:tc>
              <w:tc>
                <w:tcPr>
                  <w:tcW w:w="6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50998">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把数</w:t>
                  </w:r>
                </w:p>
              </w:tc>
              <w:tc>
                <w:tcPr>
                  <w:tcW w:w="10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0EC52">
                  <w:pPr>
                    <w:keepNext w:val="0"/>
                    <w:keepLines w:val="0"/>
                    <w:widowControl/>
                    <w:suppressLineNumbers w:val="0"/>
                    <w:spacing w:line="360" w:lineRule="auto"/>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清洗次数</w:t>
                  </w:r>
                </w:p>
              </w:tc>
              <w:tc>
                <w:tcPr>
                  <w:tcW w:w="14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FED4C">
                  <w:pPr>
                    <w:keepNext w:val="0"/>
                    <w:keepLines w:val="0"/>
                    <w:widowControl/>
                    <w:suppressLineNumbers w:val="0"/>
                    <w:spacing w:line="360" w:lineRule="auto"/>
                    <w:jc w:val="center"/>
                    <w:textAlignment w:val="center"/>
                    <w:rPr>
                      <w:rFonts w:hint="default" w:ascii="宋体" w:hAnsi="宋体" w:eastAsia="宋体" w:cs="宋体"/>
                      <w:b/>
                      <w:bCs/>
                      <w:i w:val="0"/>
                      <w:iCs w:val="0"/>
                      <w:color w:val="auto"/>
                      <w:sz w:val="21"/>
                      <w:szCs w:val="21"/>
                      <w:u w:val="none"/>
                      <w:vertAlign w:val="superscript"/>
                      <w:lang w:val="en-US"/>
                    </w:rPr>
                  </w:pPr>
                  <w:r>
                    <w:rPr>
                      <w:rFonts w:hint="eastAsia" w:ascii="宋体" w:hAnsi="宋体" w:eastAsia="宋体" w:cs="宋体"/>
                      <w:b/>
                      <w:bCs/>
                      <w:i w:val="0"/>
                      <w:iCs w:val="0"/>
                      <w:color w:val="auto"/>
                      <w:kern w:val="0"/>
                      <w:sz w:val="21"/>
                      <w:szCs w:val="21"/>
                      <w:u w:val="none"/>
                      <w:lang w:val="en-US" w:eastAsia="zh-CN" w:bidi="ar"/>
                    </w:rPr>
                    <w:t>密度g/cm</w:t>
                  </w:r>
                  <w:r>
                    <w:rPr>
                      <w:rFonts w:hint="eastAsia" w:ascii="宋体" w:hAnsi="宋体" w:eastAsia="宋体" w:cs="宋体"/>
                      <w:b/>
                      <w:bCs/>
                      <w:i w:val="0"/>
                      <w:iCs w:val="0"/>
                      <w:color w:val="auto"/>
                      <w:kern w:val="0"/>
                      <w:sz w:val="21"/>
                      <w:szCs w:val="21"/>
                      <w:u w:val="none"/>
                      <w:vertAlign w:val="superscript"/>
                      <w:lang w:val="en-US" w:eastAsia="zh-CN" w:bidi="ar"/>
                    </w:rPr>
                    <w:t>3</w:t>
                  </w:r>
                </w:p>
              </w:tc>
            </w:tr>
            <w:tr w14:paraId="3FCB5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1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5E8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4A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924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14E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241</w:t>
                  </w:r>
                </w:p>
              </w:tc>
              <w:tc>
                <w:tcPr>
                  <w:tcW w:w="23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B7C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0.828</w:t>
                  </w:r>
                </w:p>
              </w:tc>
            </w:tr>
            <w:tr w14:paraId="10FB1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81E89">
                  <w:pPr>
                    <w:keepNext w:val="0"/>
                    <w:keepLines w:val="0"/>
                    <w:widowControl/>
                    <w:suppressLineNumbers w:val="0"/>
                    <w:spacing w:line="360" w:lineRule="auto"/>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注：油漆喷枪需每日清洗一次，每次每把清洗时使用清洗剂约70ml。</w:t>
                  </w:r>
                </w:p>
              </w:tc>
            </w:tr>
          </w:tbl>
          <w:p w14:paraId="32191887">
            <w:pPr>
              <w:wordWrap w:val="0"/>
              <w:topLinePunct/>
              <w:spacing w:line="360" w:lineRule="auto"/>
              <w:ind w:firstLine="482" w:firstLineChars="200"/>
              <w:outlineLvl w:val="4"/>
              <w:rPr>
                <w:b/>
                <w:color w:val="auto"/>
                <w:sz w:val="24"/>
                <w:szCs w:val="24"/>
                <w:highlight w:val="none"/>
              </w:rPr>
            </w:pPr>
            <w:r>
              <w:rPr>
                <w:rFonts w:hint="eastAsia"/>
                <w:b/>
                <w:color w:val="auto"/>
                <w:sz w:val="24"/>
                <w:szCs w:val="24"/>
                <w:highlight w:val="none"/>
                <w:lang w:eastAsia="zh-CN"/>
              </w:rPr>
              <w:t>（</w:t>
            </w:r>
            <w:r>
              <w:rPr>
                <w:rFonts w:hint="eastAsia"/>
                <w:b/>
                <w:color w:val="auto"/>
                <w:sz w:val="24"/>
                <w:szCs w:val="24"/>
                <w:highlight w:val="none"/>
                <w:lang w:val="en-US" w:eastAsia="zh-CN"/>
              </w:rPr>
              <w:t>5</w:t>
            </w:r>
            <w:r>
              <w:rPr>
                <w:rFonts w:hint="eastAsia"/>
                <w:b/>
                <w:color w:val="auto"/>
                <w:sz w:val="24"/>
                <w:szCs w:val="24"/>
                <w:highlight w:val="none"/>
                <w:lang w:eastAsia="zh-CN"/>
              </w:rPr>
              <w:t>）</w:t>
            </w:r>
            <w:r>
              <w:rPr>
                <w:rFonts w:hint="eastAsia"/>
                <w:b/>
                <w:color w:val="auto"/>
                <w:sz w:val="24"/>
                <w:szCs w:val="24"/>
                <w:highlight w:val="none"/>
                <w:lang w:val="en-US" w:eastAsia="zh-CN"/>
              </w:rPr>
              <w:t>物料</w:t>
            </w:r>
            <w:r>
              <w:rPr>
                <w:b/>
                <w:color w:val="auto"/>
                <w:sz w:val="24"/>
                <w:szCs w:val="24"/>
                <w:highlight w:val="none"/>
              </w:rPr>
              <w:t>平衡</w:t>
            </w:r>
          </w:p>
          <w:p w14:paraId="2166EA0B">
            <w:pPr>
              <w:wordWrap w:val="0"/>
              <w:topLinePunct/>
              <w:spacing w:line="360" w:lineRule="auto"/>
              <w:ind w:firstLine="480" w:firstLineChars="200"/>
              <w:rPr>
                <w:color w:val="auto"/>
                <w:sz w:val="24"/>
                <w:highlight w:val="none"/>
              </w:rPr>
            </w:pPr>
            <w:r>
              <w:rPr>
                <w:color w:val="auto"/>
                <w:sz w:val="24"/>
                <w:szCs w:val="24"/>
                <w:highlight w:val="none"/>
              </w:rPr>
              <w:t>本项目</w:t>
            </w:r>
            <w:r>
              <w:rPr>
                <w:rFonts w:hint="eastAsia"/>
                <w:color w:val="auto"/>
                <w:sz w:val="24"/>
                <w:szCs w:val="24"/>
                <w:highlight w:val="none"/>
                <w:lang w:val="en-US" w:eastAsia="zh-CN"/>
              </w:rPr>
              <w:t>涉VOCs物料</w:t>
            </w:r>
            <w:r>
              <w:rPr>
                <w:color w:val="auto"/>
                <w:sz w:val="24"/>
                <w:highlight w:val="none"/>
              </w:rPr>
              <w:t>平衡见下表及下图。</w:t>
            </w:r>
          </w:p>
          <w:p w14:paraId="7D71ED4D">
            <w:pPr>
              <w:pageBreakBefore w:val="0"/>
              <w:widowControl w:val="0"/>
              <w:numPr>
                <w:ilvl w:val="0"/>
                <w:numId w:val="10"/>
              </w:numPr>
              <w:wordWrap w:val="0"/>
              <w:overflowPunct/>
              <w:bidi w:val="0"/>
              <w:spacing w:line="240" w:lineRule="auto"/>
              <w:ind w:left="0" w:leftChars="0" w:firstLine="40" w:firstLineChars="0"/>
              <w:jc w:val="center"/>
              <w:rPr>
                <w:bCs/>
                <w:color w:val="auto"/>
                <w:sz w:val="21"/>
                <w:szCs w:val="21"/>
                <w:highlight w:val="none"/>
              </w:rPr>
            </w:pPr>
            <w:r>
              <w:rPr>
                <w:b/>
                <w:bCs w:val="0"/>
                <w:color w:val="auto"/>
                <w:sz w:val="21"/>
                <w:szCs w:val="21"/>
                <w:highlight w:val="none"/>
              </w:rPr>
              <w:t>项目</w:t>
            </w:r>
            <w:r>
              <w:rPr>
                <w:rFonts w:hint="eastAsia"/>
                <w:b/>
                <w:bCs w:val="0"/>
                <w:color w:val="auto"/>
                <w:sz w:val="21"/>
                <w:szCs w:val="21"/>
                <w:highlight w:val="none"/>
                <w:lang w:val="en-US" w:eastAsia="zh-CN"/>
              </w:rPr>
              <w:t>涉VOCs物料</w:t>
            </w:r>
            <w:r>
              <w:rPr>
                <w:b/>
                <w:bCs w:val="0"/>
                <w:color w:val="auto"/>
                <w:sz w:val="21"/>
                <w:szCs w:val="21"/>
                <w:highlight w:val="none"/>
              </w:rPr>
              <w:t>平衡表    单位t/a</w:t>
            </w:r>
          </w:p>
          <w:tbl>
            <w:tblPr>
              <w:tblStyle w:val="48"/>
              <w:tblW w:w="4831" w:type="pct"/>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8"/>
              <w:gridCol w:w="1795"/>
              <w:gridCol w:w="1256"/>
              <w:gridCol w:w="1677"/>
              <w:gridCol w:w="1795"/>
            </w:tblGrid>
            <w:tr w14:paraId="12FCA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1468" w:type="dxa"/>
                  <w:tcBorders>
                    <w:top w:val="single" w:color="auto" w:sz="4" w:space="0"/>
                    <w:left w:val="single" w:color="000000" w:sz="4" w:space="0"/>
                    <w:bottom w:val="single" w:color="auto" w:sz="4" w:space="0"/>
                    <w:right w:val="single" w:color="auto" w:sz="4" w:space="0"/>
                  </w:tcBorders>
                  <w:noWrap w:val="0"/>
                  <w:vAlign w:val="center"/>
                </w:tcPr>
                <w:p w14:paraId="0013640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输入</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3ADE797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重量（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78F3457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输出</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240BC77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重量（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r>
            <w:tr w14:paraId="2DFF4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766771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稀释剂</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4DB0B4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1.249 </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761EDF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进入产品</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1C45CB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105.028 </w:t>
                  </w:r>
                </w:p>
              </w:tc>
            </w:tr>
            <w:tr w14:paraId="1DDF4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36A08F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底漆</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08D85E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4.186 </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2AD1AB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宋体" w:hAnsi="宋体" w:eastAsia="宋体" w:cs="宋体"/>
                      <w:i w:val="0"/>
                      <w:iCs w:val="0"/>
                      <w:color w:val="auto"/>
                      <w:kern w:val="0"/>
                      <w:sz w:val="21"/>
                      <w:szCs w:val="21"/>
                      <w:u w:val="none"/>
                      <w:lang w:val="en-US" w:eastAsia="zh-CN" w:bidi="ar"/>
                    </w:rPr>
                    <w:t>VOCs削减量</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444E382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2.680 </w:t>
                  </w:r>
                </w:p>
              </w:tc>
            </w:tr>
            <w:tr w14:paraId="3FBE3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07F0ADC9">
                  <w:pPr>
                    <w:keepNext w:val="0"/>
                    <w:keepLines w:val="0"/>
                    <w:widowControl/>
                    <w:suppressLineNumbers w:val="0"/>
                    <w:jc w:val="center"/>
                    <w:textAlignment w:val="center"/>
                    <w:rPr>
                      <w:rFonts w:hint="default" w:ascii="宋体" w:hAnsi="宋体" w:eastAsia="宋体" w:cs="宋体"/>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面漆</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3584E44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3.359 </w:t>
                  </w:r>
                </w:p>
              </w:tc>
              <w:tc>
                <w:tcPr>
                  <w:tcW w:w="1256" w:type="dxa"/>
                  <w:vMerge w:val="restart"/>
                  <w:tcBorders>
                    <w:top w:val="single" w:color="auto" w:sz="4" w:space="0"/>
                    <w:left w:val="single" w:color="auto" w:sz="4" w:space="0"/>
                    <w:bottom w:val="single" w:color="auto" w:sz="4" w:space="0"/>
                    <w:right w:val="single" w:color="auto" w:sz="4" w:space="0"/>
                  </w:tcBorders>
                  <w:noWrap w:val="0"/>
                  <w:vAlign w:val="center"/>
                </w:tcPr>
                <w:p w14:paraId="06DA58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VOCs</w:t>
                  </w:r>
                </w:p>
              </w:tc>
              <w:tc>
                <w:tcPr>
                  <w:tcW w:w="1677" w:type="dxa"/>
                  <w:tcBorders>
                    <w:top w:val="single" w:color="auto" w:sz="4" w:space="0"/>
                    <w:left w:val="single" w:color="auto" w:sz="4" w:space="0"/>
                    <w:bottom w:val="single" w:color="auto" w:sz="4" w:space="0"/>
                    <w:right w:val="single" w:color="auto" w:sz="4" w:space="0"/>
                  </w:tcBorders>
                  <w:noWrap w:val="0"/>
                  <w:vAlign w:val="center"/>
                </w:tcPr>
                <w:p w14:paraId="44978F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有组织排放</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3C1AA6F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0.670 </w:t>
                  </w:r>
                </w:p>
              </w:tc>
            </w:tr>
            <w:tr w14:paraId="391A7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8"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602713D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清漆</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32D81C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1.057 </w:t>
                  </w:r>
                </w:p>
              </w:tc>
              <w:tc>
                <w:tcPr>
                  <w:tcW w:w="1256" w:type="dxa"/>
                  <w:vMerge w:val="continue"/>
                  <w:tcBorders>
                    <w:top w:val="single" w:color="auto" w:sz="4" w:space="0"/>
                    <w:left w:val="single" w:color="auto" w:sz="4" w:space="0"/>
                    <w:bottom w:val="single" w:color="auto" w:sz="4" w:space="0"/>
                    <w:right w:val="single" w:color="auto" w:sz="4" w:space="0"/>
                  </w:tcBorders>
                  <w:noWrap w:val="0"/>
                  <w:vAlign w:val="center"/>
                </w:tcPr>
                <w:p w14:paraId="6A8648BF">
                  <w:pPr>
                    <w:jc w:val="center"/>
                    <w:rPr>
                      <w:rFonts w:hint="default" w:ascii="Times New Roman" w:hAnsi="Times New Roman" w:eastAsia="宋体" w:cs="Times New Roman"/>
                      <w:i w:val="0"/>
                      <w:iCs w:val="0"/>
                      <w:color w:val="auto"/>
                      <w:sz w:val="21"/>
                      <w:szCs w:val="21"/>
                      <w:u w:val="none"/>
                    </w:rPr>
                  </w:pPr>
                </w:p>
              </w:tc>
              <w:tc>
                <w:tcPr>
                  <w:tcW w:w="1677" w:type="dxa"/>
                  <w:tcBorders>
                    <w:top w:val="single" w:color="auto" w:sz="4" w:space="0"/>
                    <w:left w:val="single" w:color="auto" w:sz="4" w:space="0"/>
                    <w:bottom w:val="single" w:color="auto" w:sz="4" w:space="0"/>
                    <w:right w:val="single" w:color="auto" w:sz="4" w:space="0"/>
                  </w:tcBorders>
                  <w:noWrap w:val="0"/>
                  <w:vAlign w:val="center"/>
                </w:tcPr>
                <w:p w14:paraId="18D3F6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无组织排放</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0498A1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0.352 </w:t>
                  </w:r>
                </w:p>
              </w:tc>
            </w:tr>
            <w:tr w14:paraId="528E8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3FB460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粉末涂料</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1E38C1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105.857 </w:t>
                  </w:r>
                </w:p>
              </w:tc>
              <w:tc>
                <w:tcPr>
                  <w:tcW w:w="1256" w:type="dxa"/>
                  <w:vMerge w:val="restart"/>
                  <w:tcBorders>
                    <w:top w:val="single" w:color="auto" w:sz="4" w:space="0"/>
                    <w:left w:val="single" w:color="auto" w:sz="4" w:space="0"/>
                    <w:bottom w:val="single" w:color="auto" w:sz="4" w:space="0"/>
                    <w:right w:val="single" w:color="auto" w:sz="4" w:space="0"/>
                  </w:tcBorders>
                  <w:noWrap w:val="0"/>
                  <w:vAlign w:val="center"/>
                </w:tcPr>
                <w:p w14:paraId="2C8432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漆雾</w:t>
                  </w:r>
                </w:p>
              </w:tc>
              <w:tc>
                <w:tcPr>
                  <w:tcW w:w="1677" w:type="dxa"/>
                  <w:tcBorders>
                    <w:top w:val="single" w:color="auto" w:sz="4" w:space="0"/>
                    <w:left w:val="single" w:color="auto" w:sz="4" w:space="0"/>
                    <w:bottom w:val="single" w:color="auto" w:sz="4" w:space="0"/>
                    <w:right w:val="single" w:color="auto" w:sz="4" w:space="0"/>
                  </w:tcBorders>
                  <w:noWrap w:val="0"/>
                  <w:vAlign w:val="center"/>
                </w:tcPr>
                <w:p w14:paraId="1F457E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有组织排放</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0B6C7D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0.023 </w:t>
                  </w:r>
                </w:p>
              </w:tc>
            </w:tr>
            <w:tr w14:paraId="04B87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048384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清洗剂</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5DC4513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256" w:type="dxa"/>
                  <w:vMerge w:val="continue"/>
                  <w:tcBorders>
                    <w:top w:val="single" w:color="auto" w:sz="4" w:space="0"/>
                    <w:left w:val="single" w:color="auto" w:sz="4" w:space="0"/>
                    <w:bottom w:val="single" w:color="auto" w:sz="4" w:space="0"/>
                    <w:right w:val="single" w:color="auto" w:sz="4" w:space="0"/>
                  </w:tcBorders>
                  <w:noWrap w:val="0"/>
                  <w:vAlign w:val="center"/>
                </w:tcPr>
                <w:p w14:paraId="04DC8623">
                  <w:pPr>
                    <w:jc w:val="center"/>
                    <w:rPr>
                      <w:rFonts w:hint="default" w:ascii="Times New Roman" w:hAnsi="Times New Roman" w:eastAsia="宋体" w:cs="Times New Roman"/>
                      <w:i w:val="0"/>
                      <w:iCs w:val="0"/>
                      <w:color w:val="auto"/>
                      <w:sz w:val="21"/>
                      <w:szCs w:val="21"/>
                      <w:u w:val="none"/>
                    </w:rPr>
                  </w:pPr>
                </w:p>
              </w:tc>
              <w:tc>
                <w:tcPr>
                  <w:tcW w:w="1677" w:type="dxa"/>
                  <w:tcBorders>
                    <w:top w:val="single" w:color="auto" w:sz="4" w:space="0"/>
                    <w:left w:val="single" w:color="auto" w:sz="4" w:space="0"/>
                    <w:bottom w:val="single" w:color="auto" w:sz="4" w:space="0"/>
                    <w:right w:val="single" w:color="auto" w:sz="4" w:space="0"/>
                  </w:tcBorders>
                  <w:noWrap w:val="0"/>
                  <w:vAlign w:val="center"/>
                </w:tcPr>
                <w:p w14:paraId="4CA9DA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无组织排放</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2770F0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0.025 </w:t>
                  </w:r>
                </w:p>
              </w:tc>
            </w:tr>
            <w:tr w14:paraId="4268A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0F785C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796BE4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2701F9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漆渣</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1B958B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2.252 </w:t>
                  </w:r>
                </w:p>
              </w:tc>
            </w:tr>
            <w:tr w14:paraId="6E150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749E0F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44C66D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0AAF48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喷枪清洗废液</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132C44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0.042 </w:t>
                  </w:r>
                </w:p>
              </w:tc>
            </w:tr>
            <w:tr w14:paraId="10308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3BCECCA2">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5E2C23A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16D4F2F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废粉末涂料</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628B96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3.465 </w:t>
                  </w:r>
                </w:p>
              </w:tc>
            </w:tr>
            <w:tr w14:paraId="2D651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37296CC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416AF1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7D67E85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粉末涂料无组织粉尘排放量</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7B26075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1.2561 </w:t>
                  </w:r>
                </w:p>
              </w:tc>
            </w:tr>
            <w:tr w14:paraId="39AEC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68" w:type="dxa"/>
                  <w:tcBorders>
                    <w:top w:val="single" w:color="auto" w:sz="4" w:space="0"/>
                    <w:left w:val="single" w:color="auto" w:sz="4" w:space="0"/>
                    <w:bottom w:val="single" w:color="auto" w:sz="4" w:space="0"/>
                    <w:right w:val="single" w:color="auto" w:sz="4" w:space="0"/>
                  </w:tcBorders>
                  <w:noWrap w:val="0"/>
                  <w:vAlign w:val="center"/>
                </w:tcPr>
                <w:p w14:paraId="4E9F0C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17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9C2D1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115.793 </w:t>
                  </w:r>
                </w:p>
              </w:tc>
              <w:tc>
                <w:tcPr>
                  <w:tcW w:w="2933" w:type="dxa"/>
                  <w:gridSpan w:val="2"/>
                  <w:tcBorders>
                    <w:top w:val="single" w:color="auto" w:sz="4" w:space="0"/>
                    <w:left w:val="single" w:color="auto" w:sz="4" w:space="0"/>
                    <w:bottom w:val="single" w:color="auto" w:sz="4" w:space="0"/>
                    <w:right w:val="single" w:color="auto" w:sz="4" w:space="0"/>
                  </w:tcBorders>
                  <w:noWrap w:val="0"/>
                  <w:vAlign w:val="center"/>
                </w:tcPr>
                <w:p w14:paraId="54F924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1795" w:type="dxa"/>
                  <w:tcBorders>
                    <w:top w:val="single" w:color="auto" w:sz="4" w:space="0"/>
                    <w:left w:val="single" w:color="auto" w:sz="4" w:space="0"/>
                    <w:bottom w:val="single" w:color="auto" w:sz="4" w:space="0"/>
                    <w:right w:val="single" w:color="auto" w:sz="4" w:space="0"/>
                  </w:tcBorders>
                  <w:noWrap w:val="0"/>
                  <w:vAlign w:val="center"/>
                </w:tcPr>
                <w:p w14:paraId="70113C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115.793 </w:t>
                  </w:r>
                </w:p>
              </w:tc>
            </w:tr>
          </w:tbl>
          <w:p w14:paraId="51A694B9">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auto"/>
                <w:spacing w:val="-1"/>
                <w:sz w:val="24"/>
                <w:szCs w:val="24"/>
                <w:highlight w:val="none"/>
              </w:rPr>
            </w:pPr>
            <w:r>
              <w:rPr>
                <w:rFonts w:hint="default" w:ascii="Times New Roman" w:hAnsi="Times New Roman" w:eastAsia="宋体" w:cs="Times New Roman"/>
                <w:b/>
                <w:bCs/>
                <w:color w:val="auto"/>
                <w:spacing w:val="-1"/>
                <w:sz w:val="24"/>
                <w:szCs w:val="24"/>
                <w:highlight w:val="none"/>
              </w:rPr>
              <w:t>（</w:t>
            </w:r>
            <w:r>
              <w:rPr>
                <w:rFonts w:hint="eastAsia" w:ascii="Times New Roman" w:hAnsi="Times New Roman" w:eastAsia="宋体" w:cs="Times New Roman"/>
                <w:b/>
                <w:bCs/>
                <w:color w:val="auto"/>
                <w:spacing w:val="-1"/>
                <w:sz w:val="24"/>
                <w:szCs w:val="24"/>
                <w:highlight w:val="none"/>
                <w:lang w:val="en-US" w:eastAsia="zh-CN"/>
              </w:rPr>
              <w:t>6</w:t>
            </w:r>
            <w:r>
              <w:rPr>
                <w:rFonts w:hint="default" w:ascii="Times New Roman" w:hAnsi="Times New Roman" w:eastAsia="宋体" w:cs="Times New Roman"/>
                <w:b/>
                <w:bCs/>
                <w:color w:val="auto"/>
                <w:spacing w:val="-1"/>
                <w:sz w:val="24"/>
                <w:szCs w:val="24"/>
                <w:highlight w:val="none"/>
              </w:rPr>
              <w:t>）通风系统</w:t>
            </w:r>
          </w:p>
          <w:p w14:paraId="149DFEA2">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本项目主要采用自然通风或设置抽排风机进行通风，不设中央空调。</w:t>
            </w:r>
          </w:p>
          <w:p w14:paraId="69215F80">
            <w:pPr>
              <w:widowControl/>
              <w:kinsoku/>
              <w:autoSpaceDE/>
              <w:autoSpaceDN/>
              <w:adjustRightInd/>
              <w:snapToGrid/>
              <w:spacing w:line="360" w:lineRule="auto"/>
              <w:ind w:firstLine="478" w:firstLineChars="200"/>
              <w:jc w:val="left"/>
              <w:textAlignment w:val="auto"/>
              <w:rPr>
                <w:rFonts w:hint="default" w:ascii="Times New Roman" w:hAnsi="Times New Roman" w:eastAsia="宋体" w:cs="Times New Roman"/>
                <w:b/>
                <w:bCs/>
                <w:color w:val="auto"/>
                <w:spacing w:val="-1"/>
                <w:sz w:val="24"/>
                <w:szCs w:val="24"/>
                <w:highlight w:val="none"/>
                <w:lang w:val="en-US" w:eastAsia="zh-CN"/>
              </w:rPr>
            </w:pPr>
            <w:r>
              <w:rPr>
                <w:rFonts w:hint="default" w:ascii="Times New Roman" w:hAnsi="Times New Roman" w:eastAsia="宋体" w:cs="Times New Roman"/>
                <w:b/>
                <w:bCs/>
                <w:color w:val="auto"/>
                <w:spacing w:val="-1"/>
                <w:sz w:val="24"/>
                <w:szCs w:val="24"/>
                <w:highlight w:val="none"/>
                <w:lang w:val="en-US" w:eastAsia="zh-CN"/>
              </w:rPr>
              <w:t>7、环保投资</w:t>
            </w:r>
          </w:p>
          <w:p w14:paraId="4E00FAE0">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lang w:val="en-US" w:eastAsia="zh-CN"/>
              </w:rPr>
            </w:pPr>
            <w:r>
              <w:rPr>
                <w:rFonts w:hint="default" w:ascii="Times New Roman" w:hAnsi="Times New Roman" w:eastAsia="宋体" w:cs="Times New Roman"/>
                <w:color w:val="auto"/>
                <w:spacing w:val="-1"/>
                <w:sz w:val="24"/>
                <w:szCs w:val="24"/>
                <w:highlight w:val="none"/>
                <w:lang w:val="en-US" w:eastAsia="zh-CN"/>
              </w:rPr>
              <w:t>本项目所需落实的污染防治措施的投资估算如下表所示。</w:t>
            </w:r>
          </w:p>
          <w:p w14:paraId="65C57433">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bCs/>
                <w:color w:val="auto"/>
                <w:sz w:val="21"/>
                <w:szCs w:val="21"/>
                <w:highlight w:val="none"/>
                <w:lang w:val="en-US" w:eastAsia="zh-CN"/>
              </w:rPr>
              <w:t>环保投资估算一览表</w:t>
            </w:r>
          </w:p>
          <w:tbl>
            <w:tblPr>
              <w:tblStyle w:val="4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496"/>
              <w:gridCol w:w="4344"/>
              <w:gridCol w:w="1703"/>
            </w:tblGrid>
            <w:tr w14:paraId="56DA8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26F85B19">
                  <w:pPr>
                    <w:widowControl w:val="0"/>
                    <w:kinsoku/>
                    <w:autoSpaceDE w:val="0"/>
                    <w:autoSpaceDN w:val="0"/>
                    <w:adjustRightInd w:val="0"/>
                    <w:snapToGrid/>
                    <w:spacing w:line="240" w:lineRule="auto"/>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序号</w:t>
                  </w:r>
                </w:p>
              </w:tc>
              <w:tc>
                <w:tcPr>
                  <w:tcW w:w="906" w:type="pct"/>
                  <w:noWrap w:val="0"/>
                  <w:vAlign w:val="center"/>
                </w:tcPr>
                <w:p w14:paraId="1BADF5EC">
                  <w:pPr>
                    <w:widowControl w:val="0"/>
                    <w:kinsoku/>
                    <w:autoSpaceDE w:val="0"/>
                    <w:autoSpaceDN w:val="0"/>
                    <w:adjustRightInd w:val="0"/>
                    <w:snapToGrid/>
                    <w:spacing w:line="240" w:lineRule="auto"/>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环保项目</w:t>
                  </w:r>
                </w:p>
              </w:tc>
              <w:tc>
                <w:tcPr>
                  <w:tcW w:w="2629" w:type="pct"/>
                  <w:noWrap w:val="0"/>
                  <w:vAlign w:val="center"/>
                </w:tcPr>
                <w:p w14:paraId="3A593812">
                  <w:pPr>
                    <w:widowControl w:val="0"/>
                    <w:kinsoku/>
                    <w:autoSpaceDE w:val="0"/>
                    <w:autoSpaceDN w:val="0"/>
                    <w:adjustRightInd w:val="0"/>
                    <w:snapToGrid/>
                    <w:spacing w:line="240" w:lineRule="auto"/>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主要内容</w:t>
                  </w:r>
                </w:p>
              </w:tc>
              <w:tc>
                <w:tcPr>
                  <w:tcW w:w="1031" w:type="pct"/>
                  <w:noWrap w:val="0"/>
                  <w:vAlign w:val="center"/>
                </w:tcPr>
                <w:p w14:paraId="5ECE915C">
                  <w:pPr>
                    <w:widowControl w:val="0"/>
                    <w:kinsoku/>
                    <w:autoSpaceDE w:val="0"/>
                    <w:autoSpaceDN w:val="0"/>
                    <w:adjustRightInd w:val="0"/>
                    <w:snapToGrid/>
                    <w:spacing w:line="240" w:lineRule="auto"/>
                    <w:jc w:val="center"/>
                    <w:textAlignment w:val="auto"/>
                    <w:rPr>
                      <w:rFonts w:hint="default" w:ascii="Times New Roman" w:hAnsi="Times New Roman" w:cs="Times New Roman"/>
                      <w:b/>
                      <w:bCs/>
                      <w:color w:val="auto"/>
                      <w:sz w:val="21"/>
                      <w:szCs w:val="21"/>
                      <w:highlight w:val="none"/>
                      <w:vertAlign w:val="baseline"/>
                      <w:lang w:val="en-US" w:eastAsia="zh-CN"/>
                    </w:rPr>
                  </w:pPr>
                  <w:r>
                    <w:rPr>
                      <w:rFonts w:hint="default" w:ascii="Times New Roman" w:hAnsi="Times New Roman" w:cs="Times New Roman"/>
                      <w:b/>
                      <w:bCs/>
                      <w:color w:val="auto"/>
                      <w:sz w:val="21"/>
                      <w:szCs w:val="21"/>
                      <w:highlight w:val="none"/>
                      <w:vertAlign w:val="baseline"/>
                      <w:lang w:val="en-US" w:eastAsia="zh-CN"/>
                    </w:rPr>
                    <w:t>投资额（万元）</w:t>
                  </w:r>
                </w:p>
              </w:tc>
            </w:tr>
            <w:tr w14:paraId="3654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21BD5E42">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1</w:t>
                  </w:r>
                </w:p>
              </w:tc>
              <w:tc>
                <w:tcPr>
                  <w:tcW w:w="906" w:type="pct"/>
                  <w:noWrap w:val="0"/>
                  <w:vAlign w:val="center"/>
                </w:tcPr>
                <w:p w14:paraId="3F1AD00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废气治理</w:t>
                  </w:r>
                </w:p>
              </w:tc>
              <w:tc>
                <w:tcPr>
                  <w:tcW w:w="2629" w:type="pct"/>
                  <w:noWrap w:val="0"/>
                  <w:vAlign w:val="center"/>
                </w:tcPr>
                <w:p w14:paraId="51F4C7C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配套废气收集设施</w:t>
                  </w:r>
                  <w:r>
                    <w:rPr>
                      <w:rFonts w:hint="eastAsia" w:ascii="Times New Roman" w:hAnsi="Times New Roman" w:eastAsia="宋体" w:cs="Times New Roman"/>
                      <w:snapToGrid/>
                      <w:color w:val="auto"/>
                      <w:kern w:val="0"/>
                      <w:sz w:val="21"/>
                      <w:szCs w:val="21"/>
                      <w:highlight w:val="none"/>
                      <w:lang w:val="en-US" w:eastAsia="zh-CN"/>
                    </w:rPr>
                    <w:t>和排气筒等</w:t>
                  </w:r>
                  <w:r>
                    <w:rPr>
                      <w:rFonts w:hint="default" w:ascii="Times New Roman" w:hAnsi="Times New Roman" w:eastAsia="宋体" w:cs="Times New Roman"/>
                      <w:snapToGrid/>
                      <w:color w:val="auto"/>
                      <w:kern w:val="0"/>
                      <w:sz w:val="21"/>
                      <w:szCs w:val="21"/>
                      <w:highlight w:val="none"/>
                      <w:lang w:val="en-US" w:eastAsia="zh-CN"/>
                    </w:rPr>
                    <w:t>。</w:t>
                  </w:r>
                </w:p>
              </w:tc>
              <w:tc>
                <w:tcPr>
                  <w:tcW w:w="1031" w:type="pct"/>
                  <w:noWrap w:val="0"/>
                  <w:vAlign w:val="center"/>
                </w:tcPr>
                <w:p w14:paraId="13C759A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cs="Times New Roman"/>
                      <w:snapToGrid/>
                      <w:color w:val="auto"/>
                      <w:kern w:val="0"/>
                      <w:sz w:val="21"/>
                      <w:szCs w:val="21"/>
                      <w:highlight w:val="none"/>
                      <w:lang w:val="en-US" w:eastAsia="zh-CN"/>
                    </w:rPr>
                    <w:t>2</w:t>
                  </w:r>
                  <w:r>
                    <w:rPr>
                      <w:rFonts w:hint="eastAsia" w:ascii="Times New Roman" w:hAnsi="Times New Roman" w:eastAsia="宋体" w:cs="Times New Roman"/>
                      <w:snapToGrid/>
                      <w:color w:val="auto"/>
                      <w:kern w:val="0"/>
                      <w:sz w:val="21"/>
                      <w:szCs w:val="21"/>
                      <w:highlight w:val="none"/>
                      <w:lang w:val="en-US" w:eastAsia="zh-CN"/>
                    </w:rPr>
                    <w:t>0</w:t>
                  </w:r>
                  <w:r>
                    <w:rPr>
                      <w:rFonts w:hint="eastAsia" w:cs="Times New Roman"/>
                      <w:snapToGrid/>
                      <w:color w:val="auto"/>
                      <w:kern w:val="0"/>
                      <w:sz w:val="21"/>
                      <w:szCs w:val="21"/>
                      <w:highlight w:val="none"/>
                      <w:lang w:val="en-US" w:eastAsia="zh-CN"/>
                    </w:rPr>
                    <w:t>5</w:t>
                  </w:r>
                </w:p>
              </w:tc>
            </w:tr>
            <w:tr w14:paraId="0A217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36F76C4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2</w:t>
                  </w:r>
                </w:p>
              </w:tc>
              <w:tc>
                <w:tcPr>
                  <w:tcW w:w="906" w:type="pct"/>
                  <w:noWrap w:val="0"/>
                  <w:vAlign w:val="center"/>
                </w:tcPr>
                <w:p w14:paraId="0907172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废水治理</w:t>
                  </w:r>
                </w:p>
              </w:tc>
              <w:tc>
                <w:tcPr>
                  <w:tcW w:w="2629" w:type="pct"/>
                  <w:noWrap w:val="0"/>
                  <w:vAlign w:val="center"/>
                </w:tcPr>
                <w:p w14:paraId="635ABAE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铺设污水接驳管道</w:t>
                  </w:r>
                  <w:r>
                    <w:rPr>
                      <w:rFonts w:hint="eastAsia" w:ascii="Times New Roman" w:hAnsi="Times New Roman" w:eastAsia="宋体" w:cs="Times New Roman"/>
                      <w:snapToGrid/>
                      <w:color w:val="auto"/>
                      <w:kern w:val="0"/>
                      <w:sz w:val="21"/>
                      <w:szCs w:val="21"/>
                      <w:highlight w:val="none"/>
                      <w:lang w:val="en-US" w:eastAsia="zh-CN"/>
                    </w:rPr>
                    <w:t>、废水处理设施</w:t>
                  </w:r>
                  <w:r>
                    <w:rPr>
                      <w:rFonts w:hint="default" w:ascii="Times New Roman" w:hAnsi="Times New Roman" w:eastAsia="宋体" w:cs="Times New Roman"/>
                      <w:color w:val="auto"/>
                      <w:kern w:val="2"/>
                      <w:sz w:val="21"/>
                      <w:szCs w:val="21"/>
                      <w:highlight w:val="none"/>
                      <w:lang w:val="en-US" w:eastAsia="zh-CN" w:bidi="ar-SA"/>
                    </w:rPr>
                    <w:t>（三级化粪池+隔油隔渣池</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自建污水处理站</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工艺为“</w:t>
                  </w:r>
                  <w:r>
                    <w:rPr>
                      <w:rFonts w:hint="eastAsia" w:cs="Times New Roman"/>
                      <w:color w:val="auto"/>
                      <w:kern w:val="2"/>
                      <w:sz w:val="21"/>
                      <w:szCs w:val="21"/>
                      <w:highlight w:val="none"/>
                      <w:lang w:val="en-US" w:eastAsia="zh-CN" w:bidi="ar-SA"/>
                    </w:rPr>
                    <w:t>中和调节+混凝沉淀+气浮+化学除氟</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snapToGrid/>
                      <w:color w:val="auto"/>
                      <w:kern w:val="0"/>
                      <w:sz w:val="21"/>
                      <w:szCs w:val="21"/>
                      <w:highlight w:val="none"/>
                      <w:lang w:val="en-US" w:eastAsia="zh-CN"/>
                    </w:rPr>
                    <w:t>））</w:t>
                  </w:r>
                  <w:r>
                    <w:rPr>
                      <w:rFonts w:hint="default" w:ascii="Times New Roman" w:hAnsi="Times New Roman" w:eastAsia="宋体" w:cs="Times New Roman"/>
                      <w:snapToGrid/>
                      <w:color w:val="auto"/>
                      <w:kern w:val="0"/>
                      <w:sz w:val="21"/>
                      <w:szCs w:val="21"/>
                      <w:highlight w:val="none"/>
                      <w:lang w:val="en-US" w:eastAsia="zh-CN"/>
                    </w:rPr>
                    <w:t>。</w:t>
                  </w:r>
                </w:p>
              </w:tc>
              <w:tc>
                <w:tcPr>
                  <w:tcW w:w="1031" w:type="pct"/>
                  <w:noWrap w:val="0"/>
                  <w:vAlign w:val="center"/>
                </w:tcPr>
                <w:p w14:paraId="09ECCCB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ascii="Times New Roman" w:hAnsi="Times New Roman" w:eastAsia="宋体" w:cs="Times New Roman"/>
                      <w:snapToGrid/>
                      <w:color w:val="auto"/>
                      <w:kern w:val="0"/>
                      <w:sz w:val="21"/>
                      <w:szCs w:val="21"/>
                      <w:highlight w:val="none"/>
                      <w:lang w:val="en-US" w:eastAsia="zh-CN"/>
                    </w:rPr>
                    <w:t>60</w:t>
                  </w:r>
                </w:p>
              </w:tc>
            </w:tr>
            <w:tr w14:paraId="21FA3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1A4596D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3</w:t>
                  </w:r>
                </w:p>
              </w:tc>
              <w:tc>
                <w:tcPr>
                  <w:tcW w:w="906" w:type="pct"/>
                  <w:noWrap w:val="0"/>
                  <w:vAlign w:val="center"/>
                </w:tcPr>
                <w:p w14:paraId="084E13D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噪声治理</w:t>
                  </w:r>
                </w:p>
              </w:tc>
              <w:tc>
                <w:tcPr>
                  <w:tcW w:w="2629" w:type="pct"/>
                  <w:noWrap w:val="0"/>
                  <w:vAlign w:val="center"/>
                </w:tcPr>
                <w:p w14:paraId="7C6BD15C">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高噪声设备配套减振、隔音、消声装置。</w:t>
                  </w:r>
                </w:p>
              </w:tc>
              <w:tc>
                <w:tcPr>
                  <w:tcW w:w="1031" w:type="pct"/>
                  <w:noWrap w:val="0"/>
                  <w:vAlign w:val="center"/>
                </w:tcPr>
                <w:p w14:paraId="0B84E92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ascii="Times New Roman" w:hAnsi="Times New Roman" w:eastAsia="宋体" w:cs="Times New Roman"/>
                      <w:snapToGrid/>
                      <w:color w:val="auto"/>
                      <w:kern w:val="0"/>
                      <w:sz w:val="21"/>
                      <w:szCs w:val="21"/>
                      <w:highlight w:val="none"/>
                      <w:lang w:val="en-US" w:eastAsia="zh-CN"/>
                    </w:rPr>
                    <w:t>10</w:t>
                  </w:r>
                </w:p>
              </w:tc>
            </w:tr>
            <w:tr w14:paraId="3FB6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20B18155">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4</w:t>
                  </w:r>
                </w:p>
              </w:tc>
              <w:tc>
                <w:tcPr>
                  <w:tcW w:w="906" w:type="pct"/>
                  <w:noWrap w:val="0"/>
                  <w:vAlign w:val="center"/>
                </w:tcPr>
                <w:p w14:paraId="4F449E87">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固体废物处理</w:t>
                  </w:r>
                </w:p>
              </w:tc>
              <w:tc>
                <w:tcPr>
                  <w:tcW w:w="2629" w:type="pct"/>
                  <w:noWrap w:val="0"/>
                  <w:vAlign w:val="center"/>
                </w:tcPr>
                <w:p w14:paraId="11B26660">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建设一般工业固体废物、危险废物贮存间</w:t>
                  </w:r>
                  <w:r>
                    <w:rPr>
                      <w:rFonts w:hint="eastAsia" w:ascii="Times New Roman" w:hAnsi="Times New Roman" w:eastAsia="宋体" w:cs="Times New Roman"/>
                      <w:snapToGrid/>
                      <w:color w:val="auto"/>
                      <w:kern w:val="0"/>
                      <w:sz w:val="21"/>
                      <w:szCs w:val="21"/>
                      <w:highlight w:val="none"/>
                      <w:lang w:val="en-US" w:eastAsia="zh-CN"/>
                    </w:rPr>
                    <w:t>和处置费</w:t>
                  </w:r>
                  <w:r>
                    <w:rPr>
                      <w:rFonts w:hint="default" w:ascii="Times New Roman" w:hAnsi="Times New Roman" w:eastAsia="宋体" w:cs="Times New Roman"/>
                      <w:snapToGrid/>
                      <w:color w:val="auto"/>
                      <w:kern w:val="0"/>
                      <w:sz w:val="21"/>
                      <w:szCs w:val="21"/>
                      <w:highlight w:val="none"/>
                      <w:lang w:val="en-US" w:eastAsia="zh-CN"/>
                    </w:rPr>
                    <w:t>。</w:t>
                  </w:r>
                </w:p>
              </w:tc>
              <w:tc>
                <w:tcPr>
                  <w:tcW w:w="1031" w:type="pct"/>
                  <w:noWrap w:val="0"/>
                  <w:vAlign w:val="center"/>
                </w:tcPr>
                <w:p w14:paraId="4E6ABA7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ascii="Times New Roman" w:hAnsi="Times New Roman" w:eastAsia="宋体" w:cs="Times New Roman"/>
                      <w:snapToGrid/>
                      <w:color w:val="auto"/>
                      <w:kern w:val="0"/>
                      <w:sz w:val="21"/>
                      <w:szCs w:val="21"/>
                      <w:highlight w:val="none"/>
                      <w:lang w:val="en-US" w:eastAsia="zh-CN"/>
                    </w:rPr>
                    <w:t>20</w:t>
                  </w:r>
                </w:p>
              </w:tc>
            </w:tr>
            <w:tr w14:paraId="3CE2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32" w:type="pct"/>
                  <w:noWrap w:val="0"/>
                  <w:vAlign w:val="center"/>
                </w:tcPr>
                <w:p w14:paraId="042AC3A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cs="Times New Roman"/>
                      <w:snapToGrid/>
                      <w:color w:val="auto"/>
                      <w:kern w:val="0"/>
                      <w:sz w:val="21"/>
                      <w:szCs w:val="21"/>
                      <w:highlight w:val="none"/>
                      <w:lang w:val="en-US" w:eastAsia="zh-CN"/>
                    </w:rPr>
                    <w:t>5</w:t>
                  </w:r>
                </w:p>
              </w:tc>
              <w:tc>
                <w:tcPr>
                  <w:tcW w:w="906" w:type="pct"/>
                  <w:noWrap w:val="0"/>
                  <w:vAlign w:val="center"/>
                </w:tcPr>
                <w:p w14:paraId="16AE37BB">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cs="Times New Roman"/>
                      <w:snapToGrid/>
                      <w:color w:val="auto"/>
                      <w:kern w:val="0"/>
                      <w:sz w:val="21"/>
                      <w:szCs w:val="21"/>
                      <w:highlight w:val="none"/>
                      <w:lang w:val="en-US" w:eastAsia="zh-CN"/>
                    </w:rPr>
                    <w:t>环境风险</w:t>
                  </w:r>
                </w:p>
              </w:tc>
              <w:tc>
                <w:tcPr>
                  <w:tcW w:w="2629" w:type="pct"/>
                  <w:noWrap w:val="0"/>
                  <w:vAlign w:val="center"/>
                </w:tcPr>
                <w:p w14:paraId="7DC1779D">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cs="Times New Roman"/>
                      <w:snapToGrid/>
                      <w:color w:val="auto"/>
                      <w:kern w:val="0"/>
                      <w:sz w:val="21"/>
                      <w:szCs w:val="21"/>
                      <w:highlight w:val="none"/>
                      <w:lang w:val="en-US" w:eastAsia="zh-CN"/>
                    </w:rPr>
                    <w:t>应急池</w:t>
                  </w:r>
                </w:p>
              </w:tc>
              <w:tc>
                <w:tcPr>
                  <w:tcW w:w="1031" w:type="pct"/>
                  <w:noWrap w:val="0"/>
                  <w:vAlign w:val="center"/>
                </w:tcPr>
                <w:p w14:paraId="444C44F1">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cs="Times New Roman"/>
                      <w:snapToGrid/>
                      <w:color w:val="auto"/>
                      <w:kern w:val="0"/>
                      <w:sz w:val="21"/>
                      <w:szCs w:val="21"/>
                      <w:highlight w:val="none"/>
                      <w:lang w:val="en-US" w:eastAsia="zh-CN"/>
                    </w:rPr>
                    <w:t>5</w:t>
                  </w:r>
                </w:p>
              </w:tc>
            </w:tr>
            <w:tr w14:paraId="77516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968" w:type="pct"/>
                  <w:gridSpan w:val="3"/>
                  <w:noWrap w:val="0"/>
                  <w:vAlign w:val="center"/>
                </w:tcPr>
                <w:p w14:paraId="157738A8">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default" w:ascii="Times New Roman" w:hAnsi="Times New Roman" w:eastAsia="宋体" w:cs="Times New Roman"/>
                      <w:snapToGrid/>
                      <w:color w:val="auto"/>
                      <w:kern w:val="0"/>
                      <w:sz w:val="21"/>
                      <w:szCs w:val="21"/>
                      <w:highlight w:val="none"/>
                      <w:lang w:val="en-US" w:eastAsia="zh-CN"/>
                    </w:rPr>
                    <w:t>合计</w:t>
                  </w:r>
                </w:p>
              </w:tc>
              <w:tc>
                <w:tcPr>
                  <w:tcW w:w="1031" w:type="pct"/>
                  <w:noWrap w:val="0"/>
                  <w:vAlign w:val="center"/>
                </w:tcPr>
                <w:p w14:paraId="7A271A79">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snapToGrid/>
                      <w:color w:val="auto"/>
                      <w:kern w:val="0"/>
                      <w:sz w:val="21"/>
                      <w:szCs w:val="21"/>
                      <w:highlight w:val="none"/>
                      <w:lang w:val="en-US" w:eastAsia="zh-CN"/>
                    </w:rPr>
                  </w:pPr>
                  <w:r>
                    <w:rPr>
                      <w:rFonts w:hint="eastAsia" w:cs="Times New Roman"/>
                      <w:snapToGrid/>
                      <w:color w:val="auto"/>
                      <w:kern w:val="0"/>
                      <w:sz w:val="21"/>
                      <w:szCs w:val="21"/>
                      <w:highlight w:val="none"/>
                      <w:lang w:val="en-US" w:eastAsia="zh-CN"/>
                    </w:rPr>
                    <w:t>3</w:t>
                  </w:r>
                  <w:r>
                    <w:rPr>
                      <w:rFonts w:hint="default" w:ascii="Times New Roman" w:hAnsi="Times New Roman" w:eastAsia="宋体" w:cs="Times New Roman"/>
                      <w:snapToGrid/>
                      <w:color w:val="auto"/>
                      <w:kern w:val="0"/>
                      <w:sz w:val="21"/>
                      <w:szCs w:val="21"/>
                      <w:highlight w:val="none"/>
                      <w:lang w:val="en-US" w:eastAsia="zh-CN"/>
                    </w:rPr>
                    <w:t>00</w:t>
                  </w:r>
                </w:p>
              </w:tc>
            </w:tr>
          </w:tbl>
          <w:p w14:paraId="2FC090B3">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0ED6DA56">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r>
              <w:rPr>
                <w:rFonts w:hint="eastAsia" w:ascii="Times New Roman" w:hAnsi="Times New Roman" w:eastAsia="宋体" w:cs="Times New Roman"/>
                <w:color w:val="auto"/>
                <w:spacing w:val="-1"/>
                <w:sz w:val="24"/>
                <w:szCs w:val="24"/>
                <w:highlight w:val="none"/>
                <w:lang w:val="en-US" w:eastAsia="zh-CN"/>
              </w:rPr>
              <w:t>三</w:t>
            </w:r>
            <w:r>
              <w:rPr>
                <w:rFonts w:hint="default" w:ascii="Times New Roman" w:hAnsi="Times New Roman" w:eastAsia="宋体" w:cs="Times New Roman"/>
                <w:color w:val="auto"/>
                <w:spacing w:val="-1"/>
                <w:sz w:val="24"/>
                <w:szCs w:val="24"/>
                <w:highlight w:val="none"/>
              </w:rPr>
              <w:t>、</w:t>
            </w:r>
            <w:r>
              <w:rPr>
                <w:rFonts w:hint="default" w:ascii="Times New Roman" w:hAnsi="Times New Roman" w:cs="Times New Roman"/>
                <w:b/>
                <w:bCs/>
                <w:color w:val="auto"/>
                <w:kern w:val="2"/>
                <w:sz w:val="24"/>
                <w:szCs w:val="24"/>
                <w:highlight w:val="none"/>
              </w:rPr>
              <w:t>厂区平面布置及四至情况</w:t>
            </w:r>
          </w:p>
          <w:p w14:paraId="0A5D8920">
            <w:pPr>
              <w:widowControl/>
              <w:kinsoku/>
              <w:autoSpaceDE/>
              <w:autoSpaceDN/>
              <w:adjustRightInd/>
              <w:snapToGrid/>
              <w:spacing w:line="360" w:lineRule="auto"/>
              <w:ind w:firstLine="476" w:firstLineChars="200"/>
              <w:jc w:val="left"/>
              <w:textAlignment w:val="auto"/>
              <w:rPr>
                <w:rFonts w:hint="default" w:ascii="Times New Roman" w:hAnsi="Times New Roman" w:eastAsia="宋体" w:cs="Times New Roman"/>
                <w:color w:val="auto"/>
                <w:spacing w:val="-1"/>
                <w:sz w:val="24"/>
                <w:szCs w:val="24"/>
                <w:highlight w:val="none"/>
              </w:rPr>
            </w:pPr>
            <w:bookmarkStart w:id="10" w:name="_Toc15878"/>
            <w:bookmarkStart w:id="11" w:name="_Toc21623"/>
            <w:r>
              <w:rPr>
                <w:rFonts w:hint="default" w:ascii="Times New Roman" w:hAnsi="Times New Roman" w:eastAsia="宋体" w:cs="Times New Roman"/>
                <w:color w:val="auto"/>
                <w:spacing w:val="-1"/>
                <w:sz w:val="24"/>
                <w:szCs w:val="24"/>
                <w:highlight w:val="none"/>
              </w:rPr>
              <w:t>本项目位于</w:t>
            </w:r>
            <w:r>
              <w:rPr>
                <w:rFonts w:hint="eastAsia" w:ascii="Times New Roman" w:hAnsi="Times New Roman" w:eastAsia="宋体" w:cs="Times New Roman"/>
                <w:color w:val="auto"/>
                <w:spacing w:val="-1"/>
                <w:sz w:val="24"/>
                <w:szCs w:val="24"/>
                <w:highlight w:val="none"/>
                <w:lang w:eastAsia="zh-CN"/>
              </w:rPr>
              <w:t>韶关市乐昌市</w:t>
            </w:r>
            <w:r>
              <w:rPr>
                <w:rFonts w:hint="eastAsia" w:cs="Times New Roman"/>
                <w:color w:val="auto"/>
                <w:spacing w:val="-1"/>
                <w:sz w:val="24"/>
                <w:szCs w:val="24"/>
                <w:highlight w:val="none"/>
                <w:lang w:eastAsia="zh-CN"/>
              </w:rPr>
              <w:t>乐昌产业转移工业园GL-02-02-01地块</w:t>
            </w:r>
            <w:r>
              <w:rPr>
                <w:rFonts w:hint="default" w:ascii="Times New Roman" w:hAnsi="Times New Roman" w:eastAsia="宋体" w:cs="Times New Roman"/>
                <w:color w:val="auto"/>
                <w:spacing w:val="-1"/>
                <w:sz w:val="24"/>
                <w:szCs w:val="24"/>
                <w:highlight w:val="none"/>
              </w:rPr>
              <w:t>。本项目东面为</w:t>
            </w:r>
            <w:r>
              <w:rPr>
                <w:rFonts w:hint="eastAsia" w:ascii="Times New Roman" w:hAnsi="Times New Roman" w:eastAsia="宋体" w:cs="Times New Roman"/>
                <w:color w:val="auto"/>
                <w:spacing w:val="-1"/>
                <w:sz w:val="24"/>
                <w:szCs w:val="24"/>
                <w:highlight w:val="none"/>
                <w:lang w:val="en-US" w:eastAsia="zh-CN"/>
              </w:rPr>
              <w:t>平整空地，</w:t>
            </w:r>
            <w:r>
              <w:rPr>
                <w:rFonts w:hint="default" w:ascii="Times New Roman" w:hAnsi="Times New Roman" w:eastAsia="宋体" w:cs="Times New Roman"/>
                <w:color w:val="auto"/>
                <w:spacing w:val="-1"/>
                <w:sz w:val="24"/>
                <w:szCs w:val="24"/>
                <w:highlight w:val="none"/>
              </w:rPr>
              <w:t>南面为</w:t>
            </w:r>
            <w:r>
              <w:rPr>
                <w:rFonts w:hint="default" w:ascii="Times New Roman" w:hAnsi="Times New Roman" w:eastAsia="宋体" w:cs="Times New Roman"/>
                <w:color w:val="auto"/>
                <w:spacing w:val="-1"/>
                <w:sz w:val="24"/>
                <w:szCs w:val="24"/>
                <w:highlight w:val="none"/>
                <w:lang w:val="en-US" w:eastAsia="zh-CN"/>
              </w:rPr>
              <w:t>平整空地</w:t>
            </w:r>
            <w:r>
              <w:rPr>
                <w:rFonts w:hint="eastAsia"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西面</w:t>
            </w:r>
            <w:r>
              <w:rPr>
                <w:rFonts w:hint="default" w:ascii="Times New Roman" w:hAnsi="Times New Roman" w:eastAsia="宋体" w:cs="Times New Roman"/>
                <w:color w:val="auto"/>
                <w:spacing w:val="-1"/>
                <w:sz w:val="24"/>
                <w:szCs w:val="24"/>
                <w:highlight w:val="none"/>
                <w:lang w:val="en-US" w:eastAsia="zh-CN"/>
              </w:rPr>
              <w:t>为平整空地</w:t>
            </w:r>
            <w:r>
              <w:rPr>
                <w:rFonts w:hint="eastAsia"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北面为</w:t>
            </w:r>
            <w:r>
              <w:rPr>
                <w:rFonts w:hint="default" w:ascii="Times New Roman" w:hAnsi="Times New Roman" w:eastAsia="宋体" w:cs="Times New Roman"/>
                <w:color w:val="auto"/>
                <w:spacing w:val="-1"/>
                <w:sz w:val="24"/>
                <w:szCs w:val="24"/>
                <w:highlight w:val="none"/>
                <w:lang w:val="en-US" w:eastAsia="zh-CN"/>
              </w:rPr>
              <w:t>平整空地</w:t>
            </w:r>
            <w:r>
              <w:rPr>
                <w:rFonts w:hint="default" w:ascii="Times New Roman" w:hAnsi="Times New Roman" w:eastAsia="宋体" w:cs="Times New Roman"/>
                <w:color w:val="auto"/>
                <w:spacing w:val="-1"/>
                <w:sz w:val="24"/>
                <w:szCs w:val="24"/>
                <w:highlight w:val="none"/>
              </w:rPr>
              <w:t>。</w:t>
            </w:r>
            <w:bookmarkEnd w:id="10"/>
            <w:bookmarkEnd w:id="11"/>
            <w:r>
              <w:rPr>
                <w:rFonts w:hint="default" w:ascii="Times New Roman" w:hAnsi="Times New Roman" w:eastAsia="宋体" w:cs="Times New Roman"/>
                <w:color w:val="auto"/>
                <w:spacing w:val="-1"/>
                <w:sz w:val="24"/>
                <w:szCs w:val="24"/>
                <w:highlight w:val="none"/>
              </w:rPr>
              <w:t>项目四至环境见附图2，周边环境现状实景见附图</w:t>
            </w:r>
            <w:r>
              <w:rPr>
                <w:rFonts w:hint="eastAsia" w:ascii="Times New Roman" w:hAnsi="Times New Roman" w:eastAsia="宋体" w:cs="Times New Roman"/>
                <w:color w:val="auto"/>
                <w:spacing w:val="-1"/>
                <w:sz w:val="24"/>
                <w:szCs w:val="24"/>
                <w:highlight w:val="none"/>
                <w:lang w:val="en-US" w:eastAsia="zh-CN"/>
              </w:rPr>
              <w:t>3。</w:t>
            </w:r>
          </w:p>
          <w:p w14:paraId="79D024D8">
            <w:pPr>
              <w:spacing w:line="360" w:lineRule="auto"/>
              <w:ind w:firstLine="480" w:firstLineChars="200"/>
              <w:rPr>
                <w:rFonts w:ascii="黑体" w:hAnsi="黑体" w:eastAsia="黑体"/>
                <w:snapToGrid w:val="0"/>
                <w:color w:val="auto"/>
                <w:sz w:val="36"/>
                <w:szCs w:val="36"/>
                <w:highlight w:val="none"/>
                <w:vertAlign w:val="baseline"/>
              </w:rPr>
            </w:pPr>
            <w:r>
              <w:rPr>
                <w:rFonts w:hint="default" w:ascii="Times New Roman" w:hAnsi="Times New Roman" w:eastAsia="宋体" w:cs="Times New Roman"/>
                <w:color w:val="auto"/>
                <w:sz w:val="24"/>
                <w:szCs w:val="24"/>
                <w:highlight w:val="none"/>
              </w:rPr>
              <w:t>项目</w:t>
            </w:r>
            <w:r>
              <w:rPr>
                <w:rFonts w:hint="eastAsia" w:ascii="Times New Roman" w:hAnsi="Times New Roman" w:eastAsia="宋体" w:cs="Times New Roman"/>
                <w:color w:val="auto"/>
                <w:sz w:val="24"/>
                <w:szCs w:val="24"/>
                <w:highlight w:val="none"/>
                <w:lang w:val="en-US" w:eastAsia="zh-CN"/>
              </w:rPr>
              <w:t>规划总</w:t>
            </w:r>
            <w:r>
              <w:rPr>
                <w:rFonts w:hint="default" w:ascii="Times New Roman" w:hAnsi="Times New Roman" w:eastAsia="宋体" w:cs="Times New Roman"/>
                <w:color w:val="auto"/>
                <w:sz w:val="24"/>
                <w:szCs w:val="24"/>
                <w:highlight w:val="none"/>
              </w:rPr>
              <w:t>占地面积</w:t>
            </w:r>
            <w:r>
              <w:rPr>
                <w:rFonts w:hint="eastAsia" w:ascii="Times New Roman" w:hAnsi="Times New Roman" w:eastAsia="宋体" w:cs="Times New Roman"/>
                <w:color w:val="auto"/>
                <w:sz w:val="24"/>
                <w:szCs w:val="24"/>
                <w:highlight w:val="none"/>
                <w:lang w:eastAsia="zh-CN"/>
              </w:rPr>
              <w:t>54139.29</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总</w:t>
            </w:r>
            <w:r>
              <w:rPr>
                <w:rFonts w:hint="default" w:ascii="Times New Roman" w:hAnsi="Times New Roman" w:eastAsia="宋体" w:cs="Times New Roman"/>
                <w:color w:val="auto"/>
                <w:sz w:val="24"/>
                <w:szCs w:val="24"/>
                <w:highlight w:val="none"/>
              </w:rPr>
              <w:t>建筑面积</w:t>
            </w:r>
            <w:r>
              <w:rPr>
                <w:rFonts w:hint="eastAsia" w:ascii="Times New Roman" w:hAnsi="Times New Roman" w:eastAsia="宋体" w:cs="Times New Roman"/>
                <w:color w:val="auto"/>
                <w:sz w:val="24"/>
                <w:szCs w:val="24"/>
                <w:highlight w:val="none"/>
                <w:lang w:eastAsia="zh-CN"/>
              </w:rPr>
              <w:t>43886.37</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主要包含5栋</w:t>
            </w:r>
            <w:r>
              <w:rPr>
                <w:rFonts w:hint="default" w:ascii="Times New Roman" w:hAnsi="Times New Roman" w:eastAsia="宋体" w:cs="Times New Roman"/>
                <w:color w:val="auto"/>
                <w:spacing w:val="-1"/>
                <w:sz w:val="24"/>
                <w:szCs w:val="24"/>
                <w:highlight w:val="none"/>
              </w:rPr>
              <w:t>生产厂房（1#~</w:t>
            </w:r>
            <w:r>
              <w:rPr>
                <w:rFonts w:hint="eastAsia" w:ascii="Times New Roman" w:hAnsi="Times New Roman" w:eastAsia="宋体" w:cs="Times New Roman"/>
                <w:color w:val="auto"/>
                <w:spacing w:val="-1"/>
                <w:sz w:val="24"/>
                <w:szCs w:val="24"/>
                <w:highlight w:val="none"/>
                <w:lang w:val="en-US" w:eastAsia="zh-CN"/>
              </w:rPr>
              <w:t>5</w:t>
            </w:r>
            <w:r>
              <w:rPr>
                <w:rFonts w:hint="default" w:ascii="Times New Roman" w:hAnsi="Times New Roman" w:eastAsia="宋体" w:cs="Times New Roman"/>
                <w:color w:val="auto"/>
                <w:spacing w:val="-1"/>
                <w:sz w:val="24"/>
                <w:szCs w:val="24"/>
                <w:highlight w:val="none"/>
              </w:rPr>
              <w:t>#厂房）</w:t>
            </w:r>
            <w:r>
              <w:rPr>
                <w:rFonts w:hint="eastAsia" w:ascii="Times New Roman" w:hAnsi="Times New Roman" w:eastAsia="宋体" w:cs="Times New Roman"/>
                <w:color w:val="auto"/>
                <w:spacing w:val="-1"/>
                <w:sz w:val="24"/>
                <w:szCs w:val="24"/>
                <w:highlight w:val="none"/>
                <w:lang w:eastAsia="zh-CN"/>
              </w:rPr>
              <w:t>、</w:t>
            </w:r>
            <w:r>
              <w:rPr>
                <w:rFonts w:hint="eastAsia" w:ascii="Times New Roman" w:hAnsi="Times New Roman" w:eastAsia="宋体" w:cs="Times New Roman"/>
                <w:color w:val="auto"/>
                <w:sz w:val="24"/>
                <w:szCs w:val="24"/>
                <w:highlight w:val="none"/>
                <w:lang w:eastAsia="zh-CN"/>
              </w:rPr>
              <w:t>宿舍楼</w:t>
            </w:r>
            <w:r>
              <w:rPr>
                <w:rFonts w:hint="default" w:ascii="Times New Roman" w:hAnsi="Times New Roman" w:eastAsia="宋体" w:cs="Times New Roman"/>
                <w:color w:val="auto"/>
                <w:sz w:val="24"/>
                <w:szCs w:val="24"/>
                <w:highlight w:val="none"/>
              </w:rPr>
              <w:t>1栋</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综合楼1栋及其他辅助设施</w:t>
            </w:r>
            <w:r>
              <w:rPr>
                <w:rFonts w:hint="eastAsia" w:ascii="Times New Roman" w:hAnsi="Times New Roman" w:eastAsia="宋体" w:cs="Times New Roman"/>
                <w:color w:val="auto"/>
                <w:sz w:val="24"/>
                <w:szCs w:val="24"/>
                <w:highlight w:val="none"/>
                <w:lang w:val="en-US" w:eastAsia="zh-CN"/>
              </w:rPr>
              <w:t>。其中1#厂房主要划分为开料、冲压区以及车间通道；2#厂房主要划分为折弯成型区及车间通道；</w:t>
            </w:r>
            <w:r>
              <w:rPr>
                <w:rFonts w:hint="eastAsia" w:ascii="Times New Roman" w:hAnsi="Times New Roman" w:eastAsia="宋体" w:cs="Times New Roman"/>
                <w:color w:val="auto"/>
                <w:spacing w:val="-1"/>
                <w:sz w:val="24"/>
                <w:szCs w:val="24"/>
                <w:highlight w:val="none"/>
                <w:lang w:val="en-US" w:eastAsia="zh-CN"/>
              </w:rPr>
              <w:t>3</w:t>
            </w:r>
            <w:r>
              <w:rPr>
                <w:rFonts w:hint="default" w:ascii="Times New Roman" w:hAnsi="Times New Roman" w:eastAsia="宋体" w:cs="Times New Roman"/>
                <w:color w:val="auto"/>
                <w:spacing w:val="-1"/>
                <w:sz w:val="24"/>
                <w:szCs w:val="24"/>
                <w:highlight w:val="none"/>
              </w:rPr>
              <w:t>#厂房</w:t>
            </w:r>
            <w:r>
              <w:rPr>
                <w:rFonts w:hint="eastAsia" w:ascii="Times New Roman" w:hAnsi="Times New Roman" w:eastAsia="宋体" w:cs="Times New Roman"/>
                <w:color w:val="auto"/>
                <w:spacing w:val="-1"/>
                <w:sz w:val="24"/>
                <w:szCs w:val="24"/>
                <w:highlight w:val="none"/>
                <w:lang w:val="en-US" w:eastAsia="zh-CN"/>
              </w:rPr>
              <w:t>主要为焊接、抛光打磨</w:t>
            </w:r>
            <w:r>
              <w:rPr>
                <w:rFonts w:hint="eastAsia" w:cs="Times New Roman"/>
                <w:color w:val="auto"/>
                <w:spacing w:val="-1"/>
                <w:sz w:val="24"/>
                <w:szCs w:val="24"/>
                <w:highlight w:val="none"/>
                <w:lang w:val="en-US" w:eastAsia="zh-CN"/>
              </w:rPr>
              <w:t>区</w:t>
            </w:r>
            <w:r>
              <w:rPr>
                <w:rFonts w:hint="eastAsia" w:ascii="Times New Roman" w:hAnsi="Times New Roman" w:eastAsia="宋体" w:cs="Times New Roman"/>
                <w:color w:val="auto"/>
                <w:spacing w:val="-1"/>
                <w:sz w:val="24"/>
                <w:szCs w:val="24"/>
                <w:highlight w:val="none"/>
                <w:lang w:val="en-US" w:eastAsia="zh-CN"/>
              </w:rPr>
              <w:t>以及车间通道</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pacing w:val="-1"/>
                <w:sz w:val="24"/>
                <w:szCs w:val="24"/>
                <w:highlight w:val="none"/>
                <w:lang w:val="en-US" w:eastAsia="zh-CN"/>
              </w:rPr>
              <w:t>4</w:t>
            </w:r>
            <w:r>
              <w:rPr>
                <w:rFonts w:hint="default" w:ascii="Times New Roman" w:hAnsi="Times New Roman" w:eastAsia="宋体" w:cs="Times New Roman"/>
                <w:color w:val="auto"/>
                <w:spacing w:val="-1"/>
                <w:sz w:val="24"/>
                <w:szCs w:val="24"/>
                <w:highlight w:val="none"/>
              </w:rPr>
              <w:t>#厂房</w:t>
            </w:r>
            <w:r>
              <w:rPr>
                <w:rFonts w:hint="eastAsia" w:ascii="Times New Roman" w:hAnsi="Times New Roman" w:eastAsia="宋体" w:cs="Times New Roman"/>
                <w:color w:val="auto"/>
                <w:spacing w:val="-1"/>
                <w:sz w:val="24"/>
                <w:szCs w:val="24"/>
                <w:highlight w:val="none"/>
                <w:lang w:val="en-US" w:eastAsia="zh-CN"/>
              </w:rPr>
              <w:t>主要为</w:t>
            </w:r>
            <w:r>
              <w:rPr>
                <w:rFonts w:hint="eastAsia" w:cs="Times New Roman"/>
                <w:color w:val="auto"/>
                <w:spacing w:val="-1"/>
                <w:sz w:val="24"/>
                <w:szCs w:val="24"/>
                <w:highlight w:val="none"/>
                <w:lang w:val="en-US" w:eastAsia="zh-CN"/>
              </w:rPr>
              <w:t>喷漆、喷粉和固化线、</w:t>
            </w:r>
            <w:r>
              <w:rPr>
                <w:rFonts w:hint="eastAsia" w:ascii="Times New Roman" w:hAnsi="Times New Roman" w:eastAsia="宋体" w:cs="Times New Roman"/>
                <w:color w:val="auto"/>
                <w:spacing w:val="-1"/>
                <w:sz w:val="24"/>
                <w:szCs w:val="24"/>
                <w:highlight w:val="none"/>
                <w:lang w:val="en-US" w:eastAsia="zh-CN"/>
              </w:rPr>
              <w:t>组装区以及车间通道；5</w:t>
            </w:r>
            <w:r>
              <w:rPr>
                <w:rFonts w:hint="default" w:ascii="Times New Roman" w:hAnsi="Times New Roman" w:eastAsia="宋体" w:cs="Times New Roman"/>
                <w:color w:val="auto"/>
                <w:spacing w:val="-1"/>
                <w:sz w:val="24"/>
                <w:szCs w:val="24"/>
                <w:highlight w:val="none"/>
              </w:rPr>
              <w:t>#厂房</w:t>
            </w:r>
            <w:r>
              <w:rPr>
                <w:rFonts w:hint="eastAsia" w:ascii="Times New Roman" w:hAnsi="Times New Roman" w:eastAsia="宋体" w:cs="Times New Roman"/>
                <w:color w:val="auto"/>
                <w:spacing w:val="-1"/>
                <w:sz w:val="24"/>
                <w:szCs w:val="24"/>
                <w:highlight w:val="none"/>
                <w:lang w:val="en-US" w:eastAsia="zh-CN"/>
              </w:rPr>
              <w:t>主要为原料堆放区、预处理区、烘干区、成品堆放区以及车间通道</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pacing w:val="-1"/>
                <w:sz w:val="24"/>
                <w:szCs w:val="24"/>
                <w:highlight w:val="none"/>
              </w:rPr>
              <w:t>各区</w:t>
            </w:r>
            <w:r>
              <w:rPr>
                <w:rFonts w:hint="default" w:ascii="Times New Roman" w:hAnsi="Times New Roman"/>
                <w:color w:val="auto"/>
                <w:sz w:val="24"/>
                <w:szCs w:val="24"/>
                <w:highlight w:val="none"/>
              </w:rPr>
              <w:t>布局功能分区</w:t>
            </w:r>
            <w:r>
              <w:rPr>
                <w:rFonts w:hint="default" w:ascii="Times New Roman" w:hAnsi="Times New Roman" w:eastAsia="宋体" w:cs="Times New Roman"/>
                <w:color w:val="auto"/>
                <w:sz w:val="24"/>
                <w:szCs w:val="24"/>
                <w:highlight w:val="none"/>
              </w:rPr>
              <w:t>划分明确</w:t>
            </w:r>
            <w:r>
              <w:rPr>
                <w:rFonts w:hint="eastAsia" w:ascii="Times New Roman" w:hAnsi="Times New Roman" w:eastAsia="宋体" w:cs="Times New Roman"/>
                <w:color w:val="auto"/>
                <w:sz w:val="24"/>
                <w:szCs w:val="24"/>
                <w:highlight w:val="none"/>
                <w:lang w:val="en-US" w:eastAsia="zh-CN"/>
              </w:rPr>
              <w:t>且</w:t>
            </w:r>
            <w:r>
              <w:rPr>
                <w:rFonts w:hint="default" w:ascii="Times New Roman" w:hAnsi="Times New Roman" w:eastAsia="宋体" w:cs="Times New Roman"/>
                <w:color w:val="auto"/>
                <w:spacing w:val="-1"/>
                <w:sz w:val="24"/>
                <w:szCs w:val="24"/>
                <w:highlight w:val="none"/>
              </w:rPr>
              <w:t>紧凑</w:t>
            </w:r>
            <w:r>
              <w:rPr>
                <w:rFonts w:hint="default" w:ascii="Times New Roman" w:hAnsi="Times New Roman" w:eastAsia="宋体" w:cs="Times New Roman"/>
                <w:color w:val="auto"/>
                <w:sz w:val="24"/>
                <w:szCs w:val="24"/>
                <w:highlight w:val="none"/>
              </w:rPr>
              <w:t>，人流、物流线路清晰，平面布置合理可行</w:t>
            </w:r>
            <w:r>
              <w:rPr>
                <w:rFonts w:hint="default" w:ascii="Times New Roman" w:hAnsi="Times New Roman" w:eastAsia="宋体" w:cs="Times New Roman"/>
                <w:color w:val="auto"/>
                <w:kern w:val="2"/>
                <w:sz w:val="24"/>
                <w:szCs w:val="24"/>
                <w:highlight w:val="none"/>
                <w:lang w:val="en-US" w:eastAsia="zh-CN" w:bidi="ar-SA"/>
              </w:rPr>
              <w:t>，具体</w:t>
            </w:r>
            <w:r>
              <w:rPr>
                <w:rFonts w:hint="eastAsia" w:ascii="Times New Roman" w:hAnsi="Times New Roman" w:eastAsia="宋体" w:cs="Times New Roman"/>
                <w:color w:val="auto"/>
                <w:kern w:val="2"/>
                <w:sz w:val="24"/>
                <w:szCs w:val="24"/>
                <w:highlight w:val="none"/>
                <w:lang w:val="en-US" w:eastAsia="zh-CN" w:bidi="ar-SA"/>
              </w:rPr>
              <w:t>总平面</w:t>
            </w:r>
            <w:r>
              <w:rPr>
                <w:rFonts w:hint="default" w:ascii="Times New Roman" w:hAnsi="Times New Roman" w:eastAsia="宋体" w:cs="Times New Roman"/>
                <w:color w:val="auto"/>
                <w:kern w:val="2"/>
                <w:sz w:val="24"/>
                <w:szCs w:val="24"/>
                <w:highlight w:val="none"/>
                <w:lang w:val="en-US" w:eastAsia="zh-CN" w:bidi="ar-SA"/>
              </w:rPr>
              <w:t>布置</w:t>
            </w:r>
            <w:r>
              <w:rPr>
                <w:rFonts w:hint="eastAsia" w:ascii="Times New Roman" w:hAnsi="Times New Roman" w:eastAsia="宋体" w:cs="Times New Roman"/>
                <w:color w:val="auto"/>
                <w:kern w:val="2"/>
                <w:sz w:val="24"/>
                <w:szCs w:val="24"/>
                <w:highlight w:val="none"/>
                <w:lang w:val="en-US" w:eastAsia="zh-CN" w:bidi="ar-SA"/>
              </w:rPr>
              <w:t>及生产</w:t>
            </w:r>
            <w:r>
              <w:rPr>
                <w:rFonts w:hint="eastAsia" w:ascii="Times New Roman" w:hAnsi="Times New Roman" w:eastAsia="宋体"/>
                <w:color w:val="auto"/>
                <w:sz w:val="24"/>
                <w:szCs w:val="24"/>
                <w:highlight w:val="none"/>
                <w:lang w:val="en-US" w:eastAsia="zh-CN"/>
              </w:rPr>
              <w:t>厂房</w:t>
            </w:r>
            <w:r>
              <w:rPr>
                <w:rFonts w:hint="eastAsia" w:ascii="Times New Roman" w:hAnsi="Times New Roman"/>
                <w:color w:val="auto"/>
                <w:sz w:val="24"/>
                <w:szCs w:val="24"/>
                <w:highlight w:val="none"/>
                <w:lang w:val="en-US" w:eastAsia="zh-CN"/>
              </w:rPr>
              <w:t>布局</w:t>
            </w:r>
            <w:r>
              <w:rPr>
                <w:rFonts w:hint="default" w:ascii="Times New Roman" w:hAnsi="Times New Roman" w:eastAsia="宋体" w:cs="Times New Roman"/>
                <w:color w:val="auto"/>
                <w:kern w:val="2"/>
                <w:sz w:val="24"/>
                <w:szCs w:val="24"/>
                <w:highlight w:val="none"/>
                <w:lang w:val="en-US" w:eastAsia="zh-CN" w:bidi="ar-SA"/>
              </w:rPr>
              <w:t>详见</w:t>
            </w:r>
            <w:r>
              <w:rPr>
                <w:rFonts w:hint="default" w:ascii="Times New Roman" w:hAnsi="Times New Roman" w:eastAsia="宋体" w:cs="Times New Roman"/>
                <w:color w:val="auto"/>
                <w:sz w:val="24"/>
                <w:szCs w:val="24"/>
                <w:highlight w:val="none"/>
              </w:rPr>
              <w:t>附图</w:t>
            </w:r>
            <w:r>
              <w:rPr>
                <w:rFonts w:hint="eastAsia" w:ascii="Times New Roman" w:hAnsi="Times New Roman" w:eastAsia="宋体" w:cs="Times New Roman"/>
                <w:color w:val="auto"/>
                <w:sz w:val="24"/>
                <w:szCs w:val="24"/>
                <w:highlight w:val="none"/>
                <w:lang w:val="en-US" w:eastAsia="zh-CN"/>
              </w:rPr>
              <w:t>4、附图5-1到附图5-5</w:t>
            </w:r>
            <w:r>
              <w:rPr>
                <w:rFonts w:ascii="Times New Roman" w:hAnsi="Times New Roman"/>
                <w:color w:val="auto"/>
                <w:sz w:val="24"/>
                <w:szCs w:val="24"/>
                <w:highlight w:val="none"/>
              </w:rPr>
              <w:t>。</w:t>
            </w:r>
          </w:p>
        </w:tc>
      </w:tr>
      <w:tr w14:paraId="4DEC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575" w:type="dxa"/>
            <w:noWrap w:val="0"/>
            <w:vAlign w:val="center"/>
          </w:tcPr>
          <w:p w14:paraId="665FC03B">
            <w:pPr>
              <w:pStyle w:val="45"/>
              <w:adjustRightInd w:val="0"/>
              <w:snapToGrid w:val="0"/>
              <w:spacing w:before="0" w:beforeAutospacing="0" w:after="0" w:afterAutospacing="0"/>
              <w:jc w:val="center"/>
              <w:rPr>
                <w:rFonts w:ascii="黑体" w:hAnsi="黑体" w:eastAsia="黑体"/>
                <w:snapToGrid w:val="0"/>
                <w:color w:val="auto"/>
                <w:sz w:val="36"/>
                <w:szCs w:val="36"/>
                <w:highlight w:val="none"/>
                <w:vertAlign w:val="baseline"/>
              </w:rPr>
            </w:pPr>
            <w:r>
              <w:rPr>
                <w:rFonts w:hint="default" w:ascii="Times New Roman" w:hAnsi="Times New Roman" w:cs="Times New Roman"/>
                <w:color w:val="auto"/>
                <w:szCs w:val="24"/>
                <w:highlight w:val="none"/>
              </w:rPr>
              <w:t>工艺流程和产排污环节</w:t>
            </w:r>
          </w:p>
        </w:tc>
        <w:tc>
          <w:tcPr>
            <w:tcW w:w="8485" w:type="dxa"/>
            <w:noWrap w:val="0"/>
            <w:vAlign w:val="top"/>
          </w:tcPr>
          <w:p w14:paraId="6AD6B5B2">
            <w:pPr>
              <w:keepNext w:val="0"/>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cs="Times New Roman"/>
                <w:b/>
                <w:bCs/>
                <w:color w:val="auto"/>
                <w:sz w:val="24"/>
                <w:highlight w:val="none"/>
              </w:rPr>
            </w:pPr>
          </w:p>
          <w:p w14:paraId="109AE28E">
            <w:pPr>
              <w:spacing w:line="360" w:lineRule="auto"/>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工艺流程简述（图示）：</w:t>
            </w:r>
          </w:p>
          <w:p w14:paraId="328260DD">
            <w:pPr>
              <w:keepNext w:val="0"/>
              <w:keepLines w:val="0"/>
              <w:pageBreakBefore w:val="0"/>
              <w:numPr>
                <w:ilvl w:val="0"/>
                <w:numId w:val="0"/>
              </w:numPr>
              <w:suppressLineNumbers w:val="0"/>
              <w:tabs>
                <w:tab w:val="left" w:pos="420"/>
              </w:tabs>
              <w:kinsoku/>
              <w:overflowPunct/>
              <w:topLinePunct w:val="0"/>
              <w:bidi w:val="0"/>
              <w:snapToGrid/>
              <w:spacing w:before="0" w:beforeAutospacing="0" w:after="0" w:afterAutospacing="0" w:line="360" w:lineRule="auto"/>
              <w:ind w:left="420" w:leftChars="200" w:right="0"/>
              <w:outlineLvl w:val="9"/>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生产工艺流程</w:t>
            </w:r>
          </w:p>
          <w:p w14:paraId="7971DCC6">
            <w:pPr>
              <w:keepNext w:val="0"/>
              <w:keepLines w:val="0"/>
              <w:pageBreakBefore w:val="0"/>
              <w:numPr>
                <w:ilvl w:val="0"/>
                <w:numId w:val="0"/>
              </w:numPr>
              <w:suppressLineNumbers w:val="0"/>
              <w:tabs>
                <w:tab w:val="left" w:pos="420"/>
              </w:tabs>
              <w:kinsoku/>
              <w:overflowPunct/>
              <w:topLinePunct w:val="0"/>
              <w:bidi w:val="0"/>
              <w:snapToGrid/>
              <w:spacing w:before="0" w:beforeAutospacing="0" w:after="0" w:afterAutospacing="0" w:line="360" w:lineRule="auto"/>
              <w:ind w:right="0"/>
              <w:jc w:val="center"/>
              <w:outlineLvl w:val="9"/>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val="0"/>
                <w:bCs w:val="0"/>
                <w:color w:val="auto"/>
                <w:sz w:val="21"/>
                <w:szCs w:val="21"/>
                <w:highlight w:val="none"/>
                <w:lang w:val="en-US" w:eastAsia="zh-CN"/>
              </w:rPr>
              <w:object>
                <v:shape id="_x0000_i1026" o:spt="75" type="#_x0000_t75" style="height:568.95pt;width:401pt;" o:ole="t" filled="f" o:preferrelative="t" stroked="f" coordsize="21600,21600">
                  <v:path/>
                  <v:fill on="f" focussize="0,0"/>
                  <v:stroke on="f"/>
                  <v:imagedata r:id="rId23" o:title=""/>
                  <o:lock v:ext="edit" aspectratio="f"/>
                  <w10:wrap type="none"/>
                  <w10:anchorlock/>
                </v:shape>
                <o:OLEObject Type="Embed" ProgID="Visio.Drawing.15" ShapeID="_x0000_i1026" DrawAspect="Content" ObjectID="_1468075726" r:id="rId22">
                  <o:LockedField>false</o:LockedField>
                </o:OLEObject>
              </w:object>
            </w:r>
          </w:p>
          <w:p w14:paraId="7CE34D08">
            <w:pPr>
              <w:keepNext w:val="0"/>
              <w:keepLines w:val="0"/>
              <w:pageBreakBefore w:val="0"/>
              <w:numPr>
                <w:ilvl w:val="0"/>
                <w:numId w:val="0"/>
              </w:numPr>
              <w:suppressLineNumbers w:val="0"/>
              <w:tabs>
                <w:tab w:val="left" w:pos="420"/>
              </w:tabs>
              <w:kinsoku/>
              <w:overflowPunct/>
              <w:topLinePunct w:val="0"/>
              <w:bidi w:val="0"/>
              <w:snapToGrid/>
              <w:spacing w:before="0" w:beforeAutospacing="0" w:after="0" w:afterAutospacing="0" w:line="240" w:lineRule="auto"/>
              <w:ind w:right="0"/>
              <w:outlineLvl w:val="9"/>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val="0"/>
                <w:bCs w:val="0"/>
                <w:color w:val="auto"/>
                <w:sz w:val="21"/>
                <w:szCs w:val="21"/>
                <w:highlight w:val="none"/>
                <w:lang w:val="en-US" w:eastAsia="zh-CN"/>
              </w:rPr>
              <w:t>注：项目水洗废水与</w:t>
            </w:r>
            <w:r>
              <w:rPr>
                <w:rFonts w:hint="eastAsia" w:cs="Times New Roman"/>
                <w:b w:val="0"/>
                <w:bCs w:val="0"/>
                <w:i w:val="0"/>
                <w:iCs w:val="0"/>
                <w:color w:val="auto"/>
                <w:kern w:val="0"/>
                <w:sz w:val="21"/>
                <w:szCs w:val="21"/>
                <w:highlight w:val="none"/>
                <w:u w:val="none"/>
                <w:lang w:val="en-US" w:eastAsia="zh-CN" w:bidi="ar"/>
              </w:rPr>
              <w:t>预</w:t>
            </w:r>
            <w:r>
              <w:rPr>
                <w:rFonts w:hint="eastAsia" w:cs="Times New Roman"/>
                <w:i w:val="0"/>
                <w:iCs w:val="0"/>
                <w:color w:val="auto"/>
                <w:kern w:val="0"/>
                <w:sz w:val="21"/>
                <w:szCs w:val="21"/>
                <w:highlight w:val="none"/>
                <w:u w:val="none"/>
                <w:lang w:val="en-US" w:eastAsia="zh-CN" w:bidi="ar"/>
              </w:rPr>
              <w:t>脱脂池、脱脂池更换出来的高浓度废水排入自建污水处理站进行处理，故后文分析将水洗废水及高浓度废水统称为前处理废水。</w:t>
            </w:r>
          </w:p>
          <w:p w14:paraId="2B6335E1">
            <w:pPr>
              <w:pStyle w:val="16"/>
              <w:keepNext w:val="0"/>
              <w:keepLines w:val="0"/>
              <w:pageBreakBefore w:val="0"/>
              <w:widowControl w:val="0"/>
              <w:numPr>
                <w:ilvl w:val="0"/>
                <w:numId w:val="11"/>
              </w:numPr>
              <w:suppressLineNumbers w:val="0"/>
              <w:tabs>
                <w:tab w:val="left" w:pos="628"/>
                <w:tab w:val="left" w:pos="993"/>
                <w:tab w:val="left" w:pos="1884"/>
                <w:tab w:val="clear" w:pos="3240"/>
                <w:tab w:val="clear" w:pos="6120"/>
              </w:tabs>
              <w:kinsoku/>
              <w:wordWrap w:val="0"/>
              <w:overflowPunct/>
              <w:topLinePunct w:val="0"/>
              <w:bidi w:val="0"/>
              <w:adjustRightInd/>
              <w:snapToGrid/>
              <w:spacing w:before="0" w:beforeAutospacing="0" w:after="0" w:afterLines="0" w:afterAutospacing="0" w:line="360" w:lineRule="auto"/>
              <w:ind w:left="0" w:leftChars="0" w:right="0" w:firstLine="0" w:firstLineChars="0"/>
              <w:jc w:val="center"/>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项目</w:t>
            </w:r>
            <w:r>
              <w:rPr>
                <w:rFonts w:hint="default" w:ascii="Times New Roman" w:hAnsi="Times New Roman" w:eastAsia="宋体" w:cs="Times New Roman"/>
                <w:b/>
                <w:bCs/>
                <w:color w:val="auto"/>
                <w:sz w:val="21"/>
                <w:szCs w:val="21"/>
                <w:highlight w:val="none"/>
              </w:rPr>
              <w:t>生产工艺流程</w:t>
            </w:r>
            <w:r>
              <w:rPr>
                <w:rFonts w:hint="default" w:ascii="Times New Roman" w:hAnsi="Times New Roman" w:eastAsia="宋体" w:cs="Times New Roman"/>
                <w:b/>
                <w:bCs/>
                <w:color w:val="auto"/>
                <w:sz w:val="21"/>
                <w:szCs w:val="21"/>
                <w:highlight w:val="none"/>
                <w:lang w:val="en-US" w:eastAsia="zh-CN"/>
              </w:rPr>
              <w:t>及产污环节</w:t>
            </w:r>
            <w:r>
              <w:rPr>
                <w:rFonts w:hint="default" w:ascii="Times New Roman" w:hAnsi="Times New Roman" w:eastAsia="宋体" w:cs="Times New Roman"/>
                <w:b/>
                <w:bCs/>
                <w:color w:val="auto"/>
                <w:sz w:val="21"/>
                <w:szCs w:val="21"/>
                <w:highlight w:val="none"/>
              </w:rPr>
              <w:t>图</w:t>
            </w:r>
          </w:p>
          <w:p w14:paraId="04A0BDC2">
            <w:pPr>
              <w:keepNext w:val="0"/>
              <w:keepLines w:val="0"/>
              <w:pageBreakBefore w:val="0"/>
              <w:numPr>
                <w:ilvl w:val="0"/>
                <w:numId w:val="0"/>
              </w:numPr>
              <w:suppressLineNumbers w:val="0"/>
              <w:tabs>
                <w:tab w:val="left" w:pos="420"/>
              </w:tabs>
              <w:kinsoku/>
              <w:overflowPunct/>
              <w:topLinePunct w:val="0"/>
              <w:bidi w:val="0"/>
              <w:snapToGrid/>
              <w:spacing w:before="0" w:beforeAutospacing="0" w:after="0" w:afterAutospacing="0" w:line="360" w:lineRule="auto"/>
              <w:ind w:left="420" w:leftChars="200" w:right="0"/>
              <w:outlineLvl w:val="9"/>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工艺流程说明：</w:t>
            </w:r>
          </w:p>
          <w:p w14:paraId="62B7EF3F">
            <w:pPr>
              <w:pStyle w:val="105"/>
              <w:spacing w:line="360" w:lineRule="auto"/>
              <w:ind w:firstLine="48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（1）铝卷开料、钣金成型：</w:t>
            </w:r>
            <w:r>
              <w:rPr>
                <w:rFonts w:hint="default" w:ascii="Times New Roman" w:hAnsi="Times New Roman" w:eastAsia="宋体" w:cs="Times New Roman"/>
                <w:color w:val="auto"/>
                <w:sz w:val="24"/>
                <w:szCs w:val="24"/>
                <w:highlight w:val="none"/>
              </w:rPr>
              <w:t>项目铝卷购入后经</w:t>
            </w:r>
            <w:r>
              <w:rPr>
                <w:rFonts w:hint="default" w:ascii="Times New Roman" w:hAnsi="Times New Roman" w:eastAsia="宋体" w:cs="Times New Roman"/>
                <w:color w:val="auto"/>
                <w:sz w:val="24"/>
                <w:szCs w:val="24"/>
                <w:highlight w:val="none"/>
                <w:lang w:val="en-US" w:eastAsia="zh-CN"/>
              </w:rPr>
              <w:t>激光切割生产线</w:t>
            </w:r>
            <w:r>
              <w:rPr>
                <w:rFonts w:hint="eastAsia" w:ascii="Times New Roman" w:hAnsi="Times New Roman" w:eastAsia="宋体" w:cs="Times New Roman"/>
                <w:color w:val="auto"/>
                <w:sz w:val="24"/>
                <w:szCs w:val="24"/>
                <w:highlight w:val="none"/>
                <w:lang w:val="en-US" w:eastAsia="zh-CN"/>
              </w:rPr>
              <w:t>、数控切割机</w:t>
            </w:r>
            <w:r>
              <w:rPr>
                <w:rFonts w:hint="default" w:ascii="Times New Roman" w:hAnsi="Times New Roman" w:eastAsia="宋体" w:cs="Times New Roman"/>
                <w:color w:val="auto"/>
                <w:sz w:val="24"/>
                <w:szCs w:val="24"/>
                <w:highlight w:val="none"/>
              </w:rPr>
              <w:t>开料，</w:t>
            </w:r>
            <w:r>
              <w:rPr>
                <w:rFonts w:hint="eastAsia" w:ascii="Times New Roman" w:hAnsi="Times New Roman" w:eastAsia="宋体" w:cs="Times New Roman"/>
                <w:color w:val="auto"/>
                <w:sz w:val="24"/>
                <w:szCs w:val="24"/>
                <w:highlight w:val="none"/>
                <w:lang w:val="en-US" w:eastAsia="zh-CN"/>
              </w:rPr>
              <w:t>切割</w:t>
            </w:r>
            <w:r>
              <w:rPr>
                <w:rFonts w:hint="default" w:ascii="Times New Roman" w:hAnsi="Times New Roman" w:eastAsia="宋体" w:cs="Times New Roman"/>
                <w:color w:val="auto"/>
                <w:sz w:val="24"/>
                <w:szCs w:val="24"/>
                <w:highlight w:val="none"/>
              </w:rPr>
              <w:t>出合适大小的铝板件，经冲压、折弯、滚弧、焊接等工序后成型，该工序主要产生</w:t>
            </w:r>
            <w:r>
              <w:rPr>
                <w:rFonts w:hint="eastAsia" w:ascii="Times New Roman" w:hAnsi="Times New Roman" w:eastAsia="宋体" w:cs="Times New Roman"/>
                <w:color w:val="auto"/>
                <w:sz w:val="24"/>
                <w:szCs w:val="24"/>
                <w:highlight w:val="none"/>
                <w:lang w:val="en-US" w:eastAsia="zh-CN"/>
              </w:rPr>
              <w:t>切割粉尘</w:t>
            </w:r>
            <w:r>
              <w:rPr>
                <w:rFonts w:hint="default" w:ascii="Times New Roman" w:hAnsi="Times New Roman" w:eastAsia="宋体" w:cs="Times New Roman"/>
                <w:color w:val="auto"/>
                <w:sz w:val="24"/>
                <w:szCs w:val="24"/>
                <w:highlight w:val="none"/>
              </w:rPr>
              <w:t>、焊接烟尘、噪声</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废包装物、边角料。</w:t>
            </w:r>
          </w:p>
          <w:p w14:paraId="0CB5107F">
            <w:pPr>
              <w:pStyle w:val="105"/>
              <w:spacing w:line="360" w:lineRule="auto"/>
              <w:ind w:firstLine="480"/>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rPr>
              <w:t>（2）</w:t>
            </w:r>
            <w:r>
              <w:rPr>
                <w:rFonts w:hint="eastAsia" w:ascii="Times New Roman" w:hAnsi="Times New Roman" w:eastAsia="宋体" w:cs="Times New Roman"/>
                <w:b/>
                <w:color w:val="auto"/>
                <w:sz w:val="24"/>
                <w:szCs w:val="24"/>
                <w:highlight w:val="none"/>
                <w:lang w:eastAsia="zh-CN"/>
              </w:rPr>
              <w:t>抛光打磨</w:t>
            </w:r>
            <w:r>
              <w:rPr>
                <w:rFonts w:hint="default" w:ascii="Times New Roman" w:hAnsi="Times New Roman" w:eastAsia="宋体" w:cs="Times New Roman"/>
                <w:b/>
                <w:color w:val="auto"/>
                <w:sz w:val="24"/>
                <w:szCs w:val="24"/>
                <w:highlight w:val="none"/>
              </w:rPr>
              <w:t>：</w:t>
            </w:r>
            <w:r>
              <w:rPr>
                <w:rFonts w:hint="default" w:ascii="Times New Roman" w:hAnsi="Times New Roman" w:eastAsia="宋体" w:cs="Times New Roman"/>
                <w:bCs/>
                <w:color w:val="auto"/>
                <w:sz w:val="24"/>
                <w:szCs w:val="24"/>
                <w:highlight w:val="none"/>
              </w:rPr>
              <w:t>钣金</w:t>
            </w:r>
            <w:r>
              <w:rPr>
                <w:rFonts w:hint="eastAsia" w:cs="Times New Roman"/>
                <w:bCs/>
                <w:color w:val="auto"/>
                <w:sz w:val="24"/>
                <w:szCs w:val="24"/>
                <w:highlight w:val="none"/>
                <w:lang w:val="en-US" w:eastAsia="zh-CN"/>
              </w:rPr>
              <w:t>后工</w:t>
            </w:r>
            <w:r>
              <w:rPr>
                <w:rFonts w:hint="default" w:ascii="Times New Roman" w:hAnsi="Times New Roman" w:eastAsia="宋体" w:cs="Times New Roman"/>
                <w:bCs/>
                <w:color w:val="auto"/>
                <w:sz w:val="24"/>
                <w:szCs w:val="24"/>
                <w:highlight w:val="none"/>
              </w:rPr>
              <w:t>件</w:t>
            </w:r>
            <w:r>
              <w:rPr>
                <w:rFonts w:hint="eastAsia" w:cs="Times New Roman"/>
                <w:bCs/>
                <w:color w:val="auto"/>
                <w:sz w:val="24"/>
                <w:szCs w:val="24"/>
                <w:highlight w:val="none"/>
                <w:lang w:val="en-US" w:eastAsia="zh-CN"/>
              </w:rPr>
              <w:t>部分需要进行表面打磨，还有部分需要焊接口打磨</w:t>
            </w:r>
            <w:r>
              <w:rPr>
                <w:rFonts w:hint="default" w:ascii="Times New Roman" w:hAnsi="Times New Roman" w:eastAsia="宋体" w:cs="Times New Roman"/>
                <w:bCs/>
                <w:color w:val="auto"/>
                <w:sz w:val="24"/>
                <w:szCs w:val="24"/>
                <w:highlight w:val="none"/>
              </w:rPr>
              <w:t>，</w:t>
            </w:r>
            <w:r>
              <w:rPr>
                <w:rFonts w:hint="eastAsia" w:cs="Times New Roman"/>
                <w:bCs/>
                <w:color w:val="auto"/>
                <w:sz w:val="24"/>
                <w:szCs w:val="24"/>
                <w:highlight w:val="none"/>
                <w:lang w:val="en-US" w:eastAsia="zh-CN"/>
              </w:rPr>
              <w:t>项目</w:t>
            </w:r>
            <w:r>
              <w:rPr>
                <w:rFonts w:hint="default" w:ascii="Times New Roman" w:hAnsi="Times New Roman" w:eastAsia="宋体" w:cs="Times New Roman"/>
                <w:bCs/>
                <w:color w:val="auto"/>
                <w:sz w:val="24"/>
                <w:szCs w:val="24"/>
                <w:highlight w:val="none"/>
              </w:rPr>
              <w:t>使用</w:t>
            </w:r>
            <w:r>
              <w:rPr>
                <w:rFonts w:hint="eastAsia" w:cs="Times New Roman"/>
                <w:bCs/>
                <w:color w:val="auto"/>
                <w:sz w:val="24"/>
                <w:szCs w:val="24"/>
                <w:highlight w:val="none"/>
                <w:lang w:val="en-US" w:eastAsia="zh-CN"/>
              </w:rPr>
              <w:t>手磨机</w:t>
            </w:r>
            <w:r>
              <w:rPr>
                <w:rFonts w:hint="default" w:ascii="Times New Roman" w:hAnsi="Times New Roman" w:eastAsia="宋体" w:cs="Times New Roman"/>
                <w:bCs/>
                <w:color w:val="auto"/>
                <w:sz w:val="24"/>
                <w:szCs w:val="24"/>
                <w:highlight w:val="none"/>
              </w:rPr>
              <w:t>进行</w:t>
            </w:r>
            <w:r>
              <w:rPr>
                <w:rFonts w:hint="default" w:ascii="Times New Roman" w:hAnsi="Times New Roman" w:eastAsia="宋体" w:cs="Times New Roman"/>
                <w:bCs/>
                <w:color w:val="auto"/>
                <w:sz w:val="24"/>
                <w:szCs w:val="24"/>
                <w:highlight w:val="none"/>
                <w:lang w:eastAsia="zh-CN"/>
              </w:rPr>
              <w:t>抛光打磨</w:t>
            </w:r>
            <w:r>
              <w:rPr>
                <w:rFonts w:hint="default" w:ascii="Times New Roman" w:hAnsi="Times New Roman" w:eastAsia="宋体" w:cs="Times New Roman"/>
                <w:color w:val="auto"/>
                <w:kern w:val="0"/>
                <w:sz w:val="24"/>
                <w:szCs w:val="24"/>
                <w:highlight w:val="none"/>
                <w:lang w:bidi="ar"/>
              </w:rPr>
              <w:t>，该工序产生打磨抛光粉尘、噪声</w:t>
            </w:r>
            <w:r>
              <w:rPr>
                <w:rFonts w:hint="default" w:ascii="Times New Roman" w:hAnsi="Times New Roman" w:eastAsia="宋体" w:cs="Times New Roman"/>
                <w:color w:val="auto"/>
                <w:kern w:val="0"/>
                <w:sz w:val="24"/>
                <w:szCs w:val="24"/>
                <w:highlight w:val="none"/>
                <w:lang w:eastAsia="zh-CN" w:bidi="ar"/>
              </w:rPr>
              <w:t>。</w:t>
            </w:r>
          </w:p>
          <w:p w14:paraId="31576210">
            <w:pPr>
              <w:pStyle w:val="105"/>
              <w:spacing w:line="360" w:lineRule="auto"/>
              <w:ind w:firstLine="48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（3）</w:t>
            </w:r>
            <w:r>
              <w:rPr>
                <w:rFonts w:hint="eastAsia" w:cs="Times New Roman"/>
                <w:b/>
                <w:color w:val="auto"/>
                <w:sz w:val="24"/>
                <w:szCs w:val="24"/>
                <w:highlight w:val="none"/>
                <w:lang w:eastAsia="zh-CN"/>
              </w:rPr>
              <w:t>工件表面预处理</w:t>
            </w:r>
            <w:r>
              <w:rPr>
                <w:rFonts w:hint="default" w:ascii="Times New Roman" w:hAnsi="Times New Roman" w:eastAsia="宋体" w:cs="Times New Roman"/>
                <w:b/>
                <w:color w:val="auto"/>
                <w:sz w:val="24"/>
                <w:szCs w:val="24"/>
                <w:highlight w:val="none"/>
              </w:rPr>
              <w:t>生产线</w:t>
            </w:r>
          </w:p>
          <w:p w14:paraId="2403C81C">
            <w:pPr>
              <w:pStyle w:val="105"/>
              <w:spacing w:line="360" w:lineRule="auto"/>
              <w:ind w:firstLine="480"/>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b/>
                <w:color w:val="auto"/>
                <w:sz w:val="24"/>
                <w:szCs w:val="24"/>
                <w:highlight w:val="none"/>
                <w:lang w:val="en-US" w:eastAsia="zh-CN"/>
              </w:rPr>
              <w:t>①预</w:t>
            </w:r>
            <w:r>
              <w:rPr>
                <w:rFonts w:hint="eastAsia" w:ascii="Times New Roman" w:hAnsi="Times New Roman" w:eastAsia="宋体" w:cs="Times New Roman"/>
                <w:b/>
                <w:color w:val="auto"/>
                <w:sz w:val="24"/>
                <w:szCs w:val="24"/>
                <w:highlight w:val="none"/>
                <w:lang w:val="en-US" w:eastAsia="zh-CN"/>
              </w:rPr>
              <w:t>脱脂</w:t>
            </w:r>
            <w:r>
              <w:rPr>
                <w:rFonts w:hint="default" w:ascii="Times New Roman" w:hAnsi="Times New Roman" w:eastAsia="宋体" w:cs="Times New Roman"/>
                <w:b/>
                <w:color w:val="auto"/>
                <w:sz w:val="24"/>
                <w:szCs w:val="24"/>
                <w:highlight w:val="none"/>
                <w:lang w:val="en-US" w:eastAsia="zh-CN"/>
              </w:rPr>
              <w:t>池、</w:t>
            </w:r>
            <w:r>
              <w:rPr>
                <w:rFonts w:hint="eastAsia" w:ascii="Times New Roman" w:hAnsi="Times New Roman" w:eastAsia="宋体" w:cs="Times New Roman"/>
                <w:b/>
                <w:color w:val="auto"/>
                <w:sz w:val="24"/>
                <w:szCs w:val="24"/>
                <w:highlight w:val="none"/>
                <w:lang w:val="en-US" w:eastAsia="zh-CN"/>
              </w:rPr>
              <w:t>脱脂</w:t>
            </w:r>
            <w:r>
              <w:rPr>
                <w:rFonts w:hint="default" w:ascii="Times New Roman" w:hAnsi="Times New Roman" w:eastAsia="宋体" w:cs="Times New Roman"/>
                <w:b/>
                <w:color w:val="auto"/>
                <w:sz w:val="24"/>
                <w:szCs w:val="24"/>
                <w:highlight w:val="none"/>
                <w:lang w:val="en-US" w:eastAsia="zh-CN"/>
              </w:rPr>
              <w:t>池：</w:t>
            </w:r>
            <w:r>
              <w:rPr>
                <w:rFonts w:hint="default" w:ascii="Times New Roman" w:hAnsi="Times New Roman" w:eastAsia="宋体" w:cs="Times New Roman"/>
                <w:color w:val="auto"/>
                <w:sz w:val="24"/>
                <w:szCs w:val="24"/>
                <w:highlight w:val="none"/>
              </w:rPr>
              <w:t>项目</w:t>
            </w:r>
            <w:r>
              <w:rPr>
                <w:rFonts w:hint="eastAsia" w:ascii="Times New Roman" w:hAnsi="Times New Roman" w:eastAsia="宋体" w:cs="Times New Roman"/>
                <w:color w:val="auto"/>
                <w:sz w:val="24"/>
                <w:szCs w:val="24"/>
                <w:highlight w:val="none"/>
                <w:lang w:val="en-US" w:eastAsia="zh-CN"/>
              </w:rPr>
              <w:t>预脱脂、</w:t>
            </w:r>
            <w:r>
              <w:rPr>
                <w:rFonts w:hint="default" w:ascii="Times New Roman" w:hAnsi="Times New Roman" w:eastAsia="宋体" w:cs="Times New Roman"/>
                <w:color w:val="auto"/>
                <w:sz w:val="24"/>
                <w:szCs w:val="24"/>
                <w:highlight w:val="none"/>
                <w:lang w:val="en-US" w:eastAsia="zh-CN"/>
              </w:rPr>
              <w:t>脱脂</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除油</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工序采用</w:t>
            </w:r>
            <w:r>
              <w:rPr>
                <w:rFonts w:hint="eastAsia" w:cs="Times New Roman"/>
                <w:color w:val="auto"/>
                <w:sz w:val="24"/>
                <w:szCs w:val="24"/>
                <w:highlight w:val="none"/>
                <w:lang w:eastAsia="zh-CN"/>
              </w:rPr>
              <w:t>除油</w:t>
            </w:r>
            <w:r>
              <w:rPr>
                <w:rFonts w:hint="default" w:ascii="Times New Roman" w:hAnsi="Times New Roman" w:eastAsia="宋体" w:cs="Times New Roman"/>
                <w:color w:val="auto"/>
                <w:sz w:val="24"/>
                <w:szCs w:val="24"/>
                <w:highlight w:val="none"/>
              </w:rPr>
              <w:t>剂，</w:t>
            </w:r>
            <w:r>
              <w:rPr>
                <w:rFonts w:hint="default" w:ascii="Times New Roman" w:hAnsi="Times New Roman" w:eastAsia="宋体" w:cs="Times New Roman"/>
                <w:color w:val="auto"/>
                <w:sz w:val="24"/>
                <w:szCs w:val="24"/>
                <w:highlight w:val="none"/>
                <w:lang w:val="en-US" w:eastAsia="zh-CN"/>
              </w:rPr>
              <w:t>项目预处理生产采用喷淋方式清洗除油，</w:t>
            </w:r>
            <w:r>
              <w:rPr>
                <w:rFonts w:hint="default" w:ascii="Times New Roman" w:hAnsi="Times New Roman" w:eastAsia="宋体" w:cs="Times New Roman"/>
                <w:color w:val="auto"/>
                <w:sz w:val="24"/>
                <w:szCs w:val="24"/>
                <w:highlight w:val="none"/>
              </w:rPr>
              <w:t>铝卷</w:t>
            </w:r>
            <w:r>
              <w:rPr>
                <w:rFonts w:hint="default" w:ascii="Times New Roman" w:hAnsi="Times New Roman" w:eastAsia="宋体" w:cs="Times New Roman"/>
                <w:color w:val="auto"/>
                <w:sz w:val="24"/>
                <w:szCs w:val="24"/>
                <w:highlight w:val="none"/>
                <w:lang w:val="en-US" w:eastAsia="zh-CN"/>
              </w:rPr>
              <w:t>在喷淋柜喷淋</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常温状态下</w:t>
            </w:r>
            <w:r>
              <w:rPr>
                <w:rFonts w:hint="default" w:ascii="Times New Roman" w:hAnsi="Times New Roman" w:eastAsia="宋体" w:cs="Times New Roman"/>
                <w:color w:val="auto"/>
                <w:sz w:val="24"/>
                <w:szCs w:val="24"/>
                <w:highlight w:val="none"/>
                <w:lang w:val="en-US" w:eastAsia="zh-CN"/>
              </w:rPr>
              <w:t>，当</w:t>
            </w:r>
            <w:r>
              <w:rPr>
                <w:rFonts w:hint="default" w:ascii="Times New Roman" w:hAnsi="Times New Roman" w:eastAsia="宋体" w:cs="Times New Roman"/>
                <w:color w:val="auto"/>
                <w:sz w:val="24"/>
                <w:szCs w:val="24"/>
                <w:highlight w:val="none"/>
              </w:rPr>
              <w:t>除油工序完成后进入水洗池清洗</w:t>
            </w:r>
            <w:r>
              <w:rPr>
                <w:rFonts w:hint="default" w:ascii="Times New Roman" w:hAnsi="Times New Roman" w:eastAsia="宋体" w:cs="Times New Roman"/>
                <w:color w:val="auto"/>
                <w:kern w:val="0"/>
                <w:sz w:val="24"/>
                <w:szCs w:val="24"/>
                <w:highlight w:val="none"/>
                <w:lang w:val="en-US" w:eastAsia="zh-CN" w:bidi="ar"/>
              </w:rPr>
              <w:t>。项目预脱脂池、脱脂池溶液循环使用，定期补充新除油剂</w:t>
            </w:r>
            <w:r>
              <w:rPr>
                <w:rFonts w:hint="eastAsia" w:cs="Times New Roman"/>
                <w:color w:val="auto"/>
                <w:kern w:val="0"/>
                <w:sz w:val="24"/>
                <w:szCs w:val="24"/>
                <w:highlight w:val="none"/>
                <w:lang w:val="en-US" w:eastAsia="zh-CN" w:bidi="ar"/>
              </w:rPr>
              <w:t>、水，预脱脂池、脱脂油池中槽液工艺浓度控制在3%左右</w:t>
            </w:r>
            <w:r>
              <w:rPr>
                <w:rFonts w:hint="default" w:ascii="Times New Roman" w:hAnsi="Times New Roman" w:eastAsia="宋体" w:cs="Times New Roman"/>
                <w:color w:val="auto"/>
                <w:kern w:val="0"/>
                <w:sz w:val="24"/>
                <w:szCs w:val="24"/>
                <w:highlight w:val="none"/>
                <w:lang w:val="en-US" w:eastAsia="zh-CN" w:bidi="ar"/>
              </w:rPr>
              <w:t>，预脱脂池每3个月整池更换一次、脱脂池每3个月整池更换一次，</w:t>
            </w:r>
            <w:r>
              <w:rPr>
                <w:rFonts w:hint="default" w:ascii="Times New Roman" w:hAnsi="Times New Roman" w:cs="Times New Roman"/>
                <w:color w:val="auto"/>
                <w:highlight w:val="none"/>
                <w:lang w:val="en-US" w:eastAsia="zh-CN"/>
              </w:rPr>
              <w:t>更换后的槽液全部进入自建污水处理站进行处理</w:t>
            </w:r>
            <w:r>
              <w:rPr>
                <w:rFonts w:hint="default" w:ascii="Times New Roman" w:hAnsi="Times New Roman" w:eastAsia="宋体" w:cs="Times New Roman"/>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此过程产生氟化物、废槽液、废包装桶、噪声等。</w:t>
            </w:r>
          </w:p>
          <w:p w14:paraId="03D66437">
            <w:pPr>
              <w:pStyle w:val="105"/>
              <w:spacing w:line="360" w:lineRule="auto"/>
              <w:ind w:firstLine="480"/>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②</w:t>
            </w:r>
            <w:r>
              <w:rPr>
                <w:rFonts w:hint="default" w:ascii="Times New Roman" w:hAnsi="Times New Roman" w:eastAsia="宋体" w:cs="Times New Roman"/>
                <w:b/>
                <w:color w:val="auto"/>
                <w:sz w:val="24"/>
                <w:szCs w:val="24"/>
                <w:highlight w:val="none"/>
                <w:lang w:val="en-US" w:eastAsia="zh-CN"/>
              </w:rPr>
              <w:t>水洗池</w:t>
            </w:r>
          </w:p>
          <w:p w14:paraId="0EE593D0">
            <w:pPr>
              <w:keepNext w:val="0"/>
              <w:keepLines w:val="0"/>
              <w:pageBreakBefore w:val="0"/>
              <w:widowControl/>
              <w:suppressLineNumbers w:val="0"/>
              <w:kinsoku/>
              <w:wordWrap/>
              <w:overflowPunct/>
              <w:topLinePunct w:val="0"/>
              <w:bidi w:val="0"/>
              <w:adjustRightInd/>
              <w:snapToGrid/>
              <w:spacing w:before="0" w:beforeAutospacing="0" w:after="0" w:afterAutospacing="0" w:line="360" w:lineRule="auto"/>
              <w:ind w:left="0" w:right="0" w:firstLine="480" w:firstLineChars="200"/>
              <w:jc w:val="left"/>
              <w:textAlignment w:val="auto"/>
              <w:outlineLvl w:val="9"/>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脱脂</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除油</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后的工件经过1#、2#水洗工段</w:t>
            </w:r>
            <w:r>
              <w:rPr>
                <w:rFonts w:hint="eastAsia" w:ascii="Times New Roman" w:hAnsi="Times New Roman" w:eastAsia="宋体" w:cs="Times New Roman"/>
                <w:b w:val="0"/>
                <w:bCs/>
                <w:color w:val="auto"/>
                <w:sz w:val="24"/>
                <w:szCs w:val="24"/>
                <w:highlight w:val="none"/>
                <w:lang w:val="en-US" w:eastAsia="zh-CN"/>
              </w:rPr>
              <w:t>以及清水洗</w:t>
            </w:r>
            <w:r>
              <w:rPr>
                <w:rFonts w:hint="default" w:ascii="Times New Roman" w:hAnsi="Times New Roman" w:eastAsia="宋体" w:cs="Times New Roman"/>
                <w:b w:val="0"/>
                <w:bCs/>
                <w:color w:val="auto"/>
                <w:sz w:val="24"/>
                <w:szCs w:val="24"/>
                <w:highlight w:val="none"/>
                <w:lang w:val="en-US" w:eastAsia="zh-CN"/>
              </w:rPr>
              <w:t>工段进行水洗，将工件表面残留的试剂截留在水池内。用自来水对脱脂后的工件进行喷淋清洗，把工件表面的残液清洗干净。工件分别通过</w:t>
            </w:r>
            <w:r>
              <w:rPr>
                <w:rFonts w:hint="eastAsia" w:cs="Times New Roman"/>
                <w:b w:val="0"/>
                <w:bCs/>
                <w:color w:val="auto"/>
                <w:sz w:val="24"/>
                <w:szCs w:val="24"/>
                <w:highlight w:val="none"/>
                <w:lang w:val="en-US" w:eastAsia="zh-CN"/>
              </w:rPr>
              <w:t>三</w:t>
            </w:r>
            <w:r>
              <w:rPr>
                <w:rFonts w:hint="default" w:ascii="Times New Roman" w:hAnsi="Times New Roman" w:eastAsia="宋体" w:cs="Times New Roman"/>
                <w:b w:val="0"/>
                <w:bCs/>
                <w:color w:val="auto"/>
                <w:sz w:val="24"/>
                <w:szCs w:val="24"/>
                <w:highlight w:val="none"/>
                <w:lang w:val="en-US" w:eastAsia="zh-CN"/>
              </w:rPr>
              <w:t>个水洗工段经自来水喷淋水洗，为保证水洗池清洗效果，项目在各水洗池均</w:t>
            </w:r>
            <w:r>
              <w:rPr>
                <w:rFonts w:hint="default" w:ascii="Times New Roman" w:hAnsi="Times New Roman" w:eastAsia="宋体" w:cs="Times New Roman"/>
                <w:color w:val="auto"/>
                <w:sz w:val="24"/>
                <w:szCs w:val="24"/>
                <w:highlight w:val="none"/>
              </w:rPr>
              <w:t>设置溢流口并用固定管道接入收集池</w:t>
            </w:r>
            <w:r>
              <w:rPr>
                <w:rFonts w:hint="default" w:ascii="Times New Roman" w:hAnsi="Times New Roman" w:eastAsia="宋体" w:cs="Times New Roman"/>
                <w:b w:val="0"/>
                <w:bCs/>
                <w:color w:val="auto"/>
                <w:sz w:val="24"/>
                <w:szCs w:val="24"/>
                <w:highlight w:val="none"/>
                <w:lang w:val="en-US" w:eastAsia="zh-CN"/>
              </w:rPr>
              <w:t>，工件水洗后进入无铬钝化池钝化</w:t>
            </w:r>
            <w:r>
              <w:rPr>
                <w:rFonts w:hint="default" w:ascii="Times New Roman" w:hAnsi="Times New Roman" w:eastAsia="宋体" w:cs="Times New Roman"/>
                <w:color w:val="auto"/>
                <w:sz w:val="24"/>
                <w:szCs w:val="24"/>
                <w:highlight w:val="none"/>
                <w:lang w:val="en-US" w:eastAsia="zh-CN"/>
              </w:rPr>
              <w:t>，工件钝化后</w:t>
            </w:r>
            <w:r>
              <w:rPr>
                <w:rFonts w:hint="eastAsia" w:ascii="Times New Roman" w:hAnsi="Times New Roman" w:eastAsia="宋体" w:cs="Times New Roman"/>
                <w:color w:val="auto"/>
                <w:sz w:val="24"/>
                <w:szCs w:val="24"/>
                <w:highlight w:val="none"/>
                <w:lang w:val="en-US" w:eastAsia="zh-CN"/>
              </w:rPr>
              <w:t>再</w:t>
            </w:r>
            <w:r>
              <w:rPr>
                <w:rFonts w:hint="default" w:ascii="Times New Roman" w:hAnsi="Times New Roman" w:eastAsia="宋体" w:cs="Times New Roman"/>
                <w:color w:val="auto"/>
                <w:sz w:val="24"/>
                <w:szCs w:val="24"/>
                <w:highlight w:val="none"/>
              </w:rPr>
              <w:t>进入</w:t>
            </w: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水洗池清洗</w:t>
            </w:r>
            <w:r>
              <w:rPr>
                <w:rFonts w:hint="eastAsia" w:ascii="Times New Roman" w:hAnsi="Times New Roman" w:eastAsia="宋体" w:cs="Times New Roman"/>
                <w:b w:val="0"/>
                <w:bCs/>
                <w:color w:val="auto"/>
                <w:sz w:val="24"/>
                <w:szCs w:val="24"/>
                <w:highlight w:val="none"/>
                <w:lang w:val="en-US" w:eastAsia="zh-CN"/>
              </w:rPr>
              <w:t>。</w:t>
            </w:r>
            <w:r>
              <w:rPr>
                <w:rFonts w:hint="default" w:ascii="Times New Roman" w:hAnsi="Times New Roman" w:eastAsia="宋体" w:cs="Times New Roman"/>
                <w:b w:val="0"/>
                <w:bCs/>
                <w:color w:val="auto"/>
                <w:sz w:val="24"/>
                <w:szCs w:val="24"/>
                <w:highlight w:val="none"/>
                <w:lang w:val="en-US" w:eastAsia="zh-CN"/>
              </w:rPr>
              <w:t>水洗池每个月更换整槽废水并同时采用溢流排水方式保证清洗效果</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此过程会产生前处理废水</w:t>
            </w:r>
            <w:r>
              <w:rPr>
                <w:rFonts w:hint="eastAsia" w:cs="Times New Roman"/>
                <w:color w:val="auto"/>
                <w:sz w:val="24"/>
                <w:szCs w:val="24"/>
                <w:highlight w:val="none"/>
                <w:lang w:val="en-US" w:eastAsia="zh-CN"/>
              </w:rPr>
              <w:t>和噪声</w:t>
            </w:r>
            <w:r>
              <w:rPr>
                <w:rFonts w:hint="eastAsia" w:ascii="Times New Roman" w:hAnsi="Times New Roman" w:eastAsia="宋体" w:cs="Times New Roman"/>
                <w:color w:val="auto"/>
                <w:kern w:val="0"/>
                <w:sz w:val="24"/>
                <w:szCs w:val="24"/>
                <w:highlight w:val="none"/>
                <w:lang w:val="en-US" w:eastAsia="zh-CN" w:bidi="ar"/>
              </w:rPr>
              <w:t>，排入自建污水处理站进行处理</w:t>
            </w:r>
            <w:r>
              <w:rPr>
                <w:rFonts w:hint="default" w:ascii="Times New Roman" w:hAnsi="Times New Roman" w:eastAsia="宋体" w:cs="Times New Roman"/>
                <w:color w:val="auto"/>
                <w:sz w:val="24"/>
                <w:szCs w:val="24"/>
                <w:highlight w:val="none"/>
                <w:lang w:val="en-US" w:eastAsia="zh-CN"/>
              </w:rPr>
              <w:t>。</w:t>
            </w:r>
          </w:p>
          <w:p w14:paraId="35213946">
            <w:pPr>
              <w:pStyle w:val="105"/>
              <w:spacing w:line="360" w:lineRule="auto"/>
              <w:ind w:firstLine="48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b/>
                <w:color w:val="auto"/>
                <w:sz w:val="24"/>
                <w:szCs w:val="24"/>
                <w:highlight w:val="none"/>
                <w:lang w:val="en-US" w:eastAsia="zh-CN"/>
              </w:rPr>
              <w:t>③</w:t>
            </w:r>
            <w:r>
              <w:rPr>
                <w:rFonts w:hint="default" w:ascii="Times New Roman" w:hAnsi="Times New Roman" w:eastAsia="宋体" w:cs="Times New Roman"/>
                <w:b/>
                <w:color w:val="auto"/>
                <w:sz w:val="24"/>
                <w:szCs w:val="24"/>
                <w:highlight w:val="none"/>
                <w:lang w:val="en-US" w:eastAsia="zh-CN"/>
              </w:rPr>
              <w:t>无铬钝化池：</w:t>
            </w:r>
            <w:r>
              <w:rPr>
                <w:rFonts w:hint="default" w:ascii="Times New Roman" w:hAnsi="Times New Roman" w:eastAsia="宋体" w:cs="Times New Roman"/>
                <w:color w:val="auto"/>
                <w:sz w:val="24"/>
                <w:szCs w:val="24"/>
                <w:highlight w:val="none"/>
                <w:lang w:val="en-US" w:eastAsia="zh-CN"/>
              </w:rPr>
              <w:t>经除油、水洗后的金属表面很清洁，非常活化，很容易遭受腐蚀，所以必须立即进行钝化处理，使清洗后的金属表面生成保护膜，减缓腐蚀。钝化是使用无铬钝化剂与铝件表面生成致密氧化物保护层，从而阻止铝件发生氧化反应，无铬钝化池</w:t>
            </w:r>
            <w:r>
              <w:rPr>
                <w:rFonts w:hint="default" w:ascii="Times New Roman" w:hAnsi="Times New Roman" w:eastAsia="宋体" w:cs="Times New Roman"/>
                <w:color w:val="auto"/>
                <w:sz w:val="24"/>
                <w:szCs w:val="24"/>
                <w:highlight w:val="none"/>
              </w:rPr>
              <w:t>槽液定期更换</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槽液内无铬钝化剂</w:t>
            </w:r>
            <w:r>
              <w:rPr>
                <w:rFonts w:hint="eastAsia" w:cs="Times New Roman"/>
                <w:color w:val="auto"/>
                <w:sz w:val="24"/>
                <w:szCs w:val="24"/>
                <w:highlight w:val="none"/>
                <w:lang w:val="en-US" w:eastAsia="zh-CN"/>
              </w:rPr>
              <w:t>工艺浓度控制在1%左右。</w:t>
            </w:r>
            <w:r>
              <w:rPr>
                <w:rFonts w:hint="eastAsia" w:cs="Times New Roman"/>
                <w:color w:val="auto"/>
                <w:kern w:val="0"/>
                <w:sz w:val="24"/>
                <w:szCs w:val="24"/>
                <w:highlight w:val="none"/>
                <w:lang w:val="en-US" w:eastAsia="zh-CN" w:bidi="ar"/>
              </w:rPr>
              <w:t>此过程产生氟化物、废槽液、废包装桶、噪声等。</w:t>
            </w:r>
            <w:r>
              <w:rPr>
                <w:rFonts w:hint="default" w:ascii="Times New Roman" w:hAnsi="Times New Roman" w:eastAsia="宋体" w:cs="Times New Roman"/>
                <w:color w:val="auto"/>
                <w:sz w:val="24"/>
                <w:szCs w:val="24"/>
                <w:highlight w:val="none"/>
                <w:lang w:val="en-US" w:eastAsia="zh-CN"/>
              </w:rPr>
              <w:t>更换后的槽液交有危废资质单位处理</w:t>
            </w:r>
            <w:r>
              <w:rPr>
                <w:rFonts w:hint="default" w:ascii="Times New Roman" w:hAnsi="Times New Roman" w:eastAsia="宋体" w:cs="Times New Roman"/>
                <w:color w:val="auto"/>
                <w:sz w:val="24"/>
                <w:szCs w:val="24"/>
                <w:highlight w:val="none"/>
              </w:rPr>
              <w:t>。</w:t>
            </w:r>
          </w:p>
          <w:p w14:paraId="38117C58">
            <w:pPr>
              <w:pStyle w:val="105"/>
              <w:spacing w:line="360" w:lineRule="auto"/>
              <w:ind w:firstLine="480"/>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前处理线产生的氟化物经密闭收集后采用碱液喷淋法处理，然后经15m排气筒DA003排放。</w:t>
            </w:r>
          </w:p>
          <w:p w14:paraId="6E78484E">
            <w:pPr>
              <w:pStyle w:val="105"/>
              <w:spacing w:line="360" w:lineRule="auto"/>
              <w:ind w:firstLine="48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④设计参数：</w:t>
            </w:r>
          </w:p>
          <w:p w14:paraId="5543336E">
            <w:pPr>
              <w:pStyle w:val="105"/>
              <w:spacing w:line="360" w:lineRule="auto"/>
              <w:ind w:firstLine="480"/>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eastAsia="zh-CN"/>
              </w:rPr>
              <w:t>工件表面预处理</w:t>
            </w:r>
            <w:r>
              <w:rPr>
                <w:rFonts w:hint="default" w:ascii="Times New Roman" w:hAnsi="Times New Roman" w:eastAsia="宋体" w:cs="Times New Roman"/>
                <w:color w:val="auto"/>
                <w:sz w:val="24"/>
                <w:szCs w:val="24"/>
                <w:highlight w:val="none"/>
              </w:rPr>
              <w:t>各池体大小设计参数如下，水槽有效水深为0.8m：</w:t>
            </w:r>
          </w:p>
          <w:p w14:paraId="4E10C18E">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cs="Times New Roman"/>
                <w:color w:val="auto"/>
                <w:highlight w:val="none"/>
              </w:rPr>
            </w:pPr>
            <w:r>
              <w:rPr>
                <w:rFonts w:hint="default" w:ascii="Times New Roman" w:hAnsi="Times New Roman" w:cs="Times New Roman"/>
                <w:b/>
                <w:color w:val="auto"/>
                <w:sz w:val="21"/>
                <w:szCs w:val="21"/>
                <w:highlight w:val="none"/>
              </w:rPr>
              <w:t>预处理各池体参数表</w:t>
            </w:r>
          </w:p>
          <w:tbl>
            <w:tblPr>
              <w:tblStyle w:val="48"/>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54"/>
              <w:gridCol w:w="862"/>
              <w:gridCol w:w="626"/>
              <w:gridCol w:w="626"/>
              <w:gridCol w:w="628"/>
              <w:gridCol w:w="851"/>
              <w:gridCol w:w="1266"/>
              <w:gridCol w:w="851"/>
              <w:gridCol w:w="1292"/>
            </w:tblGrid>
            <w:tr w14:paraId="2AD7F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vMerge w:val="restart"/>
                  <w:tcBorders>
                    <w:tl2br w:val="nil"/>
                    <w:tr2bl w:val="nil"/>
                  </w:tcBorders>
                  <w:noWrap w:val="0"/>
                  <w:vAlign w:val="center"/>
                </w:tcPr>
                <w:p w14:paraId="0F438B39">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工艺流程</w:t>
                  </w:r>
                </w:p>
              </w:tc>
              <w:tc>
                <w:tcPr>
                  <w:tcW w:w="522" w:type="pct"/>
                  <w:vMerge w:val="restart"/>
                  <w:tcBorders>
                    <w:tl2br w:val="nil"/>
                    <w:tr2bl w:val="nil"/>
                  </w:tcBorders>
                  <w:noWrap w:val="0"/>
                  <w:vAlign w:val="center"/>
                </w:tcPr>
                <w:p w14:paraId="29C4066F">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处理方式</w:t>
                  </w:r>
                </w:p>
              </w:tc>
              <w:tc>
                <w:tcPr>
                  <w:tcW w:w="1138" w:type="pct"/>
                  <w:gridSpan w:val="3"/>
                  <w:tcBorders>
                    <w:tl2br w:val="nil"/>
                    <w:tr2bl w:val="nil"/>
                  </w:tcBorders>
                  <w:noWrap w:val="0"/>
                  <w:vAlign w:val="center"/>
                </w:tcPr>
                <w:p w14:paraId="12D297B6">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水槽内尺寸（m）</w:t>
                  </w:r>
                </w:p>
              </w:tc>
              <w:tc>
                <w:tcPr>
                  <w:tcW w:w="515" w:type="pct"/>
                  <w:vMerge w:val="restart"/>
                  <w:tcBorders>
                    <w:tl2br w:val="nil"/>
                    <w:tr2bl w:val="nil"/>
                  </w:tcBorders>
                  <w:noWrap w:val="0"/>
                  <w:vAlign w:val="center"/>
                </w:tcPr>
                <w:p w14:paraId="5CDB4E4B">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水池</w:t>
                  </w:r>
                  <w:r>
                    <w:rPr>
                      <w:rFonts w:hint="eastAsia" w:ascii="Times New Roman" w:hAnsi="Times New Roman" w:eastAsia="宋体" w:cs="Times New Roman"/>
                      <w:b/>
                      <w:bCs/>
                      <w:color w:val="auto"/>
                      <w:kern w:val="0"/>
                      <w:sz w:val="21"/>
                      <w:szCs w:val="21"/>
                      <w:highlight w:val="none"/>
                      <w:lang w:val="en-US" w:eastAsia="zh-CN" w:bidi="ar"/>
                    </w:rPr>
                    <w:t>有效容积</w:t>
                  </w:r>
                  <w:r>
                    <w:rPr>
                      <w:rFonts w:hint="default" w:ascii="Times New Roman" w:hAnsi="Times New Roman" w:eastAsia="宋体" w:cs="Times New Roman"/>
                      <w:b/>
                      <w:bCs/>
                      <w:color w:val="auto"/>
                      <w:kern w:val="0"/>
                      <w:sz w:val="21"/>
                      <w:szCs w:val="21"/>
                      <w:highlight w:val="none"/>
                      <w:lang w:val="en-US" w:eastAsia="zh-CN" w:bidi="ar"/>
                    </w:rPr>
                    <w:t>（m</w:t>
                  </w:r>
                  <w:r>
                    <w:rPr>
                      <w:rFonts w:hint="default" w:ascii="Times New Roman" w:hAnsi="Times New Roman" w:eastAsia="宋体" w:cs="Times New Roman"/>
                      <w:b/>
                      <w:bCs/>
                      <w:color w:val="auto"/>
                      <w:kern w:val="0"/>
                      <w:sz w:val="21"/>
                      <w:szCs w:val="21"/>
                      <w:highlight w:val="none"/>
                      <w:vertAlign w:val="superscript"/>
                      <w:lang w:val="en-US" w:eastAsia="zh-CN" w:bidi="ar"/>
                    </w:rPr>
                    <w:t>3</w:t>
                  </w:r>
                  <w:r>
                    <w:rPr>
                      <w:rFonts w:hint="default" w:ascii="Times New Roman" w:hAnsi="Times New Roman" w:eastAsia="宋体" w:cs="Times New Roman"/>
                      <w:b/>
                      <w:bCs/>
                      <w:color w:val="auto"/>
                      <w:kern w:val="0"/>
                      <w:sz w:val="21"/>
                      <w:szCs w:val="21"/>
                      <w:highlight w:val="none"/>
                      <w:lang w:val="en-US" w:eastAsia="zh-CN" w:bidi="ar"/>
                    </w:rPr>
                    <w:t>）</w:t>
                  </w:r>
                </w:p>
              </w:tc>
              <w:tc>
                <w:tcPr>
                  <w:tcW w:w="766" w:type="pct"/>
                  <w:vMerge w:val="restart"/>
                  <w:tcBorders>
                    <w:tl2br w:val="nil"/>
                    <w:tr2bl w:val="nil"/>
                  </w:tcBorders>
                  <w:noWrap w:val="0"/>
                  <w:vAlign w:val="center"/>
                </w:tcPr>
                <w:p w14:paraId="22B08C6A">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使用药剂</w:t>
                  </w:r>
                </w:p>
              </w:tc>
              <w:tc>
                <w:tcPr>
                  <w:tcW w:w="515" w:type="pct"/>
                  <w:vMerge w:val="restart"/>
                  <w:tcBorders>
                    <w:tl2br w:val="nil"/>
                    <w:tr2bl w:val="nil"/>
                  </w:tcBorders>
                  <w:noWrap w:val="0"/>
                  <w:vAlign w:val="center"/>
                </w:tcPr>
                <w:p w14:paraId="3AAFC78C">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槽液更换周期</w:t>
                  </w:r>
                </w:p>
              </w:tc>
              <w:tc>
                <w:tcPr>
                  <w:tcW w:w="782" w:type="pct"/>
                  <w:vMerge w:val="restart"/>
                  <w:tcBorders>
                    <w:tl2br w:val="nil"/>
                    <w:tr2bl w:val="nil"/>
                  </w:tcBorders>
                  <w:noWrap w:val="0"/>
                  <w:vAlign w:val="center"/>
                </w:tcPr>
                <w:p w14:paraId="2ACEE9EF">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处理去向</w:t>
                  </w:r>
                </w:p>
              </w:tc>
            </w:tr>
            <w:tr w14:paraId="5E6B4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vMerge w:val="continue"/>
                  <w:tcBorders>
                    <w:tl2br w:val="nil"/>
                    <w:tr2bl w:val="nil"/>
                  </w:tcBorders>
                  <w:noWrap w:val="0"/>
                  <w:vAlign w:val="center"/>
                </w:tcPr>
                <w:p w14:paraId="75500220">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p>
              </w:tc>
              <w:tc>
                <w:tcPr>
                  <w:tcW w:w="522" w:type="pct"/>
                  <w:vMerge w:val="continue"/>
                  <w:tcBorders>
                    <w:tl2br w:val="nil"/>
                    <w:tr2bl w:val="nil"/>
                  </w:tcBorders>
                  <w:noWrap w:val="0"/>
                  <w:vAlign w:val="center"/>
                </w:tcPr>
                <w:p w14:paraId="70B5B20D">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p>
              </w:tc>
              <w:tc>
                <w:tcPr>
                  <w:tcW w:w="379" w:type="pct"/>
                  <w:tcBorders>
                    <w:tl2br w:val="nil"/>
                    <w:tr2bl w:val="nil"/>
                  </w:tcBorders>
                  <w:noWrap/>
                  <w:vAlign w:val="center"/>
                </w:tcPr>
                <w:p w14:paraId="576A5A30">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长</w:t>
                  </w:r>
                </w:p>
              </w:tc>
              <w:tc>
                <w:tcPr>
                  <w:tcW w:w="379" w:type="pct"/>
                  <w:tcBorders>
                    <w:tl2br w:val="nil"/>
                    <w:tr2bl w:val="nil"/>
                  </w:tcBorders>
                  <w:noWrap/>
                  <w:vAlign w:val="center"/>
                </w:tcPr>
                <w:p w14:paraId="06435786">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宽</w:t>
                  </w:r>
                </w:p>
              </w:tc>
              <w:tc>
                <w:tcPr>
                  <w:tcW w:w="379" w:type="pct"/>
                  <w:tcBorders>
                    <w:tl2br w:val="nil"/>
                    <w:tr2bl w:val="nil"/>
                  </w:tcBorders>
                  <w:noWrap/>
                  <w:vAlign w:val="center"/>
                </w:tcPr>
                <w:p w14:paraId="5232CBB1">
                  <w:pPr>
                    <w:adjustRightInd w:val="0"/>
                    <w:snapToGrid w:val="0"/>
                    <w:spacing w:line="240" w:lineRule="auto"/>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highlight w:val="none"/>
                      <w:lang w:val="en-US" w:eastAsia="zh-CN" w:bidi="ar"/>
                    </w:rPr>
                    <w:t>高</w:t>
                  </w:r>
                </w:p>
              </w:tc>
              <w:tc>
                <w:tcPr>
                  <w:tcW w:w="515" w:type="pct"/>
                  <w:vMerge w:val="continue"/>
                  <w:tcBorders>
                    <w:tl2br w:val="nil"/>
                    <w:tr2bl w:val="nil"/>
                  </w:tcBorders>
                  <w:noWrap w:val="0"/>
                  <w:vAlign w:val="center"/>
                </w:tcPr>
                <w:p w14:paraId="524F7D7A">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p>
              </w:tc>
              <w:tc>
                <w:tcPr>
                  <w:tcW w:w="766" w:type="pct"/>
                  <w:vMerge w:val="continue"/>
                  <w:tcBorders>
                    <w:tl2br w:val="nil"/>
                    <w:tr2bl w:val="nil"/>
                  </w:tcBorders>
                  <w:noWrap w:val="0"/>
                  <w:vAlign w:val="center"/>
                </w:tcPr>
                <w:p w14:paraId="38F6F85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p>
              </w:tc>
              <w:tc>
                <w:tcPr>
                  <w:tcW w:w="515" w:type="pct"/>
                  <w:vMerge w:val="continue"/>
                  <w:tcBorders>
                    <w:tl2br w:val="nil"/>
                    <w:tr2bl w:val="nil"/>
                  </w:tcBorders>
                  <w:noWrap w:val="0"/>
                  <w:vAlign w:val="center"/>
                </w:tcPr>
                <w:p w14:paraId="47538E18">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p>
              </w:tc>
              <w:tc>
                <w:tcPr>
                  <w:tcW w:w="782" w:type="pct"/>
                  <w:vMerge w:val="continue"/>
                  <w:tcBorders>
                    <w:tl2br w:val="nil"/>
                    <w:tr2bl w:val="nil"/>
                  </w:tcBorders>
                  <w:noWrap w:val="0"/>
                  <w:vAlign w:val="center"/>
                </w:tcPr>
                <w:p w14:paraId="05F97FED">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p>
              </w:tc>
            </w:tr>
            <w:tr w14:paraId="3BD51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435DBD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预</w:t>
                  </w:r>
                  <w:r>
                    <w:rPr>
                      <w:rFonts w:hint="default" w:ascii="Times New Roman" w:hAnsi="Times New Roman" w:eastAsia="宋体" w:cs="Times New Roman"/>
                      <w:color w:val="auto"/>
                      <w:sz w:val="21"/>
                      <w:szCs w:val="21"/>
                      <w:highlight w:val="none"/>
                      <w:lang w:val="en-US" w:eastAsia="zh-CN"/>
                    </w:rPr>
                    <w:t>水洗</w:t>
                  </w:r>
                  <w:r>
                    <w:rPr>
                      <w:rFonts w:hint="default" w:ascii="Times New Roman" w:hAnsi="Times New Roman" w:eastAsia="宋体" w:cs="Times New Roman"/>
                      <w:color w:val="auto"/>
                      <w:sz w:val="21"/>
                      <w:szCs w:val="21"/>
                      <w:highlight w:val="none"/>
                    </w:rPr>
                    <w:t>池</w:t>
                  </w:r>
                </w:p>
              </w:tc>
              <w:tc>
                <w:tcPr>
                  <w:tcW w:w="522" w:type="pct"/>
                  <w:tcBorders>
                    <w:tl2br w:val="nil"/>
                    <w:tr2bl w:val="nil"/>
                  </w:tcBorders>
                  <w:noWrap w:val="0"/>
                  <w:vAlign w:val="center"/>
                </w:tcPr>
                <w:p w14:paraId="65390EA7">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1C6EE410">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w:t>
                  </w:r>
                </w:p>
              </w:tc>
              <w:tc>
                <w:tcPr>
                  <w:tcW w:w="379" w:type="pct"/>
                  <w:tcBorders>
                    <w:tl2br w:val="nil"/>
                    <w:tr2bl w:val="nil"/>
                  </w:tcBorders>
                  <w:noWrap/>
                  <w:vAlign w:val="center"/>
                </w:tcPr>
                <w:p w14:paraId="20FFE281">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64F012BA">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7A81FA4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766" w:type="pct"/>
                  <w:tcBorders>
                    <w:tl2br w:val="nil"/>
                    <w:tr2bl w:val="nil"/>
                  </w:tcBorders>
                  <w:noWrap w:val="0"/>
                  <w:vAlign w:val="center"/>
                </w:tcPr>
                <w:p w14:paraId="13696EC0">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w:t>
                  </w:r>
                </w:p>
              </w:tc>
              <w:tc>
                <w:tcPr>
                  <w:tcW w:w="853" w:type="dxa"/>
                  <w:tcBorders>
                    <w:tl2br w:val="nil"/>
                    <w:tr2bl w:val="nil"/>
                  </w:tcBorders>
                  <w:noWrap w:val="0"/>
                  <w:vAlign w:val="center"/>
                </w:tcPr>
                <w:p w14:paraId="6F0370A0">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1次/月</w:t>
                  </w:r>
                </w:p>
              </w:tc>
              <w:tc>
                <w:tcPr>
                  <w:tcW w:w="782" w:type="pct"/>
                  <w:vMerge w:val="restart"/>
                  <w:tcBorders>
                    <w:tl2br w:val="nil"/>
                    <w:tr2bl w:val="nil"/>
                  </w:tcBorders>
                  <w:noWrap w:val="0"/>
                  <w:vAlign w:val="center"/>
                </w:tcPr>
                <w:p w14:paraId="382C6C07">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污水</w:t>
                  </w:r>
                  <w:r>
                    <w:rPr>
                      <w:rFonts w:hint="default" w:ascii="Times New Roman" w:hAnsi="Times New Roman" w:eastAsia="宋体" w:cs="Times New Roman"/>
                      <w:color w:val="auto"/>
                      <w:kern w:val="0"/>
                      <w:sz w:val="21"/>
                      <w:szCs w:val="21"/>
                      <w:highlight w:val="none"/>
                      <w:lang w:val="en-US" w:eastAsia="zh-CN" w:bidi="ar"/>
                    </w:rPr>
                    <w:t>处理站</w:t>
                  </w:r>
                </w:p>
              </w:tc>
            </w:tr>
            <w:tr w14:paraId="74C75A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2387DD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
                    </w:rPr>
                    <w:t>预脱脂</w:t>
                  </w:r>
                  <w:r>
                    <w:rPr>
                      <w:rFonts w:hint="default" w:ascii="Times New Roman" w:hAnsi="Times New Roman" w:eastAsia="宋体" w:cs="Times New Roman"/>
                      <w:color w:val="auto"/>
                      <w:sz w:val="21"/>
                      <w:szCs w:val="21"/>
                      <w:highlight w:val="none"/>
                      <w:lang w:bidi="ar"/>
                    </w:rPr>
                    <w:t>池</w:t>
                  </w:r>
                </w:p>
              </w:tc>
              <w:tc>
                <w:tcPr>
                  <w:tcW w:w="522" w:type="pct"/>
                  <w:tcBorders>
                    <w:tl2br w:val="nil"/>
                    <w:tr2bl w:val="nil"/>
                  </w:tcBorders>
                  <w:noWrap w:val="0"/>
                  <w:vAlign w:val="center"/>
                </w:tcPr>
                <w:p w14:paraId="49C29888">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7C365509">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7</w:t>
                  </w:r>
                </w:p>
              </w:tc>
              <w:tc>
                <w:tcPr>
                  <w:tcW w:w="379" w:type="pct"/>
                  <w:tcBorders>
                    <w:tl2br w:val="nil"/>
                    <w:tr2bl w:val="nil"/>
                  </w:tcBorders>
                  <w:noWrap/>
                  <w:vAlign w:val="center"/>
                </w:tcPr>
                <w:p w14:paraId="131A185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7DFAA82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7EA21FC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766" w:type="pct"/>
                  <w:tcBorders>
                    <w:tl2br w:val="nil"/>
                    <w:tr2bl w:val="nil"/>
                  </w:tcBorders>
                  <w:noWrap w:val="0"/>
                  <w:vAlign w:val="center"/>
                </w:tcPr>
                <w:p w14:paraId="3F8872C2">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除油</w:t>
                  </w:r>
                  <w:r>
                    <w:rPr>
                      <w:rFonts w:hint="default" w:ascii="Times New Roman" w:hAnsi="Times New Roman" w:eastAsia="宋体" w:cs="Times New Roman"/>
                      <w:color w:val="auto"/>
                      <w:kern w:val="0"/>
                      <w:sz w:val="21"/>
                      <w:szCs w:val="21"/>
                      <w:highlight w:val="none"/>
                      <w:lang w:val="en-US" w:eastAsia="zh-CN" w:bidi="ar"/>
                    </w:rPr>
                    <w:t>剂</w:t>
                  </w:r>
                </w:p>
              </w:tc>
              <w:tc>
                <w:tcPr>
                  <w:tcW w:w="853" w:type="dxa"/>
                  <w:tcBorders>
                    <w:tl2br w:val="nil"/>
                    <w:tr2bl w:val="nil"/>
                  </w:tcBorders>
                  <w:noWrap w:val="0"/>
                  <w:vAlign w:val="center"/>
                </w:tcPr>
                <w:p w14:paraId="45BF6475">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1次/季</w:t>
                  </w:r>
                </w:p>
              </w:tc>
              <w:tc>
                <w:tcPr>
                  <w:tcW w:w="782" w:type="pct"/>
                  <w:vMerge w:val="continue"/>
                  <w:tcBorders>
                    <w:tl2br w:val="nil"/>
                    <w:tr2bl w:val="nil"/>
                  </w:tcBorders>
                  <w:noWrap w:val="0"/>
                  <w:vAlign w:val="center"/>
                </w:tcPr>
                <w:p w14:paraId="094CDD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lang w:val="en-US" w:eastAsia="zh-CN"/>
                    </w:rPr>
                  </w:pPr>
                </w:p>
              </w:tc>
            </w:tr>
            <w:tr w14:paraId="4399D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705AF9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
                    </w:rPr>
                    <w:t>脱脂</w:t>
                  </w:r>
                  <w:r>
                    <w:rPr>
                      <w:rFonts w:hint="default" w:ascii="Times New Roman" w:hAnsi="Times New Roman" w:eastAsia="宋体" w:cs="Times New Roman"/>
                      <w:color w:val="auto"/>
                      <w:sz w:val="21"/>
                      <w:szCs w:val="21"/>
                      <w:highlight w:val="none"/>
                      <w:lang w:bidi="ar"/>
                    </w:rPr>
                    <w:t>池</w:t>
                  </w:r>
                </w:p>
              </w:tc>
              <w:tc>
                <w:tcPr>
                  <w:tcW w:w="522" w:type="pct"/>
                  <w:tcBorders>
                    <w:tl2br w:val="nil"/>
                    <w:tr2bl w:val="nil"/>
                  </w:tcBorders>
                  <w:noWrap w:val="0"/>
                  <w:vAlign w:val="center"/>
                </w:tcPr>
                <w:p w14:paraId="1D66969F">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50412E3F">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7</w:t>
                  </w:r>
                </w:p>
              </w:tc>
              <w:tc>
                <w:tcPr>
                  <w:tcW w:w="379" w:type="pct"/>
                  <w:tcBorders>
                    <w:tl2br w:val="nil"/>
                    <w:tr2bl w:val="nil"/>
                  </w:tcBorders>
                  <w:noWrap/>
                  <w:vAlign w:val="center"/>
                </w:tcPr>
                <w:p w14:paraId="1FCB5337">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1A3012CE">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633289F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11.2</w:t>
                  </w:r>
                </w:p>
              </w:tc>
              <w:tc>
                <w:tcPr>
                  <w:tcW w:w="766" w:type="pct"/>
                  <w:tcBorders>
                    <w:tl2br w:val="nil"/>
                    <w:tr2bl w:val="nil"/>
                  </w:tcBorders>
                  <w:noWrap w:val="0"/>
                  <w:vAlign w:val="center"/>
                </w:tcPr>
                <w:p w14:paraId="061090BF">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除油</w:t>
                  </w:r>
                  <w:r>
                    <w:rPr>
                      <w:rFonts w:hint="default" w:ascii="Times New Roman" w:hAnsi="Times New Roman" w:eastAsia="宋体" w:cs="Times New Roman"/>
                      <w:color w:val="auto"/>
                      <w:kern w:val="0"/>
                      <w:sz w:val="21"/>
                      <w:szCs w:val="21"/>
                      <w:highlight w:val="none"/>
                      <w:lang w:val="en-US" w:eastAsia="zh-CN" w:bidi="ar"/>
                    </w:rPr>
                    <w:t>剂</w:t>
                  </w:r>
                </w:p>
              </w:tc>
              <w:tc>
                <w:tcPr>
                  <w:tcW w:w="853" w:type="dxa"/>
                  <w:tcBorders>
                    <w:tl2br w:val="nil"/>
                    <w:tr2bl w:val="nil"/>
                  </w:tcBorders>
                  <w:noWrap w:val="0"/>
                  <w:vAlign w:val="center"/>
                </w:tcPr>
                <w:p w14:paraId="033360B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1次/季</w:t>
                  </w:r>
                </w:p>
              </w:tc>
              <w:tc>
                <w:tcPr>
                  <w:tcW w:w="782" w:type="pct"/>
                  <w:vMerge w:val="continue"/>
                  <w:tcBorders>
                    <w:tl2br w:val="nil"/>
                    <w:tr2bl w:val="nil"/>
                  </w:tcBorders>
                  <w:noWrap w:val="0"/>
                  <w:vAlign w:val="center"/>
                </w:tcPr>
                <w:p w14:paraId="2C7357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79F9D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30D018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bidi="ar"/>
                    </w:rPr>
                    <w:t>1</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522" w:type="pct"/>
                  <w:tcBorders>
                    <w:tl2br w:val="nil"/>
                    <w:tr2bl w:val="nil"/>
                  </w:tcBorders>
                  <w:noWrap w:val="0"/>
                  <w:vAlign w:val="center"/>
                </w:tcPr>
                <w:p w14:paraId="74FA1F0A">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021D404B">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w:t>
                  </w:r>
                  <w:r>
                    <w:rPr>
                      <w:rFonts w:hint="eastAsia" w:cs="Times New Roman"/>
                      <w:color w:val="auto"/>
                      <w:kern w:val="0"/>
                      <w:sz w:val="21"/>
                      <w:szCs w:val="21"/>
                      <w:highlight w:val="none"/>
                      <w:lang w:val="en-US" w:eastAsia="zh-CN" w:bidi="ar"/>
                    </w:rPr>
                    <w:t>.5</w:t>
                  </w:r>
                </w:p>
              </w:tc>
              <w:tc>
                <w:tcPr>
                  <w:tcW w:w="379" w:type="pct"/>
                  <w:tcBorders>
                    <w:tl2br w:val="nil"/>
                    <w:tr2bl w:val="nil"/>
                  </w:tcBorders>
                  <w:noWrap/>
                  <w:vAlign w:val="center"/>
                </w:tcPr>
                <w:p w14:paraId="3C9C90EE">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1E525D25">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482BC8B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766" w:type="pct"/>
                  <w:tcBorders>
                    <w:tl2br w:val="nil"/>
                    <w:tr2bl w:val="nil"/>
                  </w:tcBorders>
                  <w:noWrap w:val="0"/>
                  <w:vAlign w:val="center"/>
                </w:tcPr>
                <w:p w14:paraId="58EBE3CF">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853" w:type="dxa"/>
                  <w:tcBorders>
                    <w:tl2br w:val="nil"/>
                    <w:tr2bl w:val="nil"/>
                  </w:tcBorders>
                  <w:noWrap w:val="0"/>
                  <w:vAlign w:val="center"/>
                </w:tcPr>
                <w:p w14:paraId="4A6C928A">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1次/月</w:t>
                  </w:r>
                </w:p>
              </w:tc>
              <w:tc>
                <w:tcPr>
                  <w:tcW w:w="782" w:type="pct"/>
                  <w:vMerge w:val="continue"/>
                  <w:tcBorders>
                    <w:tl2br w:val="nil"/>
                    <w:tr2bl w:val="nil"/>
                  </w:tcBorders>
                  <w:noWrap w:val="0"/>
                  <w:vAlign w:val="center"/>
                </w:tcPr>
                <w:p w14:paraId="06135B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5C598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12BD13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2</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522" w:type="pct"/>
                  <w:tcBorders>
                    <w:tl2br w:val="nil"/>
                    <w:tr2bl w:val="nil"/>
                  </w:tcBorders>
                  <w:noWrap w:val="0"/>
                  <w:vAlign w:val="center"/>
                </w:tcPr>
                <w:p w14:paraId="0CCC3F05">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45B47DC8">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3</w:t>
                  </w:r>
                  <w:r>
                    <w:rPr>
                      <w:rFonts w:hint="eastAsia" w:cs="Times New Roman"/>
                      <w:color w:val="auto"/>
                      <w:kern w:val="0"/>
                      <w:sz w:val="21"/>
                      <w:szCs w:val="21"/>
                      <w:highlight w:val="none"/>
                      <w:lang w:val="en-US" w:eastAsia="zh-CN" w:bidi="ar"/>
                    </w:rPr>
                    <w:t>.5</w:t>
                  </w:r>
                </w:p>
              </w:tc>
              <w:tc>
                <w:tcPr>
                  <w:tcW w:w="379" w:type="pct"/>
                  <w:tcBorders>
                    <w:tl2br w:val="nil"/>
                    <w:tr2bl w:val="nil"/>
                  </w:tcBorders>
                  <w:noWrap/>
                  <w:vAlign w:val="center"/>
                </w:tcPr>
                <w:p w14:paraId="0E49B074">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643079BF">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199F848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766" w:type="pct"/>
                  <w:tcBorders>
                    <w:tl2br w:val="nil"/>
                    <w:tr2bl w:val="nil"/>
                  </w:tcBorders>
                  <w:noWrap w:val="0"/>
                  <w:vAlign w:val="center"/>
                </w:tcPr>
                <w:p w14:paraId="3BCC490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853" w:type="dxa"/>
                  <w:tcBorders>
                    <w:tl2br w:val="nil"/>
                    <w:tr2bl w:val="nil"/>
                  </w:tcBorders>
                  <w:noWrap w:val="0"/>
                  <w:vAlign w:val="center"/>
                </w:tcPr>
                <w:p w14:paraId="0BCC2953">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1次/月</w:t>
                  </w:r>
                </w:p>
              </w:tc>
              <w:tc>
                <w:tcPr>
                  <w:tcW w:w="782" w:type="pct"/>
                  <w:vMerge w:val="continue"/>
                  <w:tcBorders>
                    <w:tl2br w:val="nil"/>
                    <w:tr2bl w:val="nil"/>
                  </w:tcBorders>
                  <w:noWrap w:val="0"/>
                  <w:vAlign w:val="center"/>
                </w:tcPr>
                <w:p w14:paraId="628D3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30B18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378B2F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清</w:t>
                  </w:r>
                  <w:r>
                    <w:rPr>
                      <w:rFonts w:hint="default" w:ascii="Times New Roman" w:hAnsi="Times New Roman" w:eastAsia="宋体" w:cs="Times New Roman"/>
                      <w:color w:val="auto"/>
                      <w:sz w:val="21"/>
                      <w:szCs w:val="21"/>
                      <w:highlight w:val="none"/>
                      <w:lang w:bidi="ar"/>
                    </w:rPr>
                    <w:t>水洗池</w:t>
                  </w:r>
                </w:p>
              </w:tc>
              <w:tc>
                <w:tcPr>
                  <w:tcW w:w="522" w:type="pct"/>
                  <w:tcBorders>
                    <w:tl2br w:val="nil"/>
                    <w:tr2bl w:val="nil"/>
                  </w:tcBorders>
                  <w:noWrap w:val="0"/>
                  <w:vAlign w:val="center"/>
                </w:tcPr>
                <w:p w14:paraId="2773DF6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59F321C5">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w:t>
                  </w:r>
                </w:p>
              </w:tc>
              <w:tc>
                <w:tcPr>
                  <w:tcW w:w="379" w:type="pct"/>
                  <w:tcBorders>
                    <w:tl2br w:val="nil"/>
                    <w:tr2bl w:val="nil"/>
                  </w:tcBorders>
                  <w:noWrap/>
                  <w:vAlign w:val="center"/>
                </w:tcPr>
                <w:p w14:paraId="73424548">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13AC7E11">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63D7E95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766" w:type="pct"/>
                  <w:tcBorders>
                    <w:tl2br w:val="nil"/>
                    <w:tr2bl w:val="nil"/>
                  </w:tcBorders>
                  <w:noWrap w:val="0"/>
                  <w:vAlign w:val="center"/>
                </w:tcPr>
                <w:p w14:paraId="6F8C4904">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853" w:type="dxa"/>
                  <w:tcBorders>
                    <w:tl2br w:val="nil"/>
                    <w:tr2bl w:val="nil"/>
                  </w:tcBorders>
                  <w:noWrap w:val="0"/>
                  <w:vAlign w:val="center"/>
                </w:tcPr>
                <w:p w14:paraId="7B5E8BD6">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1次/月</w:t>
                  </w:r>
                </w:p>
              </w:tc>
              <w:tc>
                <w:tcPr>
                  <w:tcW w:w="782" w:type="pct"/>
                  <w:vMerge w:val="continue"/>
                  <w:tcBorders>
                    <w:tl2br w:val="nil"/>
                    <w:tr2bl w:val="nil"/>
                  </w:tcBorders>
                  <w:noWrap w:val="0"/>
                  <w:vAlign w:val="center"/>
                </w:tcPr>
                <w:p w14:paraId="30AEB5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r>
            <w:tr w14:paraId="15600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26F9BC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无铬钝化池</w:t>
                  </w:r>
                </w:p>
              </w:tc>
              <w:tc>
                <w:tcPr>
                  <w:tcW w:w="522" w:type="pct"/>
                  <w:tcBorders>
                    <w:tl2br w:val="nil"/>
                    <w:tr2bl w:val="nil"/>
                  </w:tcBorders>
                  <w:noWrap w:val="0"/>
                  <w:vAlign w:val="center"/>
                </w:tcPr>
                <w:p w14:paraId="79DD11BC">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516E4AD4">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w:t>
                  </w:r>
                  <w:r>
                    <w:rPr>
                      <w:rFonts w:hint="default" w:ascii="Times New Roman" w:hAnsi="Times New Roman" w:eastAsia="宋体" w:cs="Times New Roman"/>
                      <w:color w:val="auto"/>
                      <w:kern w:val="0"/>
                      <w:sz w:val="21"/>
                      <w:szCs w:val="21"/>
                      <w:highlight w:val="none"/>
                      <w:lang w:val="en-US" w:eastAsia="zh-CN" w:bidi="ar"/>
                    </w:rPr>
                    <w:t>.5</w:t>
                  </w:r>
                </w:p>
              </w:tc>
              <w:tc>
                <w:tcPr>
                  <w:tcW w:w="379" w:type="pct"/>
                  <w:tcBorders>
                    <w:tl2br w:val="nil"/>
                    <w:tr2bl w:val="nil"/>
                  </w:tcBorders>
                  <w:noWrap/>
                  <w:vAlign w:val="center"/>
                </w:tcPr>
                <w:p w14:paraId="21EF25C3">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ign w:val="center"/>
                </w:tcPr>
                <w:p w14:paraId="3C1941C3">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28ED22E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5.6</w:t>
                  </w:r>
                </w:p>
              </w:tc>
              <w:tc>
                <w:tcPr>
                  <w:tcW w:w="766" w:type="pct"/>
                  <w:tcBorders>
                    <w:tl2br w:val="nil"/>
                    <w:tr2bl w:val="nil"/>
                  </w:tcBorders>
                  <w:noWrap w:val="0"/>
                  <w:vAlign w:val="center"/>
                </w:tcPr>
                <w:p w14:paraId="72D02E20">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无铬钝化剂</w:t>
                  </w:r>
                </w:p>
              </w:tc>
              <w:tc>
                <w:tcPr>
                  <w:tcW w:w="853" w:type="dxa"/>
                  <w:tcBorders>
                    <w:tl2br w:val="nil"/>
                    <w:tr2bl w:val="nil"/>
                  </w:tcBorders>
                  <w:noWrap w:val="0"/>
                  <w:vAlign w:val="center"/>
                </w:tcPr>
                <w:p w14:paraId="38CCBE18">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1次/季</w:t>
                  </w:r>
                </w:p>
              </w:tc>
              <w:tc>
                <w:tcPr>
                  <w:tcW w:w="782" w:type="pct"/>
                  <w:tcBorders>
                    <w:tl2br w:val="nil"/>
                    <w:tr2bl w:val="nil"/>
                  </w:tcBorders>
                  <w:noWrap w:val="0"/>
                  <w:vAlign w:val="center"/>
                </w:tcPr>
                <w:p w14:paraId="5F7307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eastAsia" w:ascii="Times New Roman" w:hAnsi="Times New Roman" w:eastAsia="宋体" w:cs="Times New Roman"/>
                      <w:i w:val="0"/>
                      <w:iCs w:val="0"/>
                      <w:color w:val="auto"/>
                      <w:sz w:val="21"/>
                      <w:szCs w:val="21"/>
                      <w:highlight w:val="none"/>
                      <w:u w:val="none"/>
                      <w:lang w:val="en-US" w:eastAsia="zh-CN"/>
                    </w:rPr>
                    <w:t>委外处置</w:t>
                  </w:r>
                </w:p>
              </w:tc>
            </w:tr>
            <w:tr w14:paraId="1E2EB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59" w:type="pct"/>
                  <w:tcBorders>
                    <w:tl2br w:val="nil"/>
                    <w:tr2bl w:val="nil"/>
                  </w:tcBorders>
                  <w:noWrap w:val="0"/>
                  <w:vAlign w:val="center"/>
                </w:tcPr>
                <w:p w14:paraId="13D0C0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3</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宋体" w:cs="Times New Roman"/>
                      <w:color w:val="auto"/>
                      <w:sz w:val="21"/>
                      <w:szCs w:val="21"/>
                      <w:highlight w:val="none"/>
                      <w:lang w:bidi="ar"/>
                    </w:rPr>
                    <w:t>水洗池</w:t>
                  </w:r>
                </w:p>
              </w:tc>
              <w:tc>
                <w:tcPr>
                  <w:tcW w:w="522" w:type="pct"/>
                  <w:tcBorders>
                    <w:tl2br w:val="nil"/>
                    <w:tr2bl w:val="nil"/>
                  </w:tcBorders>
                  <w:noWrap w:val="0"/>
                  <w:vAlign w:val="center"/>
                </w:tcPr>
                <w:p w14:paraId="5484A354">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喷淋式</w:t>
                  </w:r>
                </w:p>
              </w:tc>
              <w:tc>
                <w:tcPr>
                  <w:tcW w:w="379" w:type="pct"/>
                  <w:tcBorders>
                    <w:tl2br w:val="nil"/>
                    <w:tr2bl w:val="nil"/>
                  </w:tcBorders>
                  <w:noWrap w:val="0"/>
                  <w:vAlign w:val="center"/>
                </w:tcPr>
                <w:p w14:paraId="5808587F">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w:t>
                  </w:r>
                </w:p>
              </w:tc>
              <w:tc>
                <w:tcPr>
                  <w:tcW w:w="379" w:type="pct"/>
                  <w:tcBorders>
                    <w:tl2br w:val="nil"/>
                    <w:tr2bl w:val="nil"/>
                  </w:tcBorders>
                  <w:noWrap w:val="0"/>
                  <w:vAlign w:val="center"/>
                </w:tcPr>
                <w:p w14:paraId="0BA3E1DA">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p>
              </w:tc>
              <w:tc>
                <w:tcPr>
                  <w:tcW w:w="379" w:type="pct"/>
                  <w:tcBorders>
                    <w:tl2br w:val="nil"/>
                    <w:tr2bl w:val="nil"/>
                  </w:tcBorders>
                  <w:noWrap w:val="0"/>
                  <w:vAlign w:val="center"/>
                </w:tcPr>
                <w:p w14:paraId="339FF915">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p>
              </w:tc>
              <w:tc>
                <w:tcPr>
                  <w:tcW w:w="515" w:type="pct"/>
                  <w:tcBorders>
                    <w:tl2br w:val="nil"/>
                    <w:tr2bl w:val="nil"/>
                  </w:tcBorders>
                  <w:noWrap w:val="0"/>
                  <w:vAlign w:val="center"/>
                </w:tcPr>
                <w:p w14:paraId="67FE111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3.2</w:t>
                  </w:r>
                </w:p>
              </w:tc>
              <w:tc>
                <w:tcPr>
                  <w:tcW w:w="766" w:type="pct"/>
                  <w:tcBorders>
                    <w:tl2br w:val="nil"/>
                    <w:tr2bl w:val="nil"/>
                  </w:tcBorders>
                  <w:noWrap w:val="0"/>
                  <w:vAlign w:val="center"/>
                </w:tcPr>
                <w:p w14:paraId="2F6CCE66">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853" w:type="dxa"/>
                  <w:tcBorders>
                    <w:tl2br w:val="nil"/>
                    <w:tr2bl w:val="nil"/>
                  </w:tcBorders>
                  <w:noWrap w:val="0"/>
                  <w:vAlign w:val="center"/>
                </w:tcPr>
                <w:p w14:paraId="7F381492">
                  <w:pPr>
                    <w:adjustRightInd w:val="0"/>
                    <w:snapToGrid w:val="0"/>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1次/月</w:t>
                  </w:r>
                </w:p>
              </w:tc>
              <w:tc>
                <w:tcPr>
                  <w:tcW w:w="782" w:type="pct"/>
                  <w:tcBorders>
                    <w:tl2br w:val="nil"/>
                    <w:tr2bl w:val="nil"/>
                  </w:tcBorders>
                  <w:noWrap w:val="0"/>
                  <w:vAlign w:val="center"/>
                </w:tcPr>
                <w:p w14:paraId="07B24E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r>
                    <w:rPr>
                      <w:rFonts w:hint="eastAsia" w:cs="Times New Roman"/>
                      <w:color w:val="auto"/>
                      <w:kern w:val="0"/>
                      <w:sz w:val="21"/>
                      <w:szCs w:val="21"/>
                      <w:highlight w:val="none"/>
                      <w:lang w:val="en-US" w:eastAsia="zh-CN" w:bidi="ar"/>
                    </w:rPr>
                    <w:t>污水</w:t>
                  </w:r>
                  <w:r>
                    <w:rPr>
                      <w:rFonts w:hint="default" w:ascii="Times New Roman" w:hAnsi="Times New Roman" w:eastAsia="宋体" w:cs="Times New Roman"/>
                      <w:color w:val="auto"/>
                      <w:kern w:val="0"/>
                      <w:sz w:val="21"/>
                      <w:szCs w:val="21"/>
                      <w:highlight w:val="none"/>
                      <w:lang w:val="en-US" w:eastAsia="zh-CN" w:bidi="ar"/>
                    </w:rPr>
                    <w:t>处理站</w:t>
                  </w:r>
                </w:p>
              </w:tc>
            </w:tr>
          </w:tbl>
          <w:p w14:paraId="7B53AD97">
            <w:pPr>
              <w:keepNext w:val="0"/>
              <w:keepLines w:val="0"/>
              <w:pageBreakBefore w:val="0"/>
              <w:widowControl/>
              <w:kinsoku/>
              <w:wordWrap/>
              <w:overflowPunct/>
              <w:topLinePunct w:val="0"/>
              <w:autoSpaceDE/>
              <w:autoSpaceDN/>
              <w:bidi w:val="0"/>
              <w:adjustRightInd/>
              <w:snapToGrid/>
              <w:spacing w:line="100" w:lineRule="exact"/>
              <w:ind w:firstLine="478" w:firstLineChars="200"/>
              <w:jc w:val="left"/>
              <w:textAlignment w:val="auto"/>
              <w:rPr>
                <w:rFonts w:hint="default" w:ascii="Times New Roman" w:hAnsi="Times New Roman" w:eastAsia="宋体" w:cs="Times New Roman"/>
                <w:b/>
                <w:bCs/>
                <w:color w:val="auto"/>
                <w:spacing w:val="-1"/>
                <w:sz w:val="24"/>
                <w:szCs w:val="24"/>
                <w:highlight w:val="none"/>
              </w:rPr>
            </w:pPr>
          </w:p>
          <w:p w14:paraId="4A718520">
            <w:pPr>
              <w:pStyle w:val="105"/>
              <w:ind w:firstLine="480"/>
              <w:rPr>
                <w:rFonts w:hint="default" w:ascii="Times New Roman" w:hAnsi="Times New Roman" w:cs="Times New Roman"/>
                <w:color w:val="auto"/>
                <w:highlight w:val="none"/>
              </w:rPr>
            </w:pPr>
            <w:r>
              <w:rPr>
                <w:rFonts w:hint="default" w:ascii="Times New Roman" w:hAnsi="Times New Roman" w:cs="Times New Roman"/>
                <w:b/>
                <w:color w:val="auto"/>
                <w:highlight w:val="none"/>
              </w:rPr>
              <w:t>（</w:t>
            </w:r>
            <w:r>
              <w:rPr>
                <w:rFonts w:hint="eastAsia" w:cs="Times New Roman"/>
                <w:b/>
                <w:color w:val="auto"/>
                <w:highlight w:val="none"/>
                <w:lang w:val="en-US" w:eastAsia="zh-CN"/>
              </w:rPr>
              <w:t>4</w:t>
            </w:r>
            <w:r>
              <w:rPr>
                <w:rFonts w:hint="default" w:ascii="Times New Roman" w:hAnsi="Times New Roman" w:cs="Times New Roman"/>
                <w:b/>
                <w:color w:val="auto"/>
                <w:highlight w:val="none"/>
              </w:rPr>
              <w:t>）烘干：</w:t>
            </w:r>
            <w:r>
              <w:rPr>
                <w:rFonts w:hint="default" w:ascii="Times New Roman" w:hAnsi="Times New Roman" w:cs="Times New Roman"/>
                <w:color w:val="auto"/>
                <w:highlight w:val="none"/>
              </w:rPr>
              <w:t>成型铝板材经钝化处理后，内设</w:t>
            </w:r>
            <w:r>
              <w:rPr>
                <w:rFonts w:hint="eastAsia" w:cs="Times New Roman"/>
                <w:color w:val="auto"/>
                <w:highlight w:val="none"/>
                <w:lang w:val="en-US" w:eastAsia="zh-CN"/>
              </w:rPr>
              <w:t>电</w:t>
            </w:r>
            <w:r>
              <w:rPr>
                <w:rFonts w:hint="default" w:ascii="Times New Roman" w:hAnsi="Times New Roman" w:cs="Times New Roman"/>
                <w:color w:val="auto"/>
                <w:highlight w:val="none"/>
              </w:rPr>
              <w:t>热风循环式烤炉</w:t>
            </w:r>
            <w:r>
              <w:rPr>
                <w:rFonts w:hint="eastAsia" w:cs="Times New Roman"/>
                <w:color w:val="auto"/>
                <w:highlight w:val="none"/>
                <w:lang w:val="en-US" w:eastAsia="zh-CN"/>
              </w:rPr>
              <w:t>进行烘烤</w:t>
            </w:r>
            <w:r>
              <w:rPr>
                <w:rFonts w:hint="default" w:ascii="Times New Roman" w:hAnsi="Times New Roman" w:cs="Times New Roman"/>
                <w:color w:val="auto"/>
                <w:highlight w:val="none"/>
              </w:rPr>
              <w:t>，控制温度为100℃，时间为6min。</w:t>
            </w:r>
          </w:p>
          <w:p w14:paraId="31D2FEFB">
            <w:pPr>
              <w:pStyle w:val="173"/>
              <w:wordWrap w:val="0"/>
              <w:topLinePunct/>
              <w:adjustRightInd w:val="0"/>
              <w:spacing w:before="0" w:beforeAutospacing="0"/>
              <w:ind w:firstLine="482" w:firstLineChars="200"/>
              <w:rPr>
                <w:b w:val="0"/>
                <w:color w:val="auto"/>
                <w:szCs w:val="24"/>
                <w:highlight w:val="none"/>
              </w:rPr>
            </w:pPr>
            <w:r>
              <w:rPr>
                <w:rFonts w:hint="default" w:ascii="Times New Roman" w:hAnsi="Times New Roman" w:cs="Times New Roman"/>
                <w:b/>
                <w:bCs/>
                <w:color w:val="auto"/>
                <w:sz w:val="24"/>
                <w:szCs w:val="24"/>
                <w:highlight w:val="none"/>
              </w:rPr>
              <w:t>（</w:t>
            </w:r>
            <w:r>
              <w:rPr>
                <w:rFonts w:hint="eastAsia" w:cs="Times New Roman"/>
                <w:b/>
                <w:bCs/>
                <w:color w:val="auto"/>
                <w:sz w:val="24"/>
                <w:szCs w:val="24"/>
                <w:highlight w:val="none"/>
                <w:lang w:val="en-US" w:eastAsia="zh-CN"/>
              </w:rPr>
              <w:t>5</w:t>
            </w:r>
            <w:r>
              <w:rPr>
                <w:rFonts w:hint="default" w:ascii="Times New Roman" w:hAnsi="Times New Roman" w:cs="Times New Roman"/>
                <w:b/>
                <w:bCs/>
                <w:color w:val="auto"/>
                <w:sz w:val="24"/>
                <w:szCs w:val="24"/>
                <w:highlight w:val="none"/>
              </w:rPr>
              <w:t>）</w:t>
            </w:r>
            <w:r>
              <w:rPr>
                <w:b/>
                <w:bCs/>
                <w:color w:val="auto"/>
                <w:szCs w:val="24"/>
                <w:highlight w:val="none"/>
              </w:rPr>
              <w:t>喷粉：</w:t>
            </w:r>
            <w:r>
              <w:rPr>
                <w:b w:val="0"/>
                <w:color w:val="auto"/>
                <w:szCs w:val="24"/>
                <w:highlight w:val="none"/>
              </w:rPr>
              <w:t>本项目采用自动化的静电喷粉工艺，在喷枪与工件之间形成一个高压电晕放电电场，当粉末粒子由喷枪口喷出经过放电区时，便捕集了大量的电子，成为带负电的微粒，在静电吸引的作用下，被吸附到带正电荷的工件上去。当粉末附着到一定厚度时，则会发生“同性相斥”的作用，不能再吸附粉末，从而使各部分的粉层厚度均匀，然后经加温烘烤固化后粉层流平成为均匀的膜层。</w:t>
            </w:r>
          </w:p>
          <w:p w14:paraId="12DCD434">
            <w:pPr>
              <w:pStyle w:val="173"/>
              <w:wordWrap w:val="0"/>
              <w:topLinePunct/>
              <w:adjustRightInd w:val="0"/>
              <w:spacing w:before="0" w:beforeAutospacing="0"/>
              <w:ind w:firstLine="480" w:firstLineChars="200"/>
              <w:rPr>
                <w:b w:val="0"/>
                <w:color w:val="auto"/>
                <w:szCs w:val="24"/>
                <w:highlight w:val="none"/>
              </w:rPr>
            </w:pPr>
            <w:r>
              <w:rPr>
                <w:b w:val="0"/>
                <w:color w:val="auto"/>
                <w:szCs w:val="24"/>
                <w:highlight w:val="none"/>
              </w:rPr>
              <w:t>铝单板喷粉线设有</w:t>
            </w:r>
            <w:r>
              <w:rPr>
                <w:rFonts w:hint="eastAsia"/>
                <w:b w:val="0"/>
                <w:color w:val="auto"/>
                <w:szCs w:val="24"/>
                <w:highlight w:val="none"/>
                <w:lang w:val="en-US" w:eastAsia="zh-CN"/>
              </w:rPr>
              <w:t>1</w:t>
            </w:r>
            <w:r>
              <w:rPr>
                <w:b w:val="0"/>
                <w:color w:val="auto"/>
                <w:szCs w:val="24"/>
                <w:highlight w:val="none"/>
              </w:rPr>
              <w:t>套“密闭车间负压收集+大旋风+滤芯式二级回收系统”系统装置。未收集的粉尘于车间内无组织排放。此过程会产生喷粉粉尘。</w:t>
            </w:r>
          </w:p>
          <w:p w14:paraId="1F4BA75F">
            <w:pPr>
              <w:pStyle w:val="173"/>
              <w:wordWrap w:val="0"/>
              <w:topLinePunct/>
              <w:adjustRightInd w:val="0"/>
              <w:spacing w:before="0" w:beforeAutospacing="0"/>
              <w:ind w:firstLine="482" w:firstLineChars="200"/>
              <w:rPr>
                <w:rFonts w:hint="default" w:ascii="Times New Roman" w:hAnsi="Times New Roman" w:cs="Times New Roman"/>
                <w:b w:val="0"/>
                <w:color w:val="auto"/>
                <w:szCs w:val="24"/>
                <w:highlight w:val="none"/>
              </w:rPr>
            </w:pPr>
            <w:r>
              <w:rPr>
                <w:rFonts w:hint="eastAsia"/>
                <w:color w:val="auto"/>
                <w:szCs w:val="24"/>
                <w:highlight w:val="none"/>
                <w:lang w:eastAsia="zh-CN"/>
              </w:rPr>
              <w:t>（</w:t>
            </w:r>
            <w:r>
              <w:rPr>
                <w:rFonts w:hint="eastAsia"/>
                <w:color w:val="auto"/>
                <w:szCs w:val="24"/>
                <w:highlight w:val="none"/>
                <w:lang w:val="en-US" w:eastAsia="zh-CN"/>
              </w:rPr>
              <w:t>6</w:t>
            </w:r>
            <w:r>
              <w:rPr>
                <w:rFonts w:hint="eastAsia"/>
                <w:color w:val="auto"/>
                <w:szCs w:val="24"/>
                <w:highlight w:val="none"/>
                <w:lang w:eastAsia="zh-CN"/>
              </w:rPr>
              <w:t>）</w:t>
            </w:r>
            <w:r>
              <w:rPr>
                <w:color w:val="auto"/>
                <w:szCs w:val="24"/>
                <w:highlight w:val="none"/>
              </w:rPr>
              <w:t>喷粉</w:t>
            </w:r>
            <w:r>
              <w:rPr>
                <w:b/>
                <w:bCs/>
                <w:color w:val="auto"/>
                <w:szCs w:val="24"/>
                <w:highlight w:val="none"/>
              </w:rPr>
              <w:t>固化</w:t>
            </w:r>
            <w:r>
              <w:rPr>
                <w:b w:val="0"/>
                <w:color w:val="auto"/>
                <w:szCs w:val="24"/>
                <w:highlight w:val="none"/>
              </w:rPr>
              <w:t>：工件经喷粉后需要加热使粉末涂料固化。工件送入固化线内加热。固化时间一般为</w:t>
            </w:r>
            <w:r>
              <w:rPr>
                <w:rFonts w:hint="eastAsia"/>
                <w:b w:val="0"/>
                <w:color w:val="auto"/>
                <w:szCs w:val="24"/>
                <w:highlight w:val="none"/>
                <w:lang w:val="en-US" w:eastAsia="zh-CN"/>
              </w:rPr>
              <w:t>6-12</w:t>
            </w:r>
            <w:r>
              <w:rPr>
                <w:b w:val="0"/>
                <w:color w:val="auto"/>
                <w:szCs w:val="24"/>
                <w:highlight w:val="none"/>
              </w:rPr>
              <w:t>min，温度一般为160℃~200℃。热量由天然气燃烧产生，通过</w:t>
            </w:r>
            <w:r>
              <w:rPr>
                <w:rFonts w:hint="default" w:ascii="Times New Roman" w:hAnsi="Times New Roman" w:cs="Times New Roman"/>
                <w:b w:val="0"/>
                <w:color w:val="auto"/>
                <w:szCs w:val="24"/>
                <w:highlight w:val="none"/>
              </w:rPr>
              <w:t>热气直接接触工件进行加热固化。粉末涂料固化过程会产生天然气燃烧废气、固化有机废气及臭气浓度。</w:t>
            </w:r>
          </w:p>
          <w:p w14:paraId="29CF3B8F">
            <w:pPr>
              <w:pStyle w:val="173"/>
              <w:wordWrap w:val="0"/>
              <w:topLinePunct/>
              <w:adjustRightInd w:val="0"/>
              <w:spacing w:before="0" w:beforeAutospacing="0"/>
              <w:ind w:firstLine="482" w:firstLineChars="200"/>
              <w:rPr>
                <w:rFonts w:hint="default" w:ascii="Times New Roman" w:hAnsi="Times New Roman" w:cs="Times New Roman"/>
                <w:b w:val="0"/>
                <w:color w:val="auto"/>
                <w:szCs w:val="24"/>
                <w:highlight w:val="none"/>
              </w:rPr>
            </w:pPr>
            <w:r>
              <w:rPr>
                <w:rFonts w:hint="default" w:ascii="Times New Roman" w:hAnsi="Times New Roman" w:cs="Times New Roman"/>
                <w:color w:val="auto"/>
                <w:szCs w:val="24"/>
                <w:highlight w:val="none"/>
                <w:lang w:eastAsia="zh-CN"/>
              </w:rPr>
              <w:t>（</w:t>
            </w:r>
            <w:r>
              <w:rPr>
                <w:rFonts w:hint="eastAsia" w:cs="Times New Roman"/>
                <w:color w:val="auto"/>
                <w:szCs w:val="24"/>
                <w:highlight w:val="none"/>
                <w:lang w:val="en-US" w:eastAsia="zh-CN"/>
              </w:rPr>
              <w:t>7</w:t>
            </w:r>
            <w:r>
              <w:rPr>
                <w:rFonts w:hint="default" w:ascii="Times New Roman" w:hAnsi="Times New Roman" w:cs="Times New Roman"/>
                <w:color w:val="auto"/>
                <w:szCs w:val="24"/>
                <w:highlight w:val="none"/>
                <w:lang w:eastAsia="zh-CN"/>
              </w:rPr>
              <w:t>）</w:t>
            </w:r>
            <w:r>
              <w:rPr>
                <w:rFonts w:hint="default" w:ascii="Times New Roman" w:hAnsi="Times New Roman" w:cs="Times New Roman"/>
                <w:b/>
                <w:bCs/>
                <w:color w:val="auto"/>
                <w:szCs w:val="24"/>
                <w:highlight w:val="none"/>
              </w:rPr>
              <w:t>调漆</w:t>
            </w:r>
            <w:r>
              <w:rPr>
                <w:rFonts w:hint="default" w:ascii="Times New Roman" w:hAnsi="Times New Roman" w:cs="Times New Roman"/>
                <w:b w:val="0"/>
                <w:color w:val="auto"/>
                <w:szCs w:val="24"/>
                <w:highlight w:val="none"/>
              </w:rPr>
              <w:t>：喷漆前根据产品要求进行调漆，本项目调漆在调漆房内完成。</w:t>
            </w:r>
          </w:p>
          <w:p w14:paraId="1DE4FF4D">
            <w:pPr>
              <w:pStyle w:val="173"/>
              <w:wordWrap w:val="0"/>
              <w:topLinePunct/>
              <w:adjustRightInd w:val="0"/>
              <w:spacing w:before="0" w:beforeAutospacing="0"/>
              <w:ind w:firstLine="482" w:firstLineChars="200"/>
              <w:rPr>
                <w:rFonts w:hint="default" w:eastAsia="宋体"/>
                <w:b w:val="0"/>
                <w:color w:val="auto"/>
                <w:szCs w:val="24"/>
                <w:highlight w:val="none"/>
                <w:lang w:val="en-US" w:eastAsia="zh-CN"/>
              </w:rPr>
            </w:pPr>
            <w:r>
              <w:rPr>
                <w:rFonts w:hint="default" w:ascii="Times New Roman" w:hAnsi="Times New Roman" w:cs="Times New Roman"/>
                <w:color w:val="auto"/>
                <w:szCs w:val="24"/>
                <w:highlight w:val="none"/>
                <w:lang w:eastAsia="zh-CN"/>
              </w:rPr>
              <w:t>（</w:t>
            </w:r>
            <w:r>
              <w:rPr>
                <w:rFonts w:hint="eastAsia" w:cs="Times New Roman"/>
                <w:color w:val="auto"/>
                <w:szCs w:val="24"/>
                <w:highlight w:val="none"/>
                <w:lang w:val="en-US" w:eastAsia="zh-CN"/>
              </w:rPr>
              <w:t>8</w:t>
            </w:r>
            <w:r>
              <w:rPr>
                <w:rFonts w:hint="default" w:ascii="Times New Roman" w:hAnsi="Times New Roman" w:cs="Times New Roman"/>
                <w:b/>
                <w:bCs w:val="0"/>
                <w:color w:val="auto"/>
                <w:szCs w:val="24"/>
                <w:highlight w:val="none"/>
                <w:lang w:eastAsia="zh-CN"/>
              </w:rPr>
              <w:t>）</w:t>
            </w:r>
            <w:r>
              <w:rPr>
                <w:rFonts w:hint="default" w:ascii="Times New Roman" w:hAnsi="Times New Roman" w:cs="Times New Roman"/>
                <w:b/>
                <w:bCs w:val="0"/>
                <w:color w:val="auto"/>
                <w:szCs w:val="24"/>
                <w:highlight w:val="none"/>
              </w:rPr>
              <w:t>喷</w:t>
            </w:r>
            <w:r>
              <w:rPr>
                <w:b/>
                <w:bCs w:val="0"/>
                <w:color w:val="auto"/>
                <w:szCs w:val="24"/>
                <w:highlight w:val="none"/>
              </w:rPr>
              <w:t>漆：</w:t>
            </w:r>
            <w:r>
              <w:rPr>
                <w:b w:val="0"/>
                <w:color w:val="auto"/>
                <w:szCs w:val="24"/>
                <w:highlight w:val="none"/>
              </w:rPr>
              <w:t>底漆的作用在于提高涂层抗渗透能力，增强对底材的保护，稳定金属表层，加强面漆与金属表面附着力；面漆涂层在底漆涂层之上，其主要作用是提高装饰性，也有一定的防腐性和耐磨性；</w:t>
            </w:r>
            <w:r>
              <w:rPr>
                <w:rFonts w:hint="eastAsia"/>
                <w:b w:val="0"/>
                <w:color w:val="auto"/>
                <w:szCs w:val="24"/>
                <w:highlight w:val="none"/>
                <w:lang w:val="en-US" w:eastAsia="zh-CN"/>
              </w:rPr>
              <w:t>清</w:t>
            </w:r>
            <w:r>
              <w:rPr>
                <w:b w:val="0"/>
                <w:color w:val="auto"/>
                <w:szCs w:val="24"/>
                <w:highlight w:val="none"/>
              </w:rPr>
              <w:t>漆涂层在面漆涂层之上，为增强涂层的光泽、丰满度。工件通过流水线进入全线密闭的喷漆生产线内，工件进入喷漆室进行手工+自动化喷漆，工件每进行一次喷漆后进行一次流平，工件经流平表面形成一个平整、光滑、均匀的涂膜。</w:t>
            </w:r>
            <w:r>
              <w:rPr>
                <w:rFonts w:hint="eastAsia"/>
                <w:b w:val="0"/>
                <w:color w:val="auto"/>
                <w:szCs w:val="24"/>
                <w:highlight w:val="none"/>
                <w:lang w:val="en-US" w:eastAsia="zh-CN"/>
              </w:rPr>
              <w:t>精涂机为空气喷涂式，对漆层进一步喷涂均匀。</w:t>
            </w:r>
          </w:p>
          <w:p w14:paraId="7179A27B">
            <w:pPr>
              <w:pStyle w:val="173"/>
              <w:wordWrap w:val="0"/>
              <w:topLinePunct/>
              <w:adjustRightInd w:val="0"/>
              <w:spacing w:before="0" w:beforeAutospacing="0"/>
              <w:ind w:firstLine="482" w:firstLineChars="200"/>
              <w:rPr>
                <w:b w:val="0"/>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9</w:t>
            </w:r>
            <w:r>
              <w:rPr>
                <w:rFonts w:hint="eastAsia" w:ascii="宋体" w:hAnsi="宋体" w:cs="宋体"/>
                <w:color w:val="auto"/>
                <w:szCs w:val="24"/>
                <w:highlight w:val="none"/>
                <w:lang w:eastAsia="zh-CN"/>
              </w:rPr>
              <w:t>）</w:t>
            </w:r>
            <w:r>
              <w:rPr>
                <w:color w:val="auto"/>
                <w:szCs w:val="24"/>
                <w:highlight w:val="none"/>
              </w:rPr>
              <w:t>喷漆</w:t>
            </w:r>
            <w:r>
              <w:rPr>
                <w:b/>
                <w:bCs/>
                <w:color w:val="auto"/>
                <w:szCs w:val="24"/>
                <w:highlight w:val="none"/>
              </w:rPr>
              <w:t>固化</w:t>
            </w:r>
            <w:r>
              <w:rPr>
                <w:b w:val="0"/>
                <w:color w:val="auto"/>
                <w:szCs w:val="24"/>
                <w:highlight w:val="none"/>
              </w:rPr>
              <w:t>：喷漆后的工件需进行加热固化，通过流水线送入高温固化通道，使之流平、固化，从而得到预期的工件表面效果，喷油性漆的工件固化温度170℃、固化时间约</w:t>
            </w:r>
            <w:r>
              <w:rPr>
                <w:rFonts w:hint="eastAsia"/>
                <w:b w:val="0"/>
                <w:color w:val="auto"/>
                <w:szCs w:val="24"/>
                <w:highlight w:val="none"/>
                <w:lang w:val="en-US" w:eastAsia="zh-CN"/>
              </w:rPr>
              <w:t>6-12</w:t>
            </w:r>
            <w:r>
              <w:rPr>
                <w:b w:val="0"/>
                <w:color w:val="auto"/>
                <w:szCs w:val="24"/>
                <w:highlight w:val="none"/>
              </w:rPr>
              <w:t>min</w:t>
            </w:r>
            <w:r>
              <w:rPr>
                <w:color w:val="auto"/>
                <w:highlight w:val="none"/>
              </w:rPr>
              <w:t>。</w:t>
            </w:r>
          </w:p>
          <w:p w14:paraId="0BA063BB">
            <w:pPr>
              <w:pStyle w:val="173"/>
              <w:wordWrap w:val="0"/>
              <w:topLinePunct/>
              <w:adjustRightInd w:val="0"/>
              <w:spacing w:before="0" w:beforeAutospacing="0"/>
              <w:ind w:firstLine="480" w:firstLineChars="200"/>
              <w:rPr>
                <w:b w:val="0"/>
                <w:color w:val="auto"/>
                <w:szCs w:val="24"/>
                <w:highlight w:val="none"/>
              </w:rPr>
            </w:pPr>
            <w:r>
              <w:rPr>
                <w:b w:val="0"/>
                <w:color w:val="auto"/>
                <w:szCs w:val="24"/>
                <w:highlight w:val="none"/>
              </w:rPr>
              <w:t>调漆、喷漆、流平、烘干固化过程中产生有机废气（VOCs、</w:t>
            </w:r>
            <w:r>
              <w:rPr>
                <w:rFonts w:hint="eastAsia"/>
                <w:b w:val="0"/>
                <w:color w:val="auto"/>
                <w:szCs w:val="24"/>
                <w:highlight w:val="none"/>
                <w:lang w:val="en-US" w:eastAsia="zh-CN"/>
              </w:rPr>
              <w:t>苯系物</w:t>
            </w:r>
            <w:r>
              <w:rPr>
                <w:b w:val="0"/>
                <w:color w:val="auto"/>
                <w:szCs w:val="24"/>
                <w:highlight w:val="none"/>
              </w:rPr>
              <w:t>）、臭气浓度、漆雾、</w:t>
            </w:r>
            <w:r>
              <w:rPr>
                <w:rFonts w:hint="eastAsia"/>
                <w:b w:val="0"/>
                <w:color w:val="auto"/>
                <w:szCs w:val="24"/>
                <w:highlight w:val="none"/>
                <w:lang w:val="en-US" w:eastAsia="zh-CN"/>
              </w:rPr>
              <w:t>喷淋废液及沉渣</w:t>
            </w:r>
            <w:r>
              <w:rPr>
                <w:b w:val="0"/>
                <w:color w:val="auto"/>
                <w:szCs w:val="24"/>
                <w:highlight w:val="none"/>
              </w:rPr>
              <w:t>、天然气燃烧废气、废原料桶及设备生产噪声。</w:t>
            </w:r>
          </w:p>
          <w:p w14:paraId="22FBAC6F">
            <w:pPr>
              <w:pStyle w:val="173"/>
              <w:wordWrap w:val="0"/>
              <w:topLinePunct/>
              <w:adjustRightInd w:val="0"/>
              <w:spacing w:before="0" w:beforeAutospacing="0"/>
              <w:ind w:firstLine="480" w:firstLineChars="200"/>
              <w:rPr>
                <w:b w:val="0"/>
                <w:color w:val="auto"/>
                <w:szCs w:val="24"/>
                <w:highlight w:val="none"/>
              </w:rPr>
            </w:pPr>
            <w:r>
              <w:rPr>
                <w:b w:val="0"/>
                <w:color w:val="auto"/>
                <w:szCs w:val="24"/>
                <w:highlight w:val="none"/>
              </w:rPr>
              <w:t>此外，本项目使用</w:t>
            </w:r>
            <w:r>
              <w:rPr>
                <w:rFonts w:hint="eastAsia"/>
                <w:b w:val="0"/>
                <w:color w:val="auto"/>
                <w:szCs w:val="24"/>
                <w:highlight w:val="none"/>
                <w:lang w:val="en-US" w:eastAsia="zh-CN"/>
              </w:rPr>
              <w:t>清洗</w:t>
            </w:r>
            <w:r>
              <w:rPr>
                <w:b w:val="0"/>
                <w:color w:val="auto"/>
                <w:szCs w:val="24"/>
                <w:highlight w:val="none"/>
              </w:rPr>
              <w:t>剂定期对喷漆枪头进行清洗，此过程会产生喷枪清洗废液，作为危险废物进行暂存、转运处理。</w:t>
            </w:r>
          </w:p>
          <w:p w14:paraId="60CBF078">
            <w:pPr>
              <w:pStyle w:val="173"/>
              <w:wordWrap w:val="0"/>
              <w:topLinePunct/>
              <w:adjustRightInd w:val="0"/>
              <w:spacing w:before="0" w:beforeAutospacing="0"/>
              <w:ind w:firstLine="482" w:firstLineChars="200"/>
              <w:rPr>
                <w:b w:val="0"/>
                <w:color w:val="auto"/>
                <w:szCs w:val="24"/>
                <w:highlight w:val="none"/>
              </w:rPr>
            </w:pPr>
            <w:r>
              <w:rPr>
                <w:rFonts w:hint="eastAsia" w:ascii="宋体" w:hAnsi="宋体" w:cs="宋体"/>
                <w:b/>
                <w:bCs/>
                <w:color w:val="auto"/>
                <w:szCs w:val="24"/>
                <w:highlight w:val="none"/>
                <w:lang w:eastAsia="zh-CN"/>
              </w:rPr>
              <w:t>（</w:t>
            </w:r>
            <w:r>
              <w:rPr>
                <w:rFonts w:hint="eastAsia" w:ascii="宋体" w:hAnsi="宋体" w:cs="宋体"/>
                <w:b/>
                <w:bCs/>
                <w:color w:val="auto"/>
                <w:szCs w:val="24"/>
                <w:highlight w:val="none"/>
                <w:lang w:val="en-US" w:eastAsia="zh-CN"/>
              </w:rPr>
              <w:t>10</w:t>
            </w:r>
            <w:r>
              <w:rPr>
                <w:rFonts w:hint="eastAsia" w:ascii="宋体" w:hAnsi="宋体" w:cs="宋体"/>
                <w:b/>
                <w:bCs/>
                <w:color w:val="auto"/>
                <w:szCs w:val="24"/>
                <w:highlight w:val="none"/>
                <w:lang w:eastAsia="zh-CN"/>
              </w:rPr>
              <w:t>）</w:t>
            </w:r>
            <w:r>
              <w:rPr>
                <w:b/>
                <w:bCs/>
                <w:color w:val="auto"/>
                <w:szCs w:val="24"/>
                <w:highlight w:val="none"/>
              </w:rPr>
              <w:t>检验</w:t>
            </w:r>
            <w:r>
              <w:rPr>
                <w:rFonts w:hint="eastAsia"/>
                <w:b/>
                <w:bCs/>
                <w:color w:val="auto"/>
                <w:szCs w:val="24"/>
                <w:highlight w:val="none"/>
                <w:lang w:val="en-US" w:eastAsia="zh-CN"/>
              </w:rPr>
              <w:t>入库</w:t>
            </w:r>
            <w:r>
              <w:rPr>
                <w:b/>
                <w:bCs/>
                <w:color w:val="auto"/>
                <w:szCs w:val="24"/>
                <w:highlight w:val="none"/>
              </w:rPr>
              <w:t>：</w:t>
            </w:r>
            <w:r>
              <w:rPr>
                <w:b w:val="0"/>
                <w:color w:val="auto"/>
                <w:szCs w:val="24"/>
                <w:highlight w:val="none"/>
              </w:rPr>
              <w:t>对</w:t>
            </w:r>
            <w:r>
              <w:rPr>
                <w:rFonts w:hint="eastAsia"/>
                <w:b w:val="0"/>
                <w:color w:val="auto"/>
                <w:szCs w:val="24"/>
                <w:highlight w:val="none"/>
                <w:lang w:val="en-US" w:eastAsia="zh-CN"/>
              </w:rPr>
              <w:t>产品</w:t>
            </w:r>
            <w:r>
              <w:rPr>
                <w:b w:val="0"/>
                <w:color w:val="auto"/>
                <w:szCs w:val="24"/>
                <w:highlight w:val="none"/>
              </w:rPr>
              <w:t>的性能进行质检。需对照图纸测量产品尺寸是否达标，且用冲击仪检测产品抗冲击力是否达标。合格品包装成品入库暂存，对不合格的产品作残次品交物资部门回收处置。</w:t>
            </w:r>
          </w:p>
          <w:p w14:paraId="73ACF81B">
            <w:pPr>
              <w:spacing w:line="360" w:lineRule="auto"/>
              <w:ind w:firstLine="482" w:firstLineChars="200"/>
              <w:jc w:val="left"/>
              <w:rPr>
                <w:rFonts w:hint="default" w:ascii="Times New Roman" w:hAnsi="Times New Roman" w:cs="Times New Roman"/>
                <w:color w:val="auto"/>
                <w:kern w:val="0"/>
                <w:sz w:val="24"/>
              </w:rPr>
            </w:pPr>
            <w:r>
              <w:rPr>
                <w:rFonts w:hint="default" w:ascii="Times New Roman" w:hAnsi="Times New Roman" w:cs="Times New Roman"/>
                <w:b/>
                <w:bCs/>
                <w:color w:val="auto"/>
                <w:kern w:val="0"/>
                <w:sz w:val="24"/>
              </w:rPr>
              <w:t>2、本项目生产过程中的主要产污环节如下：</w:t>
            </w:r>
          </w:p>
          <w:p w14:paraId="3A53C023">
            <w:pPr>
              <w:pageBreakBefore w:val="0"/>
              <w:widowControl w:val="0"/>
              <w:numPr>
                <w:ilvl w:val="0"/>
                <w:numId w:val="10"/>
              </w:numPr>
              <w:wordWrap w:val="0"/>
              <w:overflowPunct/>
              <w:bidi w:val="0"/>
              <w:spacing w:line="240" w:lineRule="auto"/>
              <w:ind w:left="0" w:leftChars="0" w:firstLine="4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项目主要产污节点一览表</w:t>
            </w:r>
          </w:p>
          <w:tbl>
            <w:tblPr>
              <w:tblStyle w:val="4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2309"/>
              <w:gridCol w:w="2821"/>
              <w:gridCol w:w="2449"/>
            </w:tblGrid>
            <w:tr w14:paraId="0B04B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noWrap w:val="0"/>
                  <w:vAlign w:val="center"/>
                </w:tcPr>
                <w:p w14:paraId="5968926E">
                  <w:pPr>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类型</w:t>
                  </w:r>
                </w:p>
              </w:tc>
              <w:tc>
                <w:tcPr>
                  <w:tcW w:w="1398" w:type="pct"/>
                  <w:noWrap w:val="0"/>
                  <w:vAlign w:val="center"/>
                </w:tcPr>
                <w:p w14:paraId="68519356">
                  <w:pPr>
                    <w:adjustRightInd w:val="0"/>
                    <w:snapToGrid w:val="0"/>
                    <w:spacing w:line="240" w:lineRule="auto"/>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污染源</w:t>
                  </w:r>
                </w:p>
              </w:tc>
              <w:tc>
                <w:tcPr>
                  <w:tcW w:w="1708" w:type="pct"/>
                  <w:noWrap w:val="0"/>
                  <w:vAlign w:val="center"/>
                </w:tcPr>
                <w:p w14:paraId="2BB848EC">
                  <w:pPr>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主要污染物名称</w:t>
                  </w:r>
                </w:p>
              </w:tc>
              <w:tc>
                <w:tcPr>
                  <w:tcW w:w="1483" w:type="pct"/>
                  <w:noWrap w:val="0"/>
                  <w:vAlign w:val="center"/>
                </w:tcPr>
                <w:p w14:paraId="229B91EB">
                  <w:pPr>
                    <w:adjustRightInd w:val="0"/>
                    <w:snapToGrid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处理情况及去向</w:t>
                  </w:r>
                </w:p>
              </w:tc>
            </w:tr>
            <w:tr w14:paraId="6B19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restart"/>
                  <w:noWrap w:val="0"/>
                  <w:vAlign w:val="center"/>
                </w:tcPr>
                <w:p w14:paraId="4B90A616">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废气</w:t>
                  </w:r>
                </w:p>
              </w:tc>
              <w:tc>
                <w:tcPr>
                  <w:tcW w:w="1398" w:type="pct"/>
                  <w:noWrap w:val="0"/>
                  <w:vAlign w:val="center"/>
                </w:tcPr>
                <w:p w14:paraId="6D813292">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切割粉尘</w:t>
                  </w:r>
                </w:p>
              </w:tc>
              <w:tc>
                <w:tcPr>
                  <w:tcW w:w="1708" w:type="pct"/>
                  <w:noWrap w:val="0"/>
                  <w:vAlign w:val="center"/>
                </w:tcPr>
                <w:p w14:paraId="2782224E">
                  <w:pPr>
                    <w:adjustRightInd w:val="0"/>
                    <w:snapToGrid w:val="0"/>
                    <w:spacing w:line="240" w:lineRule="auto"/>
                    <w:jc w:val="center"/>
                    <w:rPr>
                      <w:rFonts w:hint="default" w:ascii="Times New Roman" w:hAnsi="Times New Roman" w:eastAsia="宋体" w:cs="Times New Roman"/>
                      <w:b w:val="0"/>
                      <w:bCs/>
                      <w:color w:val="auto"/>
                      <w:kern w:val="2"/>
                      <w:sz w:val="21"/>
                      <w:szCs w:val="21"/>
                      <w:highlight w:val="none"/>
                      <w:lang w:val="en-US" w:eastAsia="zh-CN" w:bidi="ar-SA"/>
                    </w:rPr>
                  </w:pPr>
                  <w:r>
                    <w:rPr>
                      <w:rFonts w:hint="eastAsia" w:cs="Times New Roman"/>
                      <w:color w:val="auto"/>
                      <w:kern w:val="0"/>
                      <w:sz w:val="21"/>
                      <w:szCs w:val="21"/>
                      <w:lang w:val="en-US" w:eastAsia="zh-CN" w:bidi="ar"/>
                    </w:rPr>
                    <w:t>颗粒物</w:t>
                  </w:r>
                </w:p>
              </w:tc>
              <w:tc>
                <w:tcPr>
                  <w:tcW w:w="1483" w:type="pct"/>
                  <w:vMerge w:val="restart"/>
                  <w:noWrap w:val="0"/>
                  <w:vAlign w:val="center"/>
                </w:tcPr>
                <w:p w14:paraId="08D35532">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cs="Times New Roman"/>
                      <w:color w:val="auto"/>
                      <w:sz w:val="21"/>
                      <w:szCs w:val="21"/>
                      <w:lang w:val="en-US" w:eastAsia="zh-CN"/>
                    </w:rPr>
                    <w:t>经加强通风处理后于车间内无组织排放</w:t>
                  </w:r>
                </w:p>
              </w:tc>
            </w:tr>
            <w:tr w14:paraId="0BA72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5C819F51">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c>
                <w:tcPr>
                  <w:tcW w:w="1398" w:type="pct"/>
                  <w:shd w:val="clear" w:color="auto" w:fill="auto"/>
                  <w:noWrap w:val="0"/>
                  <w:vAlign w:val="center"/>
                </w:tcPr>
                <w:p w14:paraId="043E0FFF">
                  <w:pPr>
                    <w:adjustRightInd w:val="0"/>
                    <w:snapToGrid w:val="0"/>
                    <w:spacing w:line="240" w:lineRule="auto"/>
                    <w:jc w:val="center"/>
                    <w:rPr>
                      <w:rFonts w:hint="eastAsia" w:ascii="Times New Roman" w:hAnsi="Times New Roman" w:eastAsia="宋体" w:cs="Times New Roman"/>
                      <w:bCs/>
                      <w:color w:val="auto"/>
                      <w:kern w:val="2"/>
                      <w:sz w:val="21"/>
                      <w:szCs w:val="21"/>
                      <w:lang w:val="en-US" w:eastAsia="zh-CN" w:bidi="ar-SA"/>
                    </w:rPr>
                  </w:pPr>
                  <w:r>
                    <w:rPr>
                      <w:rFonts w:hint="default" w:ascii="Times New Roman" w:hAnsi="Times New Roman" w:cs="Times New Roman"/>
                      <w:color w:val="auto"/>
                      <w:kern w:val="2"/>
                      <w:sz w:val="21"/>
                      <w:szCs w:val="21"/>
                      <w:highlight w:val="none"/>
                    </w:rPr>
                    <w:t>焊接</w:t>
                  </w:r>
                  <w:r>
                    <w:rPr>
                      <w:rFonts w:hint="eastAsia" w:ascii="Times New Roman" w:hAnsi="Times New Roman" w:cs="Times New Roman"/>
                      <w:color w:val="auto"/>
                      <w:kern w:val="2"/>
                      <w:sz w:val="21"/>
                      <w:szCs w:val="21"/>
                      <w:highlight w:val="none"/>
                      <w:lang w:val="en-US" w:eastAsia="zh-CN"/>
                    </w:rPr>
                    <w:t>烟尘</w:t>
                  </w:r>
                </w:p>
              </w:tc>
              <w:tc>
                <w:tcPr>
                  <w:tcW w:w="1708" w:type="pct"/>
                  <w:shd w:val="clear" w:color="auto" w:fill="auto"/>
                  <w:noWrap w:val="0"/>
                  <w:vAlign w:val="center"/>
                </w:tcPr>
                <w:p w14:paraId="616605C2">
                  <w:pPr>
                    <w:adjustRightInd w:val="0"/>
                    <w:snapToGrid w:val="0"/>
                    <w:spacing w:line="240" w:lineRule="auto"/>
                    <w:jc w:val="center"/>
                    <w:rPr>
                      <w:rFonts w:hint="eastAsia"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颗粒物</w:t>
                  </w:r>
                </w:p>
              </w:tc>
              <w:tc>
                <w:tcPr>
                  <w:tcW w:w="1483" w:type="pct"/>
                  <w:vMerge w:val="continue"/>
                  <w:noWrap w:val="0"/>
                  <w:vAlign w:val="center"/>
                </w:tcPr>
                <w:p w14:paraId="0ADB248A">
                  <w:pPr>
                    <w:adjustRightInd w:val="0"/>
                    <w:snapToGrid w:val="0"/>
                    <w:spacing w:line="240" w:lineRule="auto"/>
                    <w:jc w:val="center"/>
                    <w:rPr>
                      <w:rFonts w:hint="eastAsia" w:ascii="Times New Roman" w:hAnsi="Times New Roman" w:cs="Times New Roman"/>
                      <w:color w:val="auto"/>
                      <w:sz w:val="21"/>
                      <w:szCs w:val="21"/>
                      <w:lang w:val="en-US" w:eastAsia="zh-CN"/>
                    </w:rPr>
                  </w:pPr>
                </w:p>
              </w:tc>
            </w:tr>
            <w:tr w14:paraId="289B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0A19F263">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c>
                <w:tcPr>
                  <w:tcW w:w="1398" w:type="pct"/>
                  <w:noWrap w:val="0"/>
                  <w:vAlign w:val="center"/>
                </w:tcPr>
                <w:p w14:paraId="69EC533B">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表面预处理废气</w:t>
                  </w:r>
                </w:p>
              </w:tc>
              <w:tc>
                <w:tcPr>
                  <w:tcW w:w="1708" w:type="pct"/>
                  <w:noWrap w:val="0"/>
                  <w:vAlign w:val="center"/>
                </w:tcPr>
                <w:p w14:paraId="0B5FAC04">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氟化物、</w:t>
                  </w:r>
                  <w:r>
                    <w:rPr>
                      <w:rFonts w:hint="default" w:ascii="Times New Roman" w:hAnsi="Times New Roman" w:cs="Times New Roman"/>
                      <w:color w:val="auto"/>
                      <w:kern w:val="2"/>
                      <w:sz w:val="21"/>
                      <w:szCs w:val="21"/>
                      <w:highlight w:val="none"/>
                      <w:lang w:eastAsia="zh-CN"/>
                    </w:rPr>
                    <w:t>氮氧化物、颗粒物、二氧化硫、</w:t>
                  </w:r>
                  <w:r>
                    <w:rPr>
                      <w:rFonts w:hint="default" w:ascii="Times New Roman" w:hAnsi="Times New Roman" w:cs="Times New Roman"/>
                      <w:color w:val="auto"/>
                      <w:kern w:val="2"/>
                      <w:sz w:val="21"/>
                      <w:szCs w:val="21"/>
                      <w:highlight w:val="none"/>
                      <w:lang w:val="en-US" w:eastAsia="zh-CN"/>
                    </w:rPr>
                    <w:t>烟气黑度</w:t>
                  </w:r>
                </w:p>
              </w:tc>
              <w:tc>
                <w:tcPr>
                  <w:tcW w:w="1483" w:type="pct"/>
                  <w:noWrap w:val="0"/>
                  <w:vAlign w:val="center"/>
                </w:tcPr>
                <w:p w14:paraId="65C85650">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经碱液喷淋后通过15m排气筒（DA003）排放</w:t>
                  </w:r>
                </w:p>
              </w:tc>
            </w:tr>
            <w:tr w14:paraId="045B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6E16B0DC">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c>
                <w:tcPr>
                  <w:tcW w:w="1398" w:type="pct"/>
                  <w:noWrap w:val="0"/>
                  <w:vAlign w:val="center"/>
                </w:tcPr>
                <w:p w14:paraId="3DB54E5F">
                  <w:pPr>
                    <w:adjustRightInd w:val="0"/>
                    <w:snapToGrid w:val="0"/>
                    <w:spacing w:line="240" w:lineRule="auto"/>
                    <w:jc w:val="center"/>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eastAsia="zh-CN"/>
                    </w:rPr>
                    <w:t>抛光打磨</w:t>
                  </w:r>
                  <w:r>
                    <w:rPr>
                      <w:rFonts w:hint="default" w:ascii="Times New Roman" w:hAnsi="Times New Roman" w:cs="Times New Roman"/>
                      <w:color w:val="auto"/>
                      <w:kern w:val="2"/>
                      <w:sz w:val="21"/>
                      <w:szCs w:val="21"/>
                      <w:highlight w:val="none"/>
                    </w:rPr>
                    <w:t>粉尘</w:t>
                  </w:r>
                </w:p>
              </w:tc>
              <w:tc>
                <w:tcPr>
                  <w:tcW w:w="1708" w:type="pct"/>
                  <w:noWrap w:val="0"/>
                  <w:vAlign w:val="center"/>
                </w:tcPr>
                <w:p w14:paraId="62EC0D22">
                  <w:pPr>
                    <w:adjustRightInd w:val="0"/>
                    <w:snapToGrid w:val="0"/>
                    <w:spacing w:line="240" w:lineRule="auto"/>
                    <w:jc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颗粒物</w:t>
                  </w:r>
                </w:p>
              </w:tc>
              <w:tc>
                <w:tcPr>
                  <w:tcW w:w="1483" w:type="pct"/>
                  <w:noWrap w:val="0"/>
                  <w:vAlign w:val="center"/>
                </w:tcPr>
                <w:p w14:paraId="434E852F">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经</w:t>
                  </w:r>
                  <w:r>
                    <w:rPr>
                      <w:rFonts w:hint="eastAsia" w:cs="Times New Roman"/>
                      <w:color w:val="auto"/>
                      <w:kern w:val="0"/>
                      <w:sz w:val="21"/>
                      <w:szCs w:val="21"/>
                      <w:lang w:val="en-US" w:eastAsia="zh-CN" w:bidi="ar"/>
                    </w:rPr>
                    <w:t>自然沉降后无组织排放于车间</w:t>
                  </w:r>
                </w:p>
              </w:tc>
            </w:tr>
            <w:tr w14:paraId="7B3A4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33137643">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c>
                <w:tcPr>
                  <w:tcW w:w="1398" w:type="pct"/>
                  <w:noWrap w:val="0"/>
                  <w:vAlign w:val="center"/>
                </w:tcPr>
                <w:p w14:paraId="400A120A">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喷粉粉尘</w:t>
                  </w:r>
                </w:p>
              </w:tc>
              <w:tc>
                <w:tcPr>
                  <w:tcW w:w="1708" w:type="pct"/>
                  <w:noWrap w:val="0"/>
                  <w:vAlign w:val="center"/>
                </w:tcPr>
                <w:p w14:paraId="24837366">
                  <w:pPr>
                    <w:adjustRightInd w:val="0"/>
                    <w:snapToGrid w:val="0"/>
                    <w:spacing w:line="240" w:lineRule="auto"/>
                    <w:jc w:val="center"/>
                    <w:rPr>
                      <w:rFonts w:hint="eastAsia" w:cs="Times New Roman"/>
                      <w:color w:val="auto"/>
                      <w:kern w:val="0"/>
                      <w:sz w:val="21"/>
                      <w:szCs w:val="21"/>
                      <w:lang w:val="en-US" w:eastAsia="zh-CN" w:bidi="ar"/>
                    </w:rPr>
                  </w:pPr>
                  <w:r>
                    <w:rPr>
                      <w:rFonts w:hint="eastAsia" w:cs="Times New Roman"/>
                      <w:color w:val="auto"/>
                      <w:kern w:val="0"/>
                      <w:sz w:val="21"/>
                      <w:szCs w:val="21"/>
                      <w:lang w:val="en-US" w:eastAsia="zh-CN" w:bidi="ar"/>
                    </w:rPr>
                    <w:t>颗粒物</w:t>
                  </w:r>
                </w:p>
              </w:tc>
              <w:tc>
                <w:tcPr>
                  <w:tcW w:w="1483" w:type="pct"/>
                  <w:noWrap w:val="0"/>
                  <w:vAlign w:val="center"/>
                </w:tcPr>
                <w:p w14:paraId="03795556">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密闭车间负压收集+大旋风+滤芯式二级回收系统”处理后呈无组织排放</w:t>
                  </w:r>
                </w:p>
              </w:tc>
            </w:tr>
            <w:tr w14:paraId="0FB9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546B12CA">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c>
                <w:tcPr>
                  <w:tcW w:w="1398" w:type="pct"/>
                  <w:noWrap w:val="0"/>
                  <w:vAlign w:val="center"/>
                </w:tcPr>
                <w:p w14:paraId="27215382">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喷漆废气</w:t>
                  </w:r>
                </w:p>
              </w:tc>
              <w:tc>
                <w:tcPr>
                  <w:tcW w:w="1708" w:type="pct"/>
                  <w:noWrap w:val="0"/>
                  <w:vAlign w:val="center"/>
                </w:tcPr>
                <w:p w14:paraId="78DED8BA">
                  <w:pPr>
                    <w:adjustRightInd w:val="0"/>
                    <w:snapToGrid w:val="0"/>
                    <w:spacing w:line="240" w:lineRule="auto"/>
                    <w:jc w:val="center"/>
                    <w:rPr>
                      <w:rFonts w:hint="default" w:cs="Times New Roman"/>
                      <w:color w:val="auto"/>
                      <w:kern w:val="0"/>
                      <w:sz w:val="21"/>
                      <w:szCs w:val="21"/>
                      <w:lang w:val="en-US" w:eastAsia="zh-CN" w:bidi="ar"/>
                    </w:rPr>
                  </w:pPr>
                  <w:r>
                    <w:rPr>
                      <w:rFonts w:hint="eastAsia" w:cs="Times New Roman"/>
                      <w:color w:val="auto"/>
                      <w:kern w:val="0"/>
                      <w:sz w:val="21"/>
                      <w:szCs w:val="21"/>
                      <w:lang w:val="en-US" w:eastAsia="zh-CN" w:bidi="ar"/>
                    </w:rPr>
                    <w:t>颗粒物、非甲烷总烃、苯系物、臭气浓度</w:t>
                  </w:r>
                </w:p>
              </w:tc>
              <w:tc>
                <w:tcPr>
                  <w:tcW w:w="1483" w:type="pct"/>
                  <w:noWrap w:val="0"/>
                  <w:vAlign w:val="center"/>
                </w:tcPr>
                <w:p w14:paraId="74A5CCCE">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经水帘柜</w:t>
                  </w:r>
                  <w:r>
                    <w:rPr>
                      <w:rFonts w:hint="eastAsia" w:cs="Times New Roman"/>
                      <w:color w:val="auto"/>
                      <w:kern w:val="0"/>
                      <w:sz w:val="21"/>
                      <w:szCs w:val="21"/>
                      <w:lang w:val="en-US" w:eastAsia="zh-CN" w:bidi="ar"/>
                    </w:rPr>
                    <w:t>喷淋</w:t>
                  </w:r>
                  <w:r>
                    <w:rPr>
                      <w:rFonts w:hint="eastAsia" w:ascii="Times New Roman" w:hAnsi="Times New Roman" w:eastAsia="宋体" w:cs="Times New Roman"/>
                      <w:color w:val="auto"/>
                      <w:kern w:val="0"/>
                      <w:sz w:val="21"/>
                      <w:szCs w:val="21"/>
                      <w:lang w:val="en-US" w:eastAsia="zh-CN" w:bidi="ar"/>
                    </w:rPr>
                    <w:t>+干式过滤+活性炭吸附脱附催化燃烧</w:t>
                  </w:r>
                  <w:r>
                    <w:rPr>
                      <w:rFonts w:hint="eastAsia" w:cs="Times New Roman"/>
                      <w:color w:val="auto"/>
                      <w:kern w:val="0"/>
                      <w:sz w:val="21"/>
                      <w:szCs w:val="21"/>
                      <w:lang w:val="en-US" w:eastAsia="zh-CN" w:bidi="ar"/>
                    </w:rPr>
                    <w:t>+活性炭吸附</w:t>
                  </w:r>
                  <w:r>
                    <w:rPr>
                      <w:rFonts w:hint="default" w:ascii="Times New Roman" w:hAnsi="Times New Roman" w:eastAsia="宋体" w:cs="Times New Roman"/>
                      <w:color w:val="auto"/>
                      <w:kern w:val="0"/>
                      <w:sz w:val="21"/>
                      <w:szCs w:val="21"/>
                      <w:lang w:val="en-US" w:eastAsia="zh-CN" w:bidi="ar"/>
                    </w:rPr>
                    <w:t>处理后经15m高排气筒（</w:t>
                  </w:r>
                  <w:r>
                    <w:rPr>
                      <w:rFonts w:hint="eastAsia" w:cs="Times New Roman"/>
                      <w:color w:val="auto"/>
                      <w:kern w:val="0"/>
                      <w:sz w:val="21"/>
                      <w:szCs w:val="21"/>
                      <w:lang w:val="en-US" w:eastAsia="zh-CN" w:bidi="ar"/>
                    </w:rPr>
                    <w:t>DA001</w:t>
                  </w:r>
                  <w:r>
                    <w:rPr>
                      <w:rFonts w:hint="default" w:ascii="Times New Roman" w:hAnsi="Times New Roman" w:eastAsia="宋体" w:cs="Times New Roman"/>
                      <w:color w:val="auto"/>
                      <w:kern w:val="0"/>
                      <w:sz w:val="21"/>
                      <w:szCs w:val="21"/>
                      <w:lang w:val="en-US" w:eastAsia="zh-CN" w:bidi="ar"/>
                    </w:rPr>
                    <w:t>）排放</w:t>
                  </w:r>
                </w:p>
              </w:tc>
            </w:tr>
            <w:tr w14:paraId="3138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03C1F1AE">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c>
                <w:tcPr>
                  <w:tcW w:w="1398" w:type="pct"/>
                  <w:noWrap w:val="0"/>
                  <w:vAlign w:val="center"/>
                </w:tcPr>
                <w:p w14:paraId="6E49377B">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固化废气</w:t>
                  </w:r>
                </w:p>
              </w:tc>
              <w:tc>
                <w:tcPr>
                  <w:tcW w:w="1708" w:type="pct"/>
                  <w:noWrap w:val="0"/>
                  <w:vAlign w:val="center"/>
                </w:tcPr>
                <w:p w14:paraId="5ED34100">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颗粒物、非甲烷总烃、苯系物、臭气浓度</w:t>
                  </w:r>
                  <w:r>
                    <w:rPr>
                      <w:rFonts w:hint="eastAsia"/>
                      <w:color w:val="auto"/>
                      <w:lang w:eastAsia="zh-CN"/>
                    </w:rPr>
                    <w:t>、</w:t>
                  </w:r>
                  <w:r>
                    <w:rPr>
                      <w:rFonts w:hint="default" w:ascii="Times New Roman" w:hAnsi="Times New Roman" w:cs="Times New Roman"/>
                      <w:color w:val="auto"/>
                      <w:kern w:val="2"/>
                      <w:sz w:val="21"/>
                      <w:szCs w:val="21"/>
                      <w:highlight w:val="none"/>
                      <w:lang w:eastAsia="zh-CN"/>
                    </w:rPr>
                    <w:t>氮氧化物、颗粒物、二氧化硫、</w:t>
                  </w:r>
                  <w:r>
                    <w:rPr>
                      <w:rFonts w:hint="default" w:ascii="Times New Roman" w:hAnsi="Times New Roman" w:cs="Times New Roman"/>
                      <w:color w:val="auto"/>
                      <w:kern w:val="2"/>
                      <w:sz w:val="21"/>
                      <w:szCs w:val="21"/>
                      <w:highlight w:val="none"/>
                      <w:lang w:val="en-US" w:eastAsia="zh-CN"/>
                    </w:rPr>
                    <w:t>烟气黑度</w:t>
                  </w:r>
                </w:p>
              </w:tc>
              <w:tc>
                <w:tcPr>
                  <w:tcW w:w="1483" w:type="pct"/>
                  <w:noWrap w:val="0"/>
                  <w:vAlign w:val="center"/>
                </w:tcPr>
                <w:p w14:paraId="59BF8171">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经喷淋+干式过滤</w:t>
                  </w:r>
                  <w:r>
                    <w:rPr>
                      <w:rFonts w:hint="eastAsia" w:cs="Times New Roman"/>
                      <w:color w:val="auto"/>
                      <w:kern w:val="0"/>
                      <w:sz w:val="21"/>
                      <w:szCs w:val="21"/>
                      <w:lang w:val="en-US" w:eastAsia="zh-CN" w:bidi="ar"/>
                    </w:rPr>
                    <w:t>+二级活性炭吸附</w:t>
                  </w:r>
                  <w:r>
                    <w:rPr>
                      <w:rFonts w:hint="default" w:ascii="Times New Roman" w:hAnsi="Times New Roman" w:eastAsia="宋体" w:cs="Times New Roman"/>
                      <w:color w:val="auto"/>
                      <w:kern w:val="0"/>
                      <w:sz w:val="21"/>
                      <w:szCs w:val="21"/>
                      <w:lang w:val="en-US" w:eastAsia="zh-CN" w:bidi="ar"/>
                    </w:rPr>
                    <w:t>处理后经15m高排气筒（</w:t>
                  </w:r>
                  <w:r>
                    <w:rPr>
                      <w:rFonts w:hint="eastAsia" w:cs="Times New Roman"/>
                      <w:color w:val="auto"/>
                      <w:kern w:val="0"/>
                      <w:sz w:val="21"/>
                      <w:szCs w:val="21"/>
                      <w:lang w:val="en-US" w:eastAsia="zh-CN" w:bidi="ar"/>
                    </w:rPr>
                    <w:t>DA002</w:t>
                  </w:r>
                  <w:r>
                    <w:rPr>
                      <w:rFonts w:hint="default" w:ascii="Times New Roman" w:hAnsi="Times New Roman" w:eastAsia="宋体" w:cs="Times New Roman"/>
                      <w:color w:val="auto"/>
                      <w:kern w:val="0"/>
                      <w:sz w:val="21"/>
                      <w:szCs w:val="21"/>
                      <w:lang w:val="en-US" w:eastAsia="zh-CN" w:bidi="ar"/>
                    </w:rPr>
                    <w:t>）排放</w:t>
                  </w:r>
                </w:p>
              </w:tc>
            </w:tr>
            <w:tr w14:paraId="6495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4C38D1FA">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noWrap w:val="0"/>
                  <w:vAlign w:val="center"/>
                </w:tcPr>
                <w:p w14:paraId="10545211">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厨房油烟废气</w:t>
                  </w:r>
                </w:p>
              </w:tc>
              <w:tc>
                <w:tcPr>
                  <w:tcW w:w="1708" w:type="pct"/>
                  <w:noWrap w:val="0"/>
                  <w:vAlign w:val="center"/>
                </w:tcPr>
                <w:p w14:paraId="09D2ABDE">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bCs/>
                      <w:color w:val="auto"/>
                      <w:kern w:val="2"/>
                      <w:sz w:val="21"/>
                      <w:szCs w:val="21"/>
                      <w:lang w:val="en-US" w:eastAsia="zh-CN" w:bidi="ar-SA"/>
                    </w:rPr>
                    <w:t>油烟</w:t>
                  </w:r>
                </w:p>
              </w:tc>
              <w:tc>
                <w:tcPr>
                  <w:tcW w:w="1483" w:type="pct"/>
                  <w:noWrap w:val="0"/>
                  <w:vAlign w:val="center"/>
                </w:tcPr>
                <w:p w14:paraId="2882ABF3">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经</w:t>
                  </w:r>
                  <w:r>
                    <w:rPr>
                      <w:rFonts w:hint="eastAsia" w:ascii="Times New Roman" w:hAnsi="Times New Roman" w:eastAsia="宋体" w:cs="Times New Roman"/>
                      <w:color w:val="auto"/>
                      <w:kern w:val="0"/>
                      <w:sz w:val="21"/>
                      <w:szCs w:val="21"/>
                      <w:lang w:val="en-US" w:eastAsia="zh-CN" w:bidi="ar"/>
                    </w:rPr>
                    <w:t>专用排烟管</w:t>
                  </w:r>
                  <w:r>
                    <w:rPr>
                      <w:rFonts w:hint="eastAsia" w:cs="Times New Roman"/>
                      <w:color w:val="auto"/>
                      <w:kern w:val="0"/>
                      <w:sz w:val="21"/>
                      <w:szCs w:val="21"/>
                      <w:lang w:val="en-US" w:eastAsia="zh-CN" w:bidi="ar"/>
                    </w:rPr>
                    <w:t>（DA004）</w:t>
                  </w:r>
                  <w:r>
                    <w:rPr>
                      <w:rFonts w:hint="default" w:ascii="Times New Roman" w:hAnsi="Times New Roman" w:eastAsia="宋体" w:cs="Times New Roman"/>
                      <w:color w:val="auto"/>
                      <w:kern w:val="0"/>
                      <w:sz w:val="21"/>
                      <w:szCs w:val="21"/>
                      <w:lang w:val="en-US" w:eastAsia="zh-CN" w:bidi="ar"/>
                    </w:rPr>
                    <w:t>高空排放</w:t>
                  </w:r>
                </w:p>
              </w:tc>
            </w:tr>
            <w:tr w14:paraId="7895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44B92D8A">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noWrap w:val="0"/>
                  <w:vAlign w:val="center"/>
                </w:tcPr>
                <w:p w14:paraId="674C93B4">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污水处理站</w:t>
                  </w:r>
                </w:p>
              </w:tc>
              <w:tc>
                <w:tcPr>
                  <w:tcW w:w="1708" w:type="pct"/>
                  <w:noWrap w:val="0"/>
                  <w:vAlign w:val="center"/>
                </w:tcPr>
                <w:p w14:paraId="1D29B2C0">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eastAsia" w:cs="Times New Roman"/>
                      <w:bCs/>
                      <w:color w:val="auto"/>
                      <w:kern w:val="2"/>
                      <w:sz w:val="21"/>
                      <w:szCs w:val="21"/>
                      <w:lang w:val="en-US" w:eastAsia="zh-CN" w:bidi="ar-SA"/>
                    </w:rPr>
                    <w:t>氨、硫化氢、臭气浓度</w:t>
                  </w:r>
                </w:p>
              </w:tc>
              <w:tc>
                <w:tcPr>
                  <w:tcW w:w="1483" w:type="pct"/>
                  <w:noWrap w:val="0"/>
                  <w:vAlign w:val="center"/>
                </w:tcPr>
                <w:p w14:paraId="5B65BDD7">
                  <w:pPr>
                    <w:adjustRightInd w:val="0"/>
                    <w:snapToGrid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加盖密闭、加强通风措施后无组织排放</w:t>
                  </w:r>
                </w:p>
              </w:tc>
            </w:tr>
            <w:tr w14:paraId="3DF63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restart"/>
                  <w:noWrap w:val="0"/>
                  <w:vAlign w:val="center"/>
                </w:tcPr>
                <w:p w14:paraId="67F235D7">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废水</w:t>
                  </w:r>
                </w:p>
              </w:tc>
              <w:tc>
                <w:tcPr>
                  <w:tcW w:w="1398" w:type="pct"/>
                  <w:noWrap w:val="0"/>
                  <w:vAlign w:val="center"/>
                </w:tcPr>
                <w:p w14:paraId="7EEEC4FC">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厂内员工生活污水</w:t>
                  </w:r>
                </w:p>
              </w:tc>
              <w:tc>
                <w:tcPr>
                  <w:tcW w:w="1708" w:type="pct"/>
                  <w:noWrap w:val="0"/>
                  <w:vAlign w:val="center"/>
                </w:tcPr>
                <w:p w14:paraId="4F6C13E0">
                  <w:pPr>
                    <w:adjustRightInd w:val="0"/>
                    <w:snapToGrid w:val="0"/>
                    <w:spacing w:line="240" w:lineRule="auto"/>
                    <w:jc w:val="center"/>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pH、COD</w:t>
                  </w:r>
                  <w:r>
                    <w:rPr>
                      <w:rFonts w:hint="default" w:ascii="Times New Roman" w:hAnsi="Times New Roman" w:eastAsia="宋体" w:cs="Times New Roman"/>
                      <w:bCs/>
                      <w:color w:val="auto"/>
                      <w:sz w:val="21"/>
                      <w:szCs w:val="21"/>
                      <w:vertAlign w:val="subscript"/>
                    </w:rPr>
                    <w:t>Cr</w:t>
                  </w:r>
                  <w:r>
                    <w:rPr>
                      <w:rFonts w:hint="default" w:ascii="Times New Roman" w:hAnsi="Times New Roman" w:eastAsia="宋体" w:cs="Times New Roman"/>
                      <w:bCs/>
                      <w:color w:val="auto"/>
                      <w:sz w:val="21"/>
                      <w:szCs w:val="21"/>
                    </w:rPr>
                    <w:t>、BOD</w:t>
                  </w:r>
                  <w:r>
                    <w:rPr>
                      <w:rFonts w:hint="default" w:ascii="Times New Roman" w:hAnsi="Times New Roman" w:eastAsia="宋体" w:cs="Times New Roman"/>
                      <w:bCs/>
                      <w:color w:val="auto"/>
                      <w:sz w:val="21"/>
                      <w:szCs w:val="21"/>
                      <w:vertAlign w:val="subscript"/>
                    </w:rPr>
                    <w:t>5</w:t>
                  </w:r>
                  <w:r>
                    <w:rPr>
                      <w:rFonts w:hint="default" w:ascii="Times New Roman" w:hAnsi="Times New Roman" w:eastAsia="宋体" w:cs="Times New Roman"/>
                      <w:bCs/>
                      <w:color w:val="auto"/>
                      <w:sz w:val="21"/>
                      <w:szCs w:val="21"/>
                    </w:rPr>
                    <w:t>、SS、氨氮、</w:t>
                  </w:r>
                  <w:r>
                    <w:rPr>
                      <w:rFonts w:hint="eastAsia" w:ascii="Times New Roman" w:hAnsi="Times New Roman" w:eastAsia="宋体" w:cs="Times New Roman"/>
                      <w:bCs/>
                      <w:color w:val="auto"/>
                      <w:sz w:val="21"/>
                      <w:szCs w:val="21"/>
                      <w:lang w:val="en-US" w:eastAsia="zh-CN"/>
                    </w:rPr>
                    <w:t>总磷、</w:t>
                  </w:r>
                  <w:r>
                    <w:rPr>
                      <w:rFonts w:hint="eastAsia" w:cs="Times New Roman"/>
                      <w:bCs/>
                      <w:color w:val="auto"/>
                      <w:sz w:val="21"/>
                      <w:szCs w:val="21"/>
                      <w:lang w:val="en-US" w:eastAsia="zh-CN"/>
                    </w:rPr>
                    <w:t>动植物油</w:t>
                  </w:r>
                </w:p>
              </w:tc>
              <w:tc>
                <w:tcPr>
                  <w:tcW w:w="1483" w:type="pct"/>
                  <w:noWrap w:val="0"/>
                  <w:vAlign w:val="center"/>
                </w:tcPr>
                <w:p w14:paraId="0487BF6F">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val="en-US" w:eastAsia="zh-CN"/>
                    </w:rPr>
                    <w:t>经三级化粪池</w:t>
                  </w:r>
                  <w:r>
                    <w:rPr>
                      <w:rFonts w:hint="eastAsia" w:ascii="Times New Roman" w:hAnsi="Times New Roman" w:eastAsia="宋体" w:cs="Times New Roman"/>
                      <w:bCs/>
                      <w:color w:val="auto"/>
                      <w:sz w:val="21"/>
                      <w:szCs w:val="21"/>
                      <w:lang w:val="en-US" w:eastAsia="zh-CN"/>
                    </w:rPr>
                    <w:t>+隔油隔渣池</w:t>
                  </w:r>
                  <w:r>
                    <w:rPr>
                      <w:rFonts w:hint="default" w:ascii="Times New Roman" w:hAnsi="Times New Roman" w:eastAsia="宋体" w:cs="Times New Roman"/>
                      <w:bCs/>
                      <w:color w:val="auto"/>
                      <w:sz w:val="21"/>
                      <w:szCs w:val="21"/>
                      <w:lang w:val="en-US" w:eastAsia="zh-CN"/>
                    </w:rPr>
                    <w:t>处理后排入园区污水处理厂</w:t>
                  </w:r>
                </w:p>
              </w:tc>
            </w:tr>
            <w:tr w14:paraId="7E5A1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0" w:type="pct"/>
                  <w:vMerge w:val="continue"/>
                  <w:noWrap w:val="0"/>
                  <w:vAlign w:val="center"/>
                </w:tcPr>
                <w:p w14:paraId="1CE32B62">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noWrap w:val="0"/>
                  <w:vAlign w:val="center"/>
                </w:tcPr>
                <w:p w14:paraId="710629BA">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auto"/>
                      <w:sz w:val="21"/>
                      <w:szCs w:val="21"/>
                      <w:lang w:val="en-US" w:eastAsia="zh-CN"/>
                    </w:rPr>
                  </w:pPr>
                  <w:r>
                    <w:rPr>
                      <w:rFonts w:hint="eastAsia" w:ascii="Times New Roman" w:hAnsi="Times New Roman" w:cs="Times New Roman"/>
                      <w:color w:val="auto"/>
                      <w:kern w:val="2"/>
                      <w:sz w:val="21"/>
                      <w:szCs w:val="21"/>
                      <w:highlight w:val="none"/>
                      <w:lang w:val="en-US" w:eastAsia="zh-CN"/>
                    </w:rPr>
                    <w:t>外排生产废水</w:t>
                  </w:r>
                </w:p>
              </w:tc>
              <w:tc>
                <w:tcPr>
                  <w:tcW w:w="1708" w:type="pct"/>
                  <w:noWrap w:val="0"/>
                  <w:vAlign w:val="center"/>
                </w:tcPr>
                <w:p w14:paraId="41DFF39F">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auto"/>
                      <w:sz w:val="21"/>
                      <w:szCs w:val="21"/>
                      <w:lang w:val="en-US"/>
                    </w:rPr>
                  </w:pPr>
                  <w:r>
                    <w:rPr>
                      <w:rFonts w:hint="default" w:ascii="Times New Roman" w:hAnsi="Times New Roman" w:cs="Times New Roman"/>
                      <w:color w:val="auto"/>
                      <w:kern w:val="2"/>
                      <w:sz w:val="21"/>
                      <w:szCs w:val="21"/>
                      <w:highlight w:val="none"/>
                    </w:rPr>
                    <w:t>pH、COD</w:t>
                  </w:r>
                  <w:r>
                    <w:rPr>
                      <w:rFonts w:hint="default" w:ascii="Times New Roman" w:hAnsi="Times New Roman" w:cs="Times New Roman"/>
                      <w:color w:val="auto"/>
                      <w:kern w:val="2"/>
                      <w:sz w:val="21"/>
                      <w:szCs w:val="21"/>
                      <w:highlight w:val="none"/>
                      <w:vertAlign w:val="subscript"/>
                    </w:rPr>
                    <w:t>Cr</w:t>
                  </w:r>
                  <w:r>
                    <w:rPr>
                      <w:rFonts w:hint="default" w:ascii="Times New Roman" w:hAnsi="Times New Roman" w:cs="Times New Roman"/>
                      <w:color w:val="auto"/>
                      <w:kern w:val="2"/>
                      <w:sz w:val="21"/>
                      <w:szCs w:val="21"/>
                      <w:highlight w:val="none"/>
                    </w:rPr>
                    <w:t>、</w:t>
                  </w:r>
                  <w:r>
                    <w:rPr>
                      <w:rFonts w:hint="eastAsia" w:ascii="Times New Roman" w:hAnsi="Times New Roman" w:cs="Times New Roman"/>
                      <w:color w:val="auto"/>
                      <w:sz w:val="21"/>
                      <w:szCs w:val="21"/>
                      <w:highlight w:val="none"/>
                      <w:lang w:val="en-US" w:eastAsia="zh-CN"/>
                    </w:rPr>
                    <w:t>BOD</w:t>
                  </w:r>
                  <w:r>
                    <w:rPr>
                      <w:rFonts w:hint="eastAsia" w:ascii="Times New Roman" w:hAnsi="Times New Roman" w:cs="Times New Roman"/>
                      <w:color w:val="auto"/>
                      <w:sz w:val="21"/>
                      <w:szCs w:val="21"/>
                      <w:highlight w:val="none"/>
                      <w:vertAlign w:val="subscript"/>
                      <w:lang w:val="en-US" w:eastAsia="zh-CN"/>
                    </w:rPr>
                    <w:t>5</w:t>
                  </w:r>
                  <w:r>
                    <w:rPr>
                      <w:rFonts w:hint="eastAsia" w:ascii="Times New Roman" w:hAnsi="Times New Roman" w:cs="Times New Roman"/>
                      <w:color w:val="auto"/>
                      <w:sz w:val="21"/>
                      <w:szCs w:val="21"/>
                      <w:highlight w:val="none"/>
                      <w:lang w:val="en-US" w:eastAsia="zh-CN"/>
                    </w:rPr>
                    <w:t>、NH</w:t>
                  </w:r>
                  <w:r>
                    <w:rPr>
                      <w:rFonts w:hint="eastAsia" w:ascii="Times New Roman" w:hAnsi="Times New Roman" w:cs="Times New Roman"/>
                      <w:color w:val="auto"/>
                      <w:sz w:val="21"/>
                      <w:szCs w:val="21"/>
                      <w:highlight w:val="none"/>
                      <w:vertAlign w:val="subscript"/>
                      <w:lang w:val="en-US" w:eastAsia="zh-CN"/>
                    </w:rPr>
                    <w:t>3</w:t>
                  </w:r>
                  <w:r>
                    <w:rPr>
                      <w:rFonts w:hint="eastAsia" w:ascii="Times New Roman" w:hAnsi="Times New Roman" w:cs="Times New Roman"/>
                      <w:color w:val="auto"/>
                      <w:sz w:val="21"/>
                      <w:szCs w:val="21"/>
                      <w:highlight w:val="none"/>
                      <w:lang w:val="en-US" w:eastAsia="zh-CN"/>
                    </w:rPr>
                    <w:t>-N、</w:t>
                  </w:r>
                  <w:r>
                    <w:rPr>
                      <w:rFonts w:hint="default" w:ascii="Times New Roman" w:hAnsi="Times New Roman" w:cs="Times New Roman"/>
                      <w:color w:val="auto"/>
                      <w:kern w:val="2"/>
                      <w:sz w:val="21"/>
                      <w:szCs w:val="21"/>
                      <w:highlight w:val="none"/>
                    </w:rPr>
                    <w:t>SS、石油类、氟化物、LAS</w:t>
                  </w:r>
                  <w:r>
                    <w:rPr>
                      <w:rFonts w:hint="eastAsia" w:ascii="Times New Roman" w:hAnsi="Times New Roman" w:cs="Times New Roman"/>
                      <w:color w:val="auto"/>
                      <w:kern w:val="2"/>
                      <w:sz w:val="21"/>
                      <w:szCs w:val="21"/>
                      <w:highlight w:val="none"/>
                      <w:lang w:eastAsia="zh-CN"/>
                    </w:rPr>
                    <w:t>、</w:t>
                  </w:r>
                  <w:r>
                    <w:rPr>
                      <w:rFonts w:hint="eastAsia" w:ascii="Times New Roman" w:hAnsi="Times New Roman" w:cs="Times New Roman"/>
                      <w:color w:val="auto"/>
                      <w:kern w:val="2"/>
                      <w:sz w:val="21"/>
                      <w:szCs w:val="21"/>
                      <w:highlight w:val="none"/>
                      <w:lang w:val="en-US" w:eastAsia="zh-CN"/>
                    </w:rPr>
                    <w:t>TN、TP、总铝</w:t>
                  </w:r>
                </w:p>
              </w:tc>
              <w:tc>
                <w:tcPr>
                  <w:tcW w:w="1483" w:type="pct"/>
                  <w:noWrap w:val="0"/>
                  <w:vAlign w:val="center"/>
                </w:tcPr>
                <w:p w14:paraId="0BE1F31A">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lang w:val="en-US" w:eastAsia="zh-CN"/>
                    </w:rPr>
                    <w:t>经自建污水处理站处理后</w:t>
                  </w:r>
                  <w:r>
                    <w:rPr>
                      <w:rFonts w:hint="eastAsia" w:ascii="Times New Roman" w:hAnsi="Times New Roman" w:eastAsia="宋体" w:cs="Times New Roman"/>
                      <w:bCs/>
                      <w:color w:val="auto"/>
                      <w:sz w:val="21"/>
                      <w:szCs w:val="21"/>
                      <w:lang w:val="en-US" w:eastAsia="zh-CN"/>
                    </w:rPr>
                    <w:t>排入</w:t>
                  </w:r>
                  <w:r>
                    <w:rPr>
                      <w:rFonts w:hint="default" w:ascii="Times New Roman" w:hAnsi="Times New Roman" w:eastAsia="宋体" w:cs="Times New Roman"/>
                      <w:bCs/>
                      <w:color w:val="auto"/>
                      <w:sz w:val="21"/>
                      <w:szCs w:val="21"/>
                      <w:lang w:val="en-US" w:eastAsia="zh-CN"/>
                    </w:rPr>
                    <w:t>园区污水处理厂</w:t>
                  </w:r>
                </w:p>
              </w:tc>
            </w:tr>
            <w:tr w14:paraId="4BC3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restart"/>
                  <w:noWrap w:val="0"/>
                  <w:vAlign w:val="center"/>
                </w:tcPr>
                <w:p w14:paraId="58C8AD9E">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固体废物</w:t>
                  </w:r>
                </w:p>
              </w:tc>
              <w:tc>
                <w:tcPr>
                  <w:tcW w:w="1398" w:type="pct"/>
                  <w:vMerge w:val="restart"/>
                  <w:noWrap w:val="0"/>
                  <w:vAlign w:val="center"/>
                </w:tcPr>
                <w:p w14:paraId="0D6FDFCE">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员工生活办公</w:t>
                  </w:r>
                </w:p>
              </w:tc>
              <w:tc>
                <w:tcPr>
                  <w:tcW w:w="1708" w:type="pct"/>
                  <w:noWrap w:val="0"/>
                  <w:vAlign w:val="center"/>
                </w:tcPr>
                <w:p w14:paraId="772B7D70">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生活垃圾</w:t>
                  </w:r>
                </w:p>
              </w:tc>
              <w:tc>
                <w:tcPr>
                  <w:tcW w:w="1483" w:type="pct"/>
                  <w:noWrap w:val="0"/>
                  <w:vAlign w:val="center"/>
                </w:tcPr>
                <w:p w14:paraId="23484A9D">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z w:val="21"/>
                      <w:szCs w:val="21"/>
                    </w:rPr>
                    <w:t>由环卫部门收集处理</w:t>
                  </w:r>
                </w:p>
              </w:tc>
            </w:tr>
            <w:tr w14:paraId="3D146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0062E19A">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vMerge w:val="continue"/>
                  <w:noWrap w:val="0"/>
                  <w:vAlign w:val="center"/>
                </w:tcPr>
                <w:p w14:paraId="0BBB6768">
                  <w:pPr>
                    <w:adjustRightInd w:val="0"/>
                    <w:snapToGrid w:val="0"/>
                    <w:spacing w:line="240" w:lineRule="auto"/>
                    <w:jc w:val="center"/>
                    <w:rPr>
                      <w:rFonts w:hint="default" w:ascii="Times New Roman" w:hAnsi="Times New Roman" w:eastAsia="宋体" w:cs="Times New Roman"/>
                      <w:bCs/>
                      <w:color w:val="auto"/>
                      <w:sz w:val="21"/>
                      <w:szCs w:val="21"/>
                    </w:rPr>
                  </w:pPr>
                </w:p>
              </w:tc>
              <w:tc>
                <w:tcPr>
                  <w:tcW w:w="1708" w:type="pct"/>
                  <w:noWrap w:val="0"/>
                  <w:vAlign w:val="center"/>
                </w:tcPr>
                <w:p w14:paraId="5BB65DF1">
                  <w:pPr>
                    <w:adjustRightInd w:val="0"/>
                    <w:snapToGrid w:val="0"/>
                    <w:spacing w:line="240" w:lineRule="auto"/>
                    <w:jc w:val="center"/>
                    <w:rPr>
                      <w:rFonts w:hint="default" w:ascii="Times New Roman" w:hAnsi="Times New Roman" w:eastAsia="宋体" w:cs="Times New Roman"/>
                      <w:bCs/>
                      <w:color w:val="auto"/>
                      <w:sz w:val="21"/>
                      <w:szCs w:val="21"/>
                    </w:rPr>
                  </w:pPr>
                  <w:r>
                    <w:rPr>
                      <w:rFonts w:hint="eastAsia"/>
                      <w:color w:val="auto"/>
                      <w:sz w:val="21"/>
                      <w:szCs w:val="21"/>
                      <w:lang w:val="en-US" w:eastAsia="zh-CN"/>
                    </w:rPr>
                    <w:t>废油脂</w:t>
                  </w:r>
                </w:p>
              </w:tc>
              <w:tc>
                <w:tcPr>
                  <w:tcW w:w="1483" w:type="pct"/>
                  <w:noWrap w:val="0"/>
                  <w:vAlign w:val="center"/>
                </w:tcPr>
                <w:p w14:paraId="5CE98E17">
                  <w:pPr>
                    <w:adjustRightInd w:val="0"/>
                    <w:snapToGrid w:val="0"/>
                    <w:spacing w:line="240" w:lineRule="auto"/>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交</w:t>
                  </w:r>
                  <w:r>
                    <w:rPr>
                      <w:rFonts w:hint="default" w:ascii="Times New Roman" w:hAnsi="Times New Roman" w:eastAsia="宋体" w:cs="Times New Roman"/>
                      <w:color w:val="auto"/>
                      <w:sz w:val="21"/>
                      <w:szCs w:val="21"/>
                      <w:lang w:val="en-US" w:eastAsia="zh-CN"/>
                    </w:rPr>
                    <w:t>专业单位回收处置</w:t>
                  </w:r>
                </w:p>
              </w:tc>
            </w:tr>
            <w:tr w14:paraId="1859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71DC2316">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noWrap w:val="0"/>
                  <w:vAlign w:val="center"/>
                </w:tcPr>
                <w:p w14:paraId="5C1B9BEE">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color w:val="auto"/>
                      <w:kern w:val="2"/>
                      <w:position w:val="-10"/>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rPr>
                    <w:t>自建污水处理站</w:t>
                  </w:r>
                </w:p>
              </w:tc>
              <w:tc>
                <w:tcPr>
                  <w:tcW w:w="1708" w:type="pct"/>
                  <w:noWrap w:val="0"/>
                  <w:vAlign w:val="center"/>
                </w:tcPr>
                <w:p w14:paraId="6A416A03">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color w:val="auto"/>
                      <w:kern w:val="2"/>
                      <w:sz w:val="21"/>
                      <w:szCs w:val="21"/>
                      <w:highlight w:val="none"/>
                    </w:rPr>
                    <w:t>废水处理站污泥、</w:t>
                  </w:r>
                  <w:r>
                    <w:rPr>
                      <w:rFonts w:hint="default" w:ascii="Times New Roman" w:hAnsi="Times New Roman" w:cs="Times New Roman"/>
                      <w:b w:val="0"/>
                      <w:bCs w:val="0"/>
                      <w:color w:val="auto"/>
                      <w:kern w:val="2"/>
                      <w:sz w:val="21"/>
                      <w:szCs w:val="21"/>
                      <w:highlight w:val="none"/>
                      <w:lang w:eastAsia="zh-CN"/>
                    </w:rPr>
                    <w:t>废</w:t>
                  </w:r>
                  <w:r>
                    <w:rPr>
                      <w:rFonts w:hint="default" w:ascii="Times New Roman" w:hAnsi="Times New Roman" w:cs="Times New Roman"/>
                      <w:b w:val="0"/>
                      <w:bCs w:val="0"/>
                      <w:color w:val="auto"/>
                      <w:kern w:val="2"/>
                      <w:sz w:val="21"/>
                      <w:szCs w:val="21"/>
                      <w:highlight w:val="none"/>
                    </w:rPr>
                    <w:t>pH调整剂</w:t>
                  </w:r>
                  <w:r>
                    <w:rPr>
                      <w:rFonts w:hint="default" w:ascii="Times New Roman" w:hAnsi="Times New Roman" w:cs="Times New Roman"/>
                      <w:b w:val="0"/>
                      <w:bCs w:val="0"/>
                      <w:color w:val="auto"/>
                      <w:kern w:val="2"/>
                      <w:sz w:val="21"/>
                      <w:szCs w:val="21"/>
                      <w:highlight w:val="none"/>
                      <w:lang w:eastAsia="zh-CN"/>
                    </w:rPr>
                    <w:t>包装桶</w:t>
                  </w:r>
                </w:p>
              </w:tc>
              <w:tc>
                <w:tcPr>
                  <w:tcW w:w="1483" w:type="pct"/>
                  <w:vMerge w:val="restart"/>
                  <w:noWrap w:val="0"/>
                  <w:vAlign w:val="center"/>
                </w:tcPr>
                <w:p w14:paraId="18F782F6">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r>
                    <w:rPr>
                      <w:rFonts w:hint="eastAsia" w:cs="Times New Roman"/>
                      <w:i w:val="0"/>
                      <w:iCs w:val="0"/>
                      <w:color w:val="auto"/>
                      <w:kern w:val="0"/>
                      <w:sz w:val="21"/>
                      <w:szCs w:val="21"/>
                      <w:highlight w:val="none"/>
                      <w:u w:val="none"/>
                      <w:lang w:val="en-US" w:eastAsia="zh-CN" w:bidi="ar"/>
                    </w:rPr>
                    <w:t>经收集后</w:t>
                  </w:r>
                  <w:r>
                    <w:rPr>
                      <w:rFonts w:hint="default" w:ascii="Times New Roman" w:hAnsi="Times New Roman" w:eastAsia="宋体" w:cs="Times New Roman"/>
                      <w:bCs/>
                      <w:color w:val="auto"/>
                      <w:sz w:val="21"/>
                      <w:szCs w:val="21"/>
                      <w:lang w:val="en-US" w:eastAsia="zh-CN"/>
                    </w:rPr>
                    <w:t>暂存</w:t>
                  </w:r>
                  <w:r>
                    <w:rPr>
                      <w:rFonts w:hint="eastAsia" w:ascii="Times New Roman" w:hAnsi="Times New Roman" w:eastAsia="宋体" w:cs="Times New Roman"/>
                      <w:bCs/>
                      <w:color w:val="auto"/>
                      <w:sz w:val="21"/>
                      <w:szCs w:val="21"/>
                      <w:lang w:val="en-US" w:eastAsia="zh-CN"/>
                    </w:rPr>
                    <w:t>于</w:t>
                  </w:r>
                  <w:r>
                    <w:rPr>
                      <w:rFonts w:hint="eastAsia" w:cs="Times New Roman"/>
                      <w:bCs/>
                      <w:color w:val="auto"/>
                      <w:sz w:val="21"/>
                      <w:szCs w:val="21"/>
                      <w:lang w:val="en-US" w:eastAsia="zh-CN"/>
                    </w:rPr>
                    <w:t>危险废物贮存间</w:t>
                  </w:r>
                  <w:r>
                    <w:rPr>
                      <w:rFonts w:hint="default" w:ascii="Times New Roman" w:hAnsi="Times New Roman" w:eastAsia="宋体" w:cs="Times New Roman"/>
                      <w:bCs/>
                      <w:color w:val="auto"/>
                      <w:sz w:val="21"/>
                      <w:szCs w:val="21"/>
                      <w:lang w:val="en-US" w:eastAsia="zh-CN"/>
                    </w:rPr>
                    <w:t>，交有危险废物处理资质单位处理</w:t>
                  </w:r>
                </w:p>
              </w:tc>
            </w:tr>
            <w:tr w14:paraId="4545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7F0D996C">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tcBorders>
                    <w:bottom w:val="single" w:color="000000" w:sz="4" w:space="0"/>
                  </w:tcBorders>
                  <w:noWrap w:val="0"/>
                  <w:vAlign w:val="center"/>
                </w:tcPr>
                <w:p w14:paraId="1DF68BBA">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预脱脂池、脱脂池</w:t>
                  </w:r>
                </w:p>
              </w:tc>
              <w:tc>
                <w:tcPr>
                  <w:tcW w:w="1708" w:type="pct"/>
                  <w:tcBorders>
                    <w:bottom w:val="single" w:color="000000" w:sz="4" w:space="0"/>
                  </w:tcBorders>
                  <w:noWrap w:val="0"/>
                  <w:vAlign w:val="center"/>
                </w:tcPr>
                <w:p w14:paraId="3C42B82A">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ascii="Times New Roman" w:hAnsi="Times New Roman" w:eastAsia="宋体" w:cs="Times New Roman"/>
                      <w:color w:val="auto"/>
                      <w:kern w:val="2"/>
                      <w:sz w:val="21"/>
                      <w:szCs w:val="21"/>
                      <w:highlight w:val="none"/>
                      <w:lang w:eastAsia="zh-CN"/>
                    </w:rPr>
                  </w:pPr>
                  <w:r>
                    <w:rPr>
                      <w:rFonts w:hint="eastAsia" w:ascii="Times New Roman" w:hAnsi="Times New Roman" w:cs="Times New Roman"/>
                      <w:color w:val="auto"/>
                      <w:kern w:val="2"/>
                      <w:sz w:val="21"/>
                      <w:szCs w:val="21"/>
                      <w:highlight w:val="none"/>
                      <w:lang w:eastAsia="zh-CN"/>
                    </w:rPr>
                    <w:t>废</w:t>
                  </w:r>
                  <w:r>
                    <w:rPr>
                      <w:rFonts w:hint="eastAsia" w:ascii="Times New Roman" w:hAnsi="Times New Roman" w:cs="Times New Roman"/>
                      <w:color w:val="auto"/>
                      <w:kern w:val="2"/>
                      <w:sz w:val="21"/>
                      <w:szCs w:val="21"/>
                      <w:highlight w:val="none"/>
                      <w:lang w:val="en-US" w:eastAsia="zh-CN"/>
                    </w:rPr>
                    <w:t>表面处理剂</w:t>
                  </w:r>
                  <w:r>
                    <w:rPr>
                      <w:rFonts w:hint="eastAsia" w:ascii="Times New Roman" w:hAnsi="Times New Roman" w:cs="Times New Roman"/>
                      <w:color w:val="auto"/>
                      <w:kern w:val="2"/>
                      <w:sz w:val="21"/>
                      <w:szCs w:val="21"/>
                      <w:highlight w:val="none"/>
                      <w:lang w:eastAsia="zh-CN"/>
                    </w:rPr>
                    <w:t>包装桶、</w:t>
                  </w:r>
                  <w:r>
                    <w:rPr>
                      <w:rFonts w:hint="eastAsia" w:ascii="Times New Roman" w:hAnsi="Times New Roman" w:cs="Times New Roman"/>
                      <w:color w:val="auto"/>
                      <w:kern w:val="2"/>
                      <w:sz w:val="21"/>
                      <w:szCs w:val="21"/>
                      <w:highlight w:val="none"/>
                      <w:lang w:val="en-US" w:eastAsia="zh-CN"/>
                    </w:rPr>
                    <w:t>预处理池泥渣及管道循环装置废物</w:t>
                  </w:r>
                </w:p>
              </w:tc>
              <w:tc>
                <w:tcPr>
                  <w:tcW w:w="1483" w:type="pct"/>
                  <w:vMerge w:val="continue"/>
                  <w:noWrap w:val="0"/>
                  <w:vAlign w:val="center"/>
                </w:tcPr>
                <w:p w14:paraId="190B2236">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r>
            <w:tr w14:paraId="3C4A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53DD1A02">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tcBorders>
                    <w:bottom w:val="single" w:color="000000" w:sz="4" w:space="0"/>
                  </w:tcBorders>
                  <w:noWrap w:val="0"/>
                  <w:vAlign w:val="center"/>
                </w:tcPr>
                <w:p w14:paraId="7FE962F4">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无铬钝化池</w:t>
                  </w:r>
                </w:p>
              </w:tc>
              <w:tc>
                <w:tcPr>
                  <w:tcW w:w="1708" w:type="pct"/>
                  <w:tcBorders>
                    <w:bottom w:val="single" w:color="000000" w:sz="4" w:space="0"/>
                  </w:tcBorders>
                  <w:noWrap w:val="0"/>
                  <w:vAlign w:val="center"/>
                </w:tcPr>
                <w:p w14:paraId="0E4E11CE">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cs="Times New Roman"/>
                      <w:color w:val="auto"/>
                      <w:kern w:val="2"/>
                      <w:sz w:val="21"/>
                      <w:szCs w:val="21"/>
                      <w:highlight w:val="none"/>
                    </w:rPr>
                  </w:pPr>
                  <w:r>
                    <w:rPr>
                      <w:rFonts w:hint="eastAsia" w:ascii="Times New Roman" w:hAnsi="Times New Roman" w:cs="Times New Roman"/>
                      <w:color w:val="auto"/>
                      <w:kern w:val="2"/>
                      <w:sz w:val="21"/>
                      <w:szCs w:val="21"/>
                      <w:highlight w:val="none"/>
                      <w:lang w:eastAsia="zh-CN"/>
                    </w:rPr>
                    <w:t>废</w:t>
                  </w:r>
                  <w:r>
                    <w:rPr>
                      <w:rFonts w:hint="eastAsia" w:ascii="Times New Roman" w:hAnsi="Times New Roman" w:cs="Times New Roman"/>
                      <w:color w:val="auto"/>
                      <w:kern w:val="2"/>
                      <w:sz w:val="21"/>
                      <w:szCs w:val="21"/>
                      <w:highlight w:val="none"/>
                      <w:lang w:val="en-US" w:eastAsia="zh-CN"/>
                    </w:rPr>
                    <w:t>表面处理剂</w:t>
                  </w:r>
                  <w:r>
                    <w:rPr>
                      <w:rFonts w:hint="eastAsia" w:ascii="Times New Roman" w:hAnsi="Times New Roman" w:cs="Times New Roman"/>
                      <w:color w:val="auto"/>
                      <w:kern w:val="2"/>
                      <w:sz w:val="21"/>
                      <w:szCs w:val="21"/>
                      <w:highlight w:val="none"/>
                      <w:lang w:eastAsia="zh-CN"/>
                    </w:rPr>
                    <w:t>包装桶</w:t>
                  </w:r>
                  <w:r>
                    <w:rPr>
                      <w:rFonts w:hint="default" w:ascii="Times New Roman" w:hAnsi="Times New Roman" w:cs="Times New Roman"/>
                      <w:b w:val="0"/>
                      <w:bCs w:val="0"/>
                      <w:color w:val="auto"/>
                      <w:kern w:val="2"/>
                      <w:sz w:val="21"/>
                      <w:szCs w:val="21"/>
                      <w:highlight w:val="none"/>
                      <w:lang w:eastAsia="zh-CN"/>
                    </w:rPr>
                    <w:t>、</w:t>
                  </w:r>
                  <w:r>
                    <w:rPr>
                      <w:rFonts w:hint="eastAsia" w:ascii="Times New Roman" w:hAnsi="Times New Roman" w:cs="Times New Roman"/>
                      <w:b w:val="0"/>
                      <w:bCs w:val="0"/>
                      <w:color w:val="auto"/>
                      <w:kern w:val="2"/>
                      <w:sz w:val="21"/>
                      <w:szCs w:val="21"/>
                      <w:highlight w:val="none"/>
                      <w:lang w:val="en-US" w:eastAsia="zh-CN"/>
                    </w:rPr>
                    <w:t>无铬钝化池</w:t>
                  </w:r>
                  <w:r>
                    <w:rPr>
                      <w:rFonts w:hint="default" w:ascii="Times New Roman" w:hAnsi="Times New Roman" w:cs="Times New Roman"/>
                      <w:color w:val="auto"/>
                      <w:kern w:val="2"/>
                      <w:sz w:val="21"/>
                      <w:szCs w:val="21"/>
                      <w:highlight w:val="none"/>
                      <w:lang w:val="en-US" w:eastAsia="zh-CN"/>
                    </w:rPr>
                    <w:t>废槽液</w:t>
                  </w:r>
                </w:p>
              </w:tc>
              <w:tc>
                <w:tcPr>
                  <w:tcW w:w="1483" w:type="pct"/>
                  <w:vMerge w:val="continue"/>
                  <w:noWrap w:val="0"/>
                  <w:vAlign w:val="center"/>
                </w:tcPr>
                <w:p w14:paraId="6E74D96D">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r>
            <w:tr w14:paraId="623F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10" w:type="pct"/>
                  <w:vMerge w:val="continue"/>
                  <w:noWrap w:val="0"/>
                  <w:vAlign w:val="center"/>
                </w:tcPr>
                <w:p w14:paraId="08FA54A8">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tcBorders>
                    <w:bottom w:val="single" w:color="000000" w:sz="4" w:space="0"/>
                  </w:tcBorders>
                  <w:noWrap w:val="0"/>
                  <w:vAlign w:val="center"/>
                </w:tcPr>
                <w:p w14:paraId="722265BD">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ascii="Times New Roman" w:hAnsi="Times New Roman" w:eastAsia="宋体" w:cs="Times New Roman"/>
                      <w:color w:val="auto"/>
                      <w:kern w:val="2"/>
                      <w:position w:val="-10"/>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rPr>
                    <w:t>设备维修保养</w:t>
                  </w:r>
                </w:p>
              </w:tc>
              <w:tc>
                <w:tcPr>
                  <w:tcW w:w="1708" w:type="pct"/>
                  <w:tcBorders>
                    <w:bottom w:val="single" w:color="000000" w:sz="4" w:space="0"/>
                  </w:tcBorders>
                  <w:noWrap w:val="0"/>
                  <w:vAlign w:val="center"/>
                </w:tcPr>
                <w:p w14:paraId="7F2304F9">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cs="Times New Roman"/>
                      <w:color w:val="auto"/>
                      <w:kern w:val="2"/>
                      <w:sz w:val="21"/>
                      <w:szCs w:val="21"/>
                      <w:highlight w:val="none"/>
                    </w:rPr>
                    <w:t>废机油桶、废机油</w:t>
                  </w:r>
                  <w:r>
                    <w:rPr>
                      <w:rFonts w:hint="eastAsia" w:ascii="Times New Roman" w:hAnsi="Times New Roman" w:cs="Times New Roman"/>
                      <w:color w:val="auto"/>
                      <w:kern w:val="2"/>
                      <w:sz w:val="21"/>
                      <w:szCs w:val="21"/>
                      <w:highlight w:val="none"/>
                      <w:lang w:eastAsia="zh-CN"/>
                    </w:rPr>
                    <w:t>、</w:t>
                  </w:r>
                  <w:r>
                    <w:rPr>
                      <w:rFonts w:hint="eastAsia" w:ascii="Times New Roman" w:hAnsi="Times New Roman" w:cs="Times New Roman"/>
                      <w:color w:val="auto"/>
                      <w:kern w:val="2"/>
                      <w:sz w:val="21"/>
                      <w:szCs w:val="21"/>
                      <w:highlight w:val="none"/>
                      <w:lang w:val="en-US" w:eastAsia="zh-CN"/>
                    </w:rPr>
                    <w:t>废含油手套抹布</w:t>
                  </w:r>
                </w:p>
              </w:tc>
              <w:tc>
                <w:tcPr>
                  <w:tcW w:w="1483" w:type="pct"/>
                  <w:vMerge w:val="continue"/>
                  <w:noWrap w:val="0"/>
                  <w:vAlign w:val="center"/>
                </w:tcPr>
                <w:p w14:paraId="73BD03B1">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r>
            <w:tr w14:paraId="3482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7BFA88B7">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tcBorders>
                    <w:bottom w:val="single" w:color="000000" w:sz="4" w:space="0"/>
                  </w:tcBorders>
                  <w:noWrap w:val="0"/>
                  <w:vAlign w:val="center"/>
                </w:tcPr>
                <w:p w14:paraId="0EC36E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position w:val="-10"/>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钣金成型、喷</w:t>
                  </w:r>
                  <w:r>
                    <w:rPr>
                      <w:rFonts w:hint="eastAsia" w:cs="Times New Roman"/>
                      <w:i w:val="0"/>
                      <w:iCs w:val="0"/>
                      <w:color w:val="auto"/>
                      <w:kern w:val="0"/>
                      <w:sz w:val="21"/>
                      <w:szCs w:val="21"/>
                      <w:highlight w:val="none"/>
                      <w:u w:val="none"/>
                      <w:lang w:val="en-US" w:eastAsia="zh-CN" w:bidi="ar"/>
                    </w:rPr>
                    <w:t>涂</w:t>
                  </w:r>
                </w:p>
              </w:tc>
              <w:tc>
                <w:tcPr>
                  <w:tcW w:w="1708" w:type="pct"/>
                  <w:tcBorders>
                    <w:bottom w:val="single" w:color="000000" w:sz="4" w:space="0"/>
                  </w:tcBorders>
                  <w:noWrap w:val="0"/>
                  <w:vAlign w:val="center"/>
                </w:tcPr>
                <w:p w14:paraId="4FEF75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Cs/>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废液压油桶</w:t>
                  </w:r>
                  <w:r>
                    <w:rPr>
                      <w:rFonts w:hint="eastAsia"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i w:val="0"/>
                      <w:iCs w:val="0"/>
                      <w:color w:val="auto"/>
                      <w:kern w:val="0"/>
                      <w:sz w:val="21"/>
                      <w:szCs w:val="21"/>
                      <w:highlight w:val="none"/>
                      <w:u w:val="none"/>
                      <w:lang w:val="en-US" w:eastAsia="zh-CN" w:bidi="ar"/>
                    </w:rPr>
                    <w:t>废液压油</w:t>
                  </w:r>
                  <w:r>
                    <w:rPr>
                      <w:rFonts w:hint="eastAsia" w:ascii="Times New Roman" w:hAnsi="Times New Roman" w:eastAsia="宋体" w:cs="Times New Roman"/>
                      <w:i w:val="0"/>
                      <w:iCs w:val="0"/>
                      <w:color w:val="auto"/>
                      <w:kern w:val="0"/>
                      <w:sz w:val="21"/>
                      <w:szCs w:val="21"/>
                      <w:highlight w:val="none"/>
                      <w:u w:val="none"/>
                      <w:lang w:val="en-US" w:eastAsia="zh-CN" w:bidi="ar"/>
                    </w:rPr>
                    <w:t>、废原料桶</w:t>
                  </w:r>
                  <w:r>
                    <w:rPr>
                      <w:rFonts w:hint="eastAsia" w:cs="Times New Roman"/>
                      <w:i w:val="0"/>
                      <w:iCs w:val="0"/>
                      <w:color w:val="auto"/>
                      <w:kern w:val="0"/>
                      <w:sz w:val="21"/>
                      <w:szCs w:val="21"/>
                      <w:highlight w:val="none"/>
                      <w:u w:val="none"/>
                      <w:lang w:val="en-US" w:eastAsia="zh-CN" w:bidi="ar"/>
                    </w:rPr>
                    <w:t>、废粉末涂料</w:t>
                  </w:r>
                </w:p>
              </w:tc>
              <w:tc>
                <w:tcPr>
                  <w:tcW w:w="1483" w:type="pct"/>
                  <w:vMerge w:val="continue"/>
                  <w:noWrap w:val="0"/>
                  <w:vAlign w:val="center"/>
                </w:tcPr>
                <w:p w14:paraId="28F41C9E">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p>
              </w:tc>
            </w:tr>
            <w:tr w14:paraId="6568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4F1D499E">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tcBorders>
                    <w:top w:val="single" w:color="000000" w:sz="4" w:space="0"/>
                  </w:tcBorders>
                  <w:noWrap w:val="0"/>
                  <w:vAlign w:val="center"/>
                </w:tcPr>
                <w:p w14:paraId="1A54130A">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ascii="Times New Roman" w:hAnsi="Times New Roman" w:eastAsia="宋体"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机加工</w:t>
                  </w:r>
                </w:p>
              </w:tc>
              <w:tc>
                <w:tcPr>
                  <w:tcW w:w="1708" w:type="pct"/>
                  <w:tcBorders>
                    <w:top w:val="single" w:color="000000" w:sz="4" w:space="0"/>
                  </w:tcBorders>
                  <w:noWrap w:val="0"/>
                  <w:vAlign w:val="center"/>
                </w:tcPr>
                <w:p w14:paraId="27378989">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cs="Times New Roman"/>
                      <w:color w:val="auto"/>
                      <w:kern w:val="2"/>
                      <w:sz w:val="21"/>
                      <w:szCs w:val="21"/>
                      <w:highlight w:val="none"/>
                    </w:rPr>
                  </w:pPr>
                  <w:r>
                    <w:rPr>
                      <w:rFonts w:hint="eastAsia" w:ascii="Times New Roman" w:hAnsi="Times New Roman" w:cs="Times New Roman"/>
                      <w:color w:val="auto"/>
                      <w:kern w:val="2"/>
                      <w:sz w:val="21"/>
                      <w:szCs w:val="21"/>
                      <w:highlight w:val="none"/>
                      <w:lang w:val="en-US" w:eastAsia="zh-CN"/>
                    </w:rPr>
                    <w:t>包装废料</w:t>
                  </w:r>
                  <w:r>
                    <w:rPr>
                      <w:rFonts w:hint="default" w:ascii="Times New Roman" w:hAnsi="Times New Roman" w:cs="Times New Roman"/>
                      <w:color w:val="auto"/>
                      <w:kern w:val="2"/>
                      <w:sz w:val="21"/>
                      <w:szCs w:val="21"/>
                      <w:highlight w:val="none"/>
                    </w:rPr>
                    <w:t>、机加工边角料</w:t>
                  </w:r>
                </w:p>
              </w:tc>
              <w:tc>
                <w:tcPr>
                  <w:tcW w:w="1483" w:type="pct"/>
                  <w:vMerge w:val="restart"/>
                  <w:noWrap w:val="0"/>
                  <w:vAlign w:val="center"/>
                </w:tcPr>
                <w:p w14:paraId="7FB77C80">
                  <w:pPr>
                    <w:adjustRightInd w:val="0"/>
                    <w:snapToGrid w:val="0"/>
                    <w:spacing w:line="240" w:lineRule="auto"/>
                    <w:jc w:val="center"/>
                    <w:rPr>
                      <w:rFonts w:hint="default" w:ascii="Times New Roman" w:hAnsi="Times New Roman" w:eastAsia="宋体" w:cs="Times New Roman"/>
                      <w:bCs/>
                      <w:color w:val="auto"/>
                      <w:sz w:val="21"/>
                      <w:szCs w:val="21"/>
                      <w:lang w:val="en-US" w:eastAsia="zh-CN"/>
                    </w:rPr>
                  </w:pPr>
                  <w:r>
                    <w:rPr>
                      <w:rFonts w:hint="eastAsia" w:cs="Times New Roman"/>
                      <w:i w:val="0"/>
                      <w:iCs w:val="0"/>
                      <w:color w:val="auto"/>
                      <w:kern w:val="0"/>
                      <w:sz w:val="21"/>
                      <w:szCs w:val="21"/>
                      <w:highlight w:val="none"/>
                      <w:u w:val="none"/>
                      <w:lang w:val="en-US" w:eastAsia="zh-CN" w:bidi="ar"/>
                    </w:rPr>
                    <w:t>经收集后暂存</w:t>
                  </w:r>
                  <w:r>
                    <w:rPr>
                      <w:rFonts w:hint="default" w:ascii="Times New Roman" w:hAnsi="Times New Roman" w:eastAsia="宋体" w:cs="Times New Roman"/>
                      <w:i w:val="0"/>
                      <w:iCs w:val="0"/>
                      <w:color w:val="auto"/>
                      <w:kern w:val="0"/>
                      <w:sz w:val="21"/>
                      <w:szCs w:val="21"/>
                      <w:highlight w:val="none"/>
                      <w:u w:val="none"/>
                      <w:lang w:val="en-US" w:eastAsia="zh-CN" w:bidi="ar"/>
                    </w:rPr>
                    <w:t>于一般固废暂存</w:t>
                  </w:r>
                  <w:r>
                    <w:rPr>
                      <w:rFonts w:hint="eastAsia" w:cs="Times New Roman"/>
                      <w:i w:val="0"/>
                      <w:iCs w:val="0"/>
                      <w:color w:val="auto"/>
                      <w:kern w:val="0"/>
                      <w:sz w:val="21"/>
                      <w:szCs w:val="21"/>
                      <w:highlight w:val="none"/>
                      <w:u w:val="none"/>
                      <w:lang w:val="en-US" w:eastAsia="zh-CN" w:bidi="ar"/>
                    </w:rPr>
                    <w:t>间，交专业单位回收处理</w:t>
                  </w:r>
                </w:p>
              </w:tc>
            </w:tr>
            <w:tr w14:paraId="27F7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488C21B0">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vMerge w:val="restart"/>
                  <w:noWrap w:val="0"/>
                  <w:vAlign w:val="center"/>
                </w:tcPr>
                <w:p w14:paraId="29FD5C02">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color w:val="auto"/>
                      <w:kern w:val="2"/>
                      <w:position w:val="-10"/>
                      <w:sz w:val="21"/>
                      <w:szCs w:val="21"/>
                      <w:highlight w:val="none"/>
                      <w:lang w:val="en-US" w:eastAsia="zh-CN" w:bidi="ar-SA"/>
                    </w:rPr>
                  </w:pPr>
                  <w:r>
                    <w:rPr>
                      <w:rFonts w:hint="eastAsia" w:cs="Times New Roman"/>
                      <w:color w:val="auto"/>
                      <w:kern w:val="2"/>
                      <w:sz w:val="21"/>
                      <w:szCs w:val="21"/>
                      <w:highlight w:val="none"/>
                      <w:lang w:val="en-US" w:eastAsia="zh-CN"/>
                    </w:rPr>
                    <w:t>废气处理设施</w:t>
                  </w:r>
                </w:p>
              </w:tc>
              <w:tc>
                <w:tcPr>
                  <w:tcW w:w="1708" w:type="pct"/>
                  <w:noWrap w:val="0"/>
                  <w:vAlign w:val="center"/>
                </w:tcPr>
                <w:p w14:paraId="69D1949E">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eastAsia="宋体" w:cs="Times New Roman"/>
                      <w:bCs/>
                      <w:color w:val="auto"/>
                      <w:kern w:val="2"/>
                      <w:sz w:val="21"/>
                      <w:szCs w:val="21"/>
                      <w:lang w:val="en-US" w:eastAsia="zh-CN" w:bidi="ar-SA"/>
                    </w:rPr>
                  </w:pPr>
                  <w:r>
                    <w:rPr>
                      <w:rFonts w:hint="eastAsia" w:cs="Times New Roman"/>
                      <w:color w:val="auto"/>
                      <w:kern w:val="2"/>
                      <w:sz w:val="21"/>
                      <w:szCs w:val="21"/>
                      <w:highlight w:val="none"/>
                      <w:lang w:val="en-US" w:eastAsia="zh-CN"/>
                    </w:rPr>
                    <w:t>废金属粉尘、废滤芯</w:t>
                  </w:r>
                </w:p>
              </w:tc>
              <w:tc>
                <w:tcPr>
                  <w:tcW w:w="1483" w:type="pct"/>
                  <w:vMerge w:val="continue"/>
                  <w:noWrap w:val="0"/>
                  <w:vAlign w:val="center"/>
                </w:tcPr>
                <w:p w14:paraId="447733A5">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p>
              </w:tc>
            </w:tr>
            <w:tr w14:paraId="7008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vMerge w:val="continue"/>
                  <w:noWrap w:val="0"/>
                  <w:vAlign w:val="center"/>
                </w:tcPr>
                <w:p w14:paraId="50B1148C">
                  <w:pPr>
                    <w:adjustRightInd w:val="0"/>
                    <w:snapToGrid w:val="0"/>
                    <w:spacing w:line="240" w:lineRule="auto"/>
                    <w:jc w:val="center"/>
                    <w:rPr>
                      <w:rFonts w:hint="default" w:ascii="Times New Roman" w:hAnsi="Times New Roman" w:eastAsia="宋体" w:cs="Times New Roman"/>
                      <w:bCs/>
                      <w:color w:val="auto"/>
                      <w:sz w:val="21"/>
                      <w:szCs w:val="21"/>
                    </w:rPr>
                  </w:pPr>
                </w:p>
              </w:tc>
              <w:tc>
                <w:tcPr>
                  <w:tcW w:w="1398" w:type="pct"/>
                  <w:vMerge w:val="continue"/>
                  <w:noWrap w:val="0"/>
                  <w:vAlign w:val="center"/>
                </w:tcPr>
                <w:p w14:paraId="5EB1EA67">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eastAsia" w:cs="Times New Roman"/>
                      <w:color w:val="auto"/>
                      <w:kern w:val="2"/>
                      <w:sz w:val="21"/>
                      <w:szCs w:val="21"/>
                      <w:highlight w:val="none"/>
                      <w:lang w:val="en-US" w:eastAsia="zh-CN"/>
                    </w:rPr>
                  </w:pPr>
                </w:p>
              </w:tc>
              <w:tc>
                <w:tcPr>
                  <w:tcW w:w="1708" w:type="pct"/>
                  <w:noWrap w:val="0"/>
                  <w:vAlign w:val="center"/>
                </w:tcPr>
                <w:p w14:paraId="496A9037">
                  <w:pPr>
                    <w:pStyle w:val="109"/>
                    <w:keepNext w:val="0"/>
                    <w:keepLines w:val="0"/>
                    <w:pageBreakBefore w:val="0"/>
                    <w:widowControl/>
                    <w:suppressLineNumbers w:val="0"/>
                    <w:tabs>
                      <w:tab w:val="left" w:pos="-2848"/>
                    </w:tabs>
                    <w:kinsoku/>
                    <w:wordWrap w:val="0"/>
                    <w:overflowPunct/>
                    <w:topLinePunct w:val="0"/>
                    <w:autoSpaceDE w:val="0"/>
                    <w:autoSpaceDN w:val="0"/>
                    <w:bidi w:val="0"/>
                    <w:adjustRightInd/>
                    <w:snapToGrid/>
                    <w:spacing w:before="0" w:beforeAutospacing="0" w:after="0" w:afterAutospacing="0" w:line="240" w:lineRule="auto"/>
                    <w:ind w:left="0" w:leftChars="0" w:right="0" w:rightChars="0"/>
                    <w:textAlignment w:val="center"/>
                    <w:outlineLvl w:val="9"/>
                    <w:rPr>
                      <w:rFonts w:hint="default" w:ascii="Times New Roman" w:hAnsi="Times New Roman" w:cs="Times New Roman"/>
                      <w:color w:val="auto"/>
                      <w:kern w:val="2"/>
                      <w:sz w:val="21"/>
                      <w:szCs w:val="21"/>
                      <w:highlight w:val="none"/>
                      <w:lang w:val="en-US"/>
                    </w:rPr>
                  </w:pPr>
                  <w:r>
                    <w:rPr>
                      <w:rFonts w:hint="eastAsia" w:cs="Times New Roman"/>
                      <w:color w:val="auto"/>
                      <w:kern w:val="2"/>
                      <w:sz w:val="21"/>
                      <w:szCs w:val="21"/>
                      <w:highlight w:val="none"/>
                      <w:lang w:val="en-US" w:eastAsia="zh-CN"/>
                    </w:rPr>
                    <w:t>废过滤棉、废活性炭、喷淋废液及沉渣、喷枪清洗废液、废静电喷粉滤芯、废催化剂</w:t>
                  </w:r>
                </w:p>
              </w:tc>
              <w:tc>
                <w:tcPr>
                  <w:tcW w:w="1483" w:type="pct"/>
                  <w:noWrap w:val="0"/>
                  <w:vAlign w:val="center"/>
                </w:tcPr>
                <w:p w14:paraId="3A5A89A2">
                  <w:pPr>
                    <w:adjustRightInd w:val="0"/>
                    <w:snapToGrid w:val="0"/>
                    <w:spacing w:line="240" w:lineRule="auto"/>
                    <w:jc w:val="center"/>
                    <w:rPr>
                      <w:rFonts w:hint="default" w:ascii="Times New Roman" w:hAnsi="Times New Roman" w:eastAsia="宋体" w:cs="Times New Roman"/>
                      <w:bCs/>
                      <w:color w:val="auto"/>
                      <w:kern w:val="2"/>
                      <w:sz w:val="21"/>
                      <w:szCs w:val="21"/>
                      <w:lang w:val="en-US" w:eastAsia="zh-CN" w:bidi="ar-SA"/>
                    </w:rPr>
                  </w:pPr>
                  <w:r>
                    <w:rPr>
                      <w:rFonts w:hint="eastAsia" w:cs="Times New Roman"/>
                      <w:i w:val="0"/>
                      <w:iCs w:val="0"/>
                      <w:color w:val="auto"/>
                      <w:kern w:val="0"/>
                      <w:sz w:val="21"/>
                      <w:szCs w:val="21"/>
                      <w:highlight w:val="none"/>
                      <w:u w:val="none"/>
                      <w:lang w:val="en-US" w:eastAsia="zh-CN" w:bidi="ar"/>
                    </w:rPr>
                    <w:t>经收集后</w:t>
                  </w:r>
                  <w:r>
                    <w:rPr>
                      <w:rFonts w:hint="default" w:ascii="Times New Roman" w:hAnsi="Times New Roman" w:eastAsia="宋体" w:cs="Times New Roman"/>
                      <w:bCs/>
                      <w:color w:val="auto"/>
                      <w:sz w:val="21"/>
                      <w:szCs w:val="21"/>
                      <w:lang w:val="en-US" w:eastAsia="zh-CN"/>
                    </w:rPr>
                    <w:t>暂存</w:t>
                  </w:r>
                  <w:r>
                    <w:rPr>
                      <w:rFonts w:hint="eastAsia" w:ascii="Times New Roman" w:hAnsi="Times New Roman" w:eastAsia="宋体" w:cs="Times New Roman"/>
                      <w:bCs/>
                      <w:color w:val="auto"/>
                      <w:sz w:val="21"/>
                      <w:szCs w:val="21"/>
                      <w:lang w:val="en-US" w:eastAsia="zh-CN"/>
                    </w:rPr>
                    <w:t>于</w:t>
                  </w:r>
                  <w:r>
                    <w:rPr>
                      <w:rFonts w:hint="eastAsia" w:cs="Times New Roman"/>
                      <w:bCs/>
                      <w:color w:val="auto"/>
                      <w:sz w:val="21"/>
                      <w:szCs w:val="21"/>
                      <w:lang w:val="en-US" w:eastAsia="zh-CN"/>
                    </w:rPr>
                    <w:t>危险废物贮存间</w:t>
                  </w:r>
                  <w:r>
                    <w:rPr>
                      <w:rFonts w:hint="default" w:ascii="Times New Roman" w:hAnsi="Times New Roman" w:eastAsia="宋体" w:cs="Times New Roman"/>
                      <w:bCs/>
                      <w:color w:val="auto"/>
                      <w:sz w:val="21"/>
                      <w:szCs w:val="21"/>
                      <w:lang w:val="en-US" w:eastAsia="zh-CN"/>
                    </w:rPr>
                    <w:t>，交有危险废物处理资质单位处理</w:t>
                  </w:r>
                </w:p>
              </w:tc>
            </w:tr>
            <w:tr w14:paraId="7A7F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10" w:type="pct"/>
                  <w:noWrap w:val="0"/>
                  <w:vAlign w:val="center"/>
                </w:tcPr>
                <w:p w14:paraId="3862FFDA">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噪声</w:t>
                  </w:r>
                </w:p>
              </w:tc>
              <w:tc>
                <w:tcPr>
                  <w:tcW w:w="1398" w:type="pct"/>
                  <w:noWrap w:val="0"/>
                  <w:vAlign w:val="center"/>
                </w:tcPr>
                <w:p w14:paraId="7E00A2A8">
                  <w:pPr>
                    <w:adjustRightInd w:val="0"/>
                    <w:snapToGrid w:val="0"/>
                    <w:spacing w:line="240" w:lineRule="auto"/>
                    <w:jc w:val="center"/>
                    <w:rPr>
                      <w:rFonts w:hint="default" w:ascii="Times New Roman" w:hAnsi="Times New Roman" w:eastAsia="宋体" w:cs="Times New Roman"/>
                      <w:bCs/>
                      <w:color w:val="auto"/>
                      <w:sz w:val="21"/>
                      <w:szCs w:val="21"/>
                    </w:rPr>
                  </w:pPr>
                  <w:r>
                    <w:rPr>
                      <w:rFonts w:hint="eastAsia" w:cs="Times New Roman"/>
                      <w:color w:val="auto"/>
                      <w:sz w:val="21"/>
                      <w:szCs w:val="21"/>
                      <w:lang w:val="en-US" w:eastAsia="zh-CN"/>
                    </w:rPr>
                    <w:t>各类生产设备、</w:t>
                  </w:r>
                  <w:r>
                    <w:rPr>
                      <w:rFonts w:hint="default" w:ascii="Times New Roman" w:hAnsi="Times New Roman" w:eastAsia="宋体" w:cs="Times New Roman"/>
                      <w:color w:val="auto"/>
                      <w:sz w:val="21"/>
                      <w:szCs w:val="21"/>
                      <w:lang w:val="en-US" w:eastAsia="zh-CN"/>
                    </w:rPr>
                    <w:t>污水泵、</w:t>
                  </w:r>
                  <w:r>
                    <w:rPr>
                      <w:rFonts w:hint="eastAsia" w:cs="Times New Roman"/>
                      <w:color w:val="auto"/>
                      <w:sz w:val="21"/>
                      <w:szCs w:val="21"/>
                      <w:lang w:val="en-US" w:eastAsia="zh-CN"/>
                    </w:rPr>
                    <w:t>风机</w:t>
                  </w:r>
                  <w:r>
                    <w:rPr>
                      <w:rFonts w:hint="default" w:ascii="Times New Roman" w:hAnsi="Times New Roman" w:eastAsia="宋体" w:cs="Times New Roman"/>
                      <w:color w:val="auto"/>
                      <w:sz w:val="21"/>
                      <w:szCs w:val="21"/>
                      <w:lang w:val="en-US" w:eastAsia="zh-CN"/>
                    </w:rPr>
                    <w:t>等</w:t>
                  </w:r>
                  <w:r>
                    <w:rPr>
                      <w:rFonts w:hint="default" w:ascii="Times New Roman" w:hAnsi="Times New Roman" w:eastAsia="宋体" w:cs="Times New Roman"/>
                      <w:bCs/>
                      <w:color w:val="auto"/>
                      <w:sz w:val="21"/>
                      <w:szCs w:val="21"/>
                    </w:rPr>
                    <w:t>设备运行</w:t>
                  </w:r>
                </w:p>
              </w:tc>
              <w:tc>
                <w:tcPr>
                  <w:tcW w:w="1708" w:type="pct"/>
                  <w:noWrap w:val="0"/>
                  <w:vAlign w:val="center"/>
                </w:tcPr>
                <w:p w14:paraId="2F8B7D91">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噪声</w:t>
                  </w:r>
                </w:p>
              </w:tc>
              <w:tc>
                <w:tcPr>
                  <w:tcW w:w="1483" w:type="pct"/>
                  <w:noWrap w:val="0"/>
                  <w:vAlign w:val="center"/>
                </w:tcPr>
                <w:p w14:paraId="28EB1A6B">
                  <w:pPr>
                    <w:adjustRightInd w:val="0"/>
                    <w:snapToGrid w:val="0"/>
                    <w:spacing w:line="240" w:lineRule="auto"/>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color w:val="auto"/>
                      <w:sz w:val="21"/>
                      <w:szCs w:val="21"/>
                    </w:rPr>
                    <w:t>基础减振、墙体隔声、距离衰减</w:t>
                  </w:r>
                </w:p>
              </w:tc>
            </w:tr>
          </w:tbl>
          <w:p w14:paraId="32CA5189">
            <w:pPr>
              <w:spacing w:line="360" w:lineRule="auto"/>
              <w:ind w:firstLine="720" w:firstLineChars="200"/>
              <w:rPr>
                <w:rFonts w:ascii="黑体" w:hAnsi="黑体" w:eastAsia="黑体"/>
                <w:snapToGrid w:val="0"/>
                <w:color w:val="auto"/>
                <w:sz w:val="36"/>
                <w:szCs w:val="36"/>
                <w:highlight w:val="none"/>
                <w:vertAlign w:val="baseline"/>
              </w:rPr>
            </w:pPr>
          </w:p>
        </w:tc>
      </w:tr>
      <w:tr w14:paraId="6A99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0" w:hRule="atLeast"/>
        </w:trPr>
        <w:tc>
          <w:tcPr>
            <w:tcW w:w="575" w:type="dxa"/>
            <w:noWrap w:val="0"/>
            <w:vAlign w:val="center"/>
          </w:tcPr>
          <w:p w14:paraId="3F62E2E6">
            <w:pPr>
              <w:pStyle w:val="45"/>
              <w:adjustRightInd w:val="0"/>
              <w:snapToGrid w:val="0"/>
              <w:spacing w:before="0" w:beforeAutospacing="0" w:after="0" w:afterAutospacing="0"/>
              <w:rPr>
                <w:rFonts w:ascii="黑体" w:hAnsi="黑体" w:eastAsia="黑体"/>
                <w:snapToGrid w:val="0"/>
                <w:color w:val="auto"/>
                <w:sz w:val="36"/>
                <w:szCs w:val="36"/>
                <w:highlight w:val="none"/>
                <w:vertAlign w:val="baseline"/>
              </w:rPr>
            </w:pPr>
            <w:r>
              <w:rPr>
                <w:rFonts w:hint="default" w:ascii="Times New Roman" w:hAnsi="Times New Roman" w:cs="Times New Roman"/>
                <w:bCs/>
                <w:color w:val="auto"/>
                <w:kern w:val="2"/>
                <w:szCs w:val="24"/>
                <w:highlight w:val="none"/>
              </w:rPr>
              <w:t>与项目有关的原有环境污染问题</w:t>
            </w:r>
          </w:p>
        </w:tc>
        <w:tc>
          <w:tcPr>
            <w:tcW w:w="8485" w:type="dxa"/>
            <w:noWrap w:val="0"/>
            <w:vAlign w:val="center"/>
          </w:tcPr>
          <w:p w14:paraId="4FB402AA">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color w:val="auto"/>
                <w:sz w:val="24"/>
                <w:szCs w:val="21"/>
                <w:highlight w:val="none"/>
              </w:rPr>
            </w:pPr>
            <w:r>
              <w:rPr>
                <w:rFonts w:hint="default" w:ascii="Times New Roman" w:hAnsi="Times New Roman" w:eastAsia="宋体" w:cs="Times New Roman"/>
                <w:b/>
                <w:color w:val="auto"/>
                <w:sz w:val="24"/>
                <w:szCs w:val="21"/>
                <w:highlight w:val="none"/>
              </w:rPr>
              <w:t>1.</w:t>
            </w:r>
            <w:r>
              <w:rPr>
                <w:rFonts w:hint="default" w:ascii="Times New Roman" w:hAnsi="Times New Roman" w:eastAsia="宋体" w:cs="Times New Roman"/>
                <w:b/>
                <w:color w:val="auto"/>
                <w:sz w:val="24"/>
                <w:highlight w:val="none"/>
              </w:rPr>
              <w:t>与本项目有关的原有污染情况</w:t>
            </w:r>
          </w:p>
          <w:p w14:paraId="63EA804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1"/>
                <w:highlight w:val="none"/>
              </w:rPr>
              <w:t>本项目属新建项目，无与本项目有关的原有污染情况。</w:t>
            </w:r>
          </w:p>
          <w:p w14:paraId="1F4E134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360" w:lineRule="auto"/>
              <w:ind w:left="0" w:right="0" w:firstLine="482" w:firstLineChars="200"/>
              <w:textAlignment w:val="auto"/>
              <w:rPr>
                <w:rFonts w:hint="default" w:ascii="Times New Roman" w:hAnsi="Times New Roman" w:eastAsia="宋体" w:cs="Times New Roman"/>
                <w:b/>
                <w:color w:val="auto"/>
                <w:sz w:val="24"/>
                <w:szCs w:val="21"/>
                <w:highlight w:val="none"/>
              </w:rPr>
            </w:pPr>
            <w:r>
              <w:rPr>
                <w:rFonts w:hint="default" w:ascii="Times New Roman" w:hAnsi="Times New Roman" w:eastAsia="宋体" w:cs="Times New Roman"/>
                <w:b/>
                <w:color w:val="auto"/>
                <w:sz w:val="24"/>
                <w:szCs w:val="21"/>
                <w:highlight w:val="none"/>
              </w:rPr>
              <w:t>2.园区现状污染源情况</w:t>
            </w:r>
          </w:p>
          <w:p w14:paraId="51B30B4E">
            <w:pPr>
              <w:keepNext w:val="0"/>
              <w:keepLines w:val="0"/>
              <w:pageBreakBefore w:val="0"/>
              <w:widowControl w:val="0"/>
              <w:suppressLineNumbers w:val="0"/>
              <w:kinsoku/>
              <w:wordWrap/>
              <w:overflowPunct/>
              <w:topLinePunct w:val="0"/>
              <w:autoSpaceDE/>
              <w:autoSpaceDN/>
              <w:bidi w:val="0"/>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截至202</w:t>
            </w:r>
            <w:r>
              <w:rPr>
                <w:rFonts w:hint="eastAsia"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年</w:t>
            </w:r>
            <w:r>
              <w:rPr>
                <w:rFonts w:hint="eastAsia"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月，乐昌产业转移工业园范围内产业现状基本以工业产业为主，共涉及</w:t>
            </w:r>
            <w:r>
              <w:rPr>
                <w:rFonts w:hint="eastAsia" w:cs="Times New Roman"/>
                <w:color w:val="auto"/>
                <w:kern w:val="2"/>
                <w:sz w:val="24"/>
                <w:szCs w:val="24"/>
                <w:highlight w:val="none"/>
                <w:lang w:val="en-US" w:eastAsia="zh-CN" w:bidi="ar-SA"/>
              </w:rPr>
              <w:t>114</w:t>
            </w:r>
            <w:r>
              <w:rPr>
                <w:rFonts w:hint="default" w:ascii="Times New Roman" w:hAnsi="Times New Roman" w:eastAsia="宋体" w:cs="Times New Roman"/>
                <w:color w:val="auto"/>
                <w:kern w:val="2"/>
                <w:sz w:val="24"/>
                <w:szCs w:val="24"/>
                <w:highlight w:val="none"/>
                <w:lang w:val="en-US" w:eastAsia="zh-CN" w:bidi="ar-SA"/>
              </w:rPr>
              <w:t>家企业，其中</w:t>
            </w:r>
            <w:r>
              <w:rPr>
                <w:rFonts w:hint="eastAsia" w:cs="Times New Roman"/>
                <w:color w:val="auto"/>
                <w:kern w:val="2"/>
                <w:sz w:val="24"/>
                <w:szCs w:val="24"/>
                <w:highlight w:val="none"/>
                <w:lang w:val="en-US" w:eastAsia="zh-CN" w:bidi="ar-SA"/>
              </w:rPr>
              <w:t>6家企业</w:t>
            </w:r>
            <w:r>
              <w:rPr>
                <w:rFonts w:hint="default" w:ascii="Times New Roman" w:hAnsi="Times New Roman" w:eastAsia="宋体" w:cs="Times New Roman"/>
                <w:color w:val="auto"/>
                <w:kern w:val="2"/>
                <w:sz w:val="24"/>
                <w:szCs w:val="24"/>
                <w:highlight w:val="none"/>
                <w:lang w:val="en-US" w:eastAsia="zh-CN" w:bidi="ar-SA"/>
              </w:rPr>
              <w:t>已经停产。本评价根据环评情况和建设生产情况，将企业分为已建、在建、停产三大类：已建企业为已经投产运行或正在试运行的企业；在建企业为已通过环评，正在建设的企业；停产企业为已经建成，但停产的企业。产业园内企业情况详见下表。</w:t>
            </w:r>
          </w:p>
          <w:p w14:paraId="4334A0F3">
            <w:pPr>
              <w:pStyle w:val="16"/>
              <w:pageBreakBefore w:val="0"/>
              <w:numPr>
                <w:ilvl w:val="0"/>
                <w:numId w:val="10"/>
              </w:numPr>
              <w:tabs>
                <w:tab w:val="clear" w:pos="3240"/>
                <w:tab w:val="clear" w:pos="6120"/>
              </w:tabs>
              <w:kinsoku/>
              <w:overflowPunct/>
              <w:topLinePunct w:val="0"/>
              <w:bidi w:val="0"/>
              <w:snapToGrid/>
              <w:spacing w:line="240" w:lineRule="auto"/>
              <w:ind w:left="0" w:leftChars="0" w:firstLine="40" w:firstLineChars="0"/>
              <w:jc w:val="center"/>
              <w:outlineLvl w:val="9"/>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园区通过环评审批企业情况统计</w:t>
            </w:r>
          </w:p>
          <w:tbl>
            <w:tblPr>
              <w:tblStyle w:val="132"/>
              <w:tblW w:w="831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0"/>
              <w:gridCol w:w="1301"/>
              <w:gridCol w:w="372"/>
              <w:gridCol w:w="1015"/>
              <w:gridCol w:w="904"/>
              <w:gridCol w:w="2499"/>
              <w:gridCol w:w="1897"/>
            </w:tblGrid>
            <w:tr w14:paraId="79843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30" w:type="dxa"/>
                  <w:vAlign w:val="center"/>
                </w:tcPr>
                <w:p w14:paraId="7278E2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bookmarkStart w:id="12" w:name="_Ref11703236"/>
                  <w:r>
                    <w:rPr>
                      <w:rFonts w:hint="default" w:ascii="Times New Roman" w:hAnsi="Times New Roman" w:eastAsia="宋体" w:cs="Times New Roman"/>
                      <w:b/>
                      <w:bCs/>
                      <w:i w:val="0"/>
                      <w:iCs w:val="0"/>
                      <w:color w:val="auto"/>
                      <w:kern w:val="0"/>
                      <w:sz w:val="21"/>
                      <w:szCs w:val="21"/>
                      <w:highlight w:val="none"/>
                      <w:u w:val="none"/>
                      <w:lang w:val="en-US" w:eastAsia="zh-CN"/>
                    </w:rPr>
                    <w:t>序号</w:t>
                  </w:r>
                </w:p>
              </w:tc>
              <w:tc>
                <w:tcPr>
                  <w:tcW w:w="1301" w:type="dxa"/>
                  <w:vAlign w:val="center"/>
                </w:tcPr>
                <w:p w14:paraId="7579DF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企业名称</w:t>
                  </w:r>
                </w:p>
              </w:tc>
              <w:tc>
                <w:tcPr>
                  <w:tcW w:w="372" w:type="dxa"/>
                  <w:vAlign w:val="center"/>
                </w:tcPr>
                <w:p w14:paraId="472CC32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建设情况</w:t>
                  </w:r>
                </w:p>
              </w:tc>
              <w:tc>
                <w:tcPr>
                  <w:tcW w:w="1015" w:type="dxa"/>
                  <w:vAlign w:val="center"/>
                </w:tcPr>
                <w:p w14:paraId="7EFB6D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产业类型</w:t>
                  </w:r>
                </w:p>
              </w:tc>
              <w:tc>
                <w:tcPr>
                  <w:tcW w:w="904" w:type="dxa"/>
                  <w:vAlign w:val="center"/>
                </w:tcPr>
                <w:p w14:paraId="3DC509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占地面积（平方米）</w:t>
                  </w:r>
                </w:p>
              </w:tc>
              <w:tc>
                <w:tcPr>
                  <w:tcW w:w="2499" w:type="dxa"/>
                  <w:vAlign w:val="center"/>
                </w:tcPr>
                <w:p w14:paraId="7E6CA0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主要产品及规模</w:t>
                  </w:r>
                </w:p>
              </w:tc>
              <w:tc>
                <w:tcPr>
                  <w:tcW w:w="1897" w:type="dxa"/>
                  <w:vAlign w:val="center"/>
                </w:tcPr>
                <w:p w14:paraId="30E0DE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rPr>
                  </w:pPr>
                  <w:r>
                    <w:rPr>
                      <w:rFonts w:hint="default" w:ascii="Times New Roman" w:hAnsi="Times New Roman" w:eastAsia="宋体" w:cs="Times New Roman"/>
                      <w:b/>
                      <w:bCs/>
                      <w:i w:val="0"/>
                      <w:iCs w:val="0"/>
                      <w:color w:val="auto"/>
                      <w:kern w:val="0"/>
                      <w:sz w:val="21"/>
                      <w:szCs w:val="21"/>
                      <w:highlight w:val="none"/>
                      <w:u w:val="none"/>
                      <w:lang w:val="en-US" w:eastAsia="zh-CN"/>
                    </w:rPr>
                    <w:t>环评批复</w:t>
                  </w:r>
                </w:p>
              </w:tc>
            </w:tr>
            <w:tr w14:paraId="1D9075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800C9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w:t>
                  </w:r>
                </w:p>
              </w:tc>
              <w:tc>
                <w:tcPr>
                  <w:tcW w:w="1301" w:type="dxa"/>
                  <w:vAlign w:val="center"/>
                </w:tcPr>
                <w:p w14:paraId="123DAC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乐昌市金丰机械有限公司</w:t>
                  </w:r>
                </w:p>
              </w:tc>
              <w:tc>
                <w:tcPr>
                  <w:tcW w:w="372" w:type="dxa"/>
                  <w:vAlign w:val="center"/>
                </w:tcPr>
                <w:p w14:paraId="190463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55C28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金属制品业、通用设备制造业</w:t>
                  </w:r>
                </w:p>
              </w:tc>
              <w:tc>
                <w:tcPr>
                  <w:tcW w:w="904" w:type="dxa"/>
                  <w:vAlign w:val="center"/>
                </w:tcPr>
                <w:p w14:paraId="6F65E8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38528.3</w:t>
                  </w:r>
                </w:p>
              </w:tc>
              <w:tc>
                <w:tcPr>
                  <w:tcW w:w="2499" w:type="dxa"/>
                  <w:vAlign w:val="center"/>
                </w:tcPr>
                <w:p w14:paraId="7F17CC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2.4 万吨金属铸件，年加工 1800 吨机械零部件</w:t>
                  </w:r>
                </w:p>
              </w:tc>
              <w:tc>
                <w:tcPr>
                  <w:tcW w:w="1897" w:type="dxa"/>
                  <w:vAlign w:val="center"/>
                </w:tcPr>
                <w:p w14:paraId="40B6F8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]33 号、韶环乐审〔2022〕01 号</w:t>
                  </w:r>
                </w:p>
              </w:tc>
            </w:tr>
            <w:tr w14:paraId="324D0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78C1B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w:t>
                  </w:r>
                </w:p>
              </w:tc>
              <w:tc>
                <w:tcPr>
                  <w:tcW w:w="1301" w:type="dxa"/>
                  <w:vAlign w:val="center"/>
                </w:tcPr>
                <w:p w14:paraId="7AE100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乐昌市捷凯家具有限公司</w:t>
                  </w:r>
                </w:p>
              </w:tc>
              <w:tc>
                <w:tcPr>
                  <w:tcW w:w="372" w:type="dxa"/>
                  <w:vAlign w:val="center"/>
                </w:tcPr>
                <w:p w14:paraId="2EC4DA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442E6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3D3ADA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19980</w:t>
                  </w:r>
                </w:p>
              </w:tc>
              <w:tc>
                <w:tcPr>
                  <w:tcW w:w="2499" w:type="dxa"/>
                  <w:vAlign w:val="center"/>
                </w:tcPr>
                <w:p w14:paraId="1CACBA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年产家具铸铁件 1.2 万件</w:t>
                  </w:r>
                </w:p>
              </w:tc>
              <w:tc>
                <w:tcPr>
                  <w:tcW w:w="1897" w:type="dxa"/>
                  <w:vAlign w:val="center"/>
                </w:tcPr>
                <w:p w14:paraId="201B41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]38 号</w:t>
                  </w:r>
                </w:p>
              </w:tc>
            </w:tr>
            <w:tr w14:paraId="5DE6C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E4109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w:t>
                  </w:r>
                </w:p>
              </w:tc>
              <w:tc>
                <w:tcPr>
                  <w:tcW w:w="1301" w:type="dxa"/>
                  <w:vAlign w:val="center"/>
                </w:tcPr>
                <w:p w14:paraId="0E774D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乐昌市瑞创精工制造有限公</w:t>
                  </w:r>
                </w:p>
                <w:p w14:paraId="4367EE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33E526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79BA9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479DA1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19600</w:t>
                  </w:r>
                </w:p>
              </w:tc>
              <w:tc>
                <w:tcPr>
                  <w:tcW w:w="2499" w:type="dxa"/>
                  <w:vAlign w:val="center"/>
                </w:tcPr>
                <w:p w14:paraId="59D6DE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年产铸铁电饭煲内胆 10 万件、水泵铸件20 万件、铸铁烤网100 万件、铸铁发热板 220 万件、搪瓷炉架 100 万件</w:t>
                  </w:r>
                </w:p>
              </w:tc>
              <w:tc>
                <w:tcPr>
                  <w:tcW w:w="1897" w:type="dxa"/>
                  <w:vAlign w:val="center"/>
                </w:tcPr>
                <w:p w14:paraId="4A5FA9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]48 号</w:t>
                  </w:r>
                </w:p>
              </w:tc>
            </w:tr>
            <w:tr w14:paraId="39B78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48779E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w:t>
                  </w:r>
                </w:p>
              </w:tc>
              <w:tc>
                <w:tcPr>
                  <w:tcW w:w="1301" w:type="dxa"/>
                  <w:vAlign w:val="center"/>
                </w:tcPr>
                <w:p w14:paraId="6A75A6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乐昌市瑛龙高精铸造有限公</w:t>
                  </w:r>
                </w:p>
                <w:p w14:paraId="31E679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26A088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A654C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0E0BD5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10702.96</w:t>
                  </w:r>
                </w:p>
              </w:tc>
              <w:tc>
                <w:tcPr>
                  <w:tcW w:w="2499" w:type="dxa"/>
                  <w:vAlign w:val="center"/>
                </w:tcPr>
                <w:p w14:paraId="04F0F7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年产机械设备类的机械设备 1.1 万吨</w:t>
                  </w:r>
                </w:p>
              </w:tc>
              <w:tc>
                <w:tcPr>
                  <w:tcW w:w="1897" w:type="dxa"/>
                  <w:vAlign w:val="center"/>
                </w:tcPr>
                <w:p w14:paraId="7EF5912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]40 号</w:t>
                  </w:r>
                </w:p>
              </w:tc>
            </w:tr>
            <w:tr w14:paraId="549F77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076290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w:t>
                  </w:r>
                </w:p>
              </w:tc>
              <w:tc>
                <w:tcPr>
                  <w:tcW w:w="1301" w:type="dxa"/>
                  <w:vAlign w:val="center"/>
                </w:tcPr>
                <w:p w14:paraId="5740FE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乐昌市湘源金属制品有限公</w:t>
                  </w:r>
                </w:p>
                <w:p w14:paraId="1FD164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73FCE3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84708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60CC6D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13339.8</w:t>
                  </w:r>
                </w:p>
              </w:tc>
              <w:tc>
                <w:tcPr>
                  <w:tcW w:w="2499" w:type="dxa"/>
                  <w:vAlign w:val="center"/>
                </w:tcPr>
                <w:p w14:paraId="3B185F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年产铸件 11500 吨</w:t>
                  </w:r>
                </w:p>
              </w:tc>
              <w:tc>
                <w:tcPr>
                  <w:tcW w:w="1897" w:type="dxa"/>
                  <w:vAlign w:val="center"/>
                </w:tcPr>
                <w:p w14:paraId="03E410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]43 号、韶环乐审〔2022〕13 号</w:t>
                  </w:r>
                </w:p>
              </w:tc>
            </w:tr>
            <w:tr w14:paraId="1E10C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234423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4B4F95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w:t>
                  </w:r>
                </w:p>
              </w:tc>
              <w:tc>
                <w:tcPr>
                  <w:tcW w:w="1301" w:type="dxa"/>
                  <w:vAlign w:val="center"/>
                </w:tcPr>
                <w:p w14:paraId="06C2EA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乐昌市钜宝科技制造有限公</w:t>
                  </w:r>
                </w:p>
                <w:p w14:paraId="7134C3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4BC374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6B3431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47768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金属制品业、通用设备制造业</w:t>
                  </w:r>
                </w:p>
              </w:tc>
              <w:tc>
                <w:tcPr>
                  <w:tcW w:w="904" w:type="dxa"/>
                  <w:vAlign w:val="center"/>
                </w:tcPr>
                <w:p w14:paraId="0DC084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5C9CDE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23539.9</w:t>
                  </w:r>
                </w:p>
              </w:tc>
              <w:tc>
                <w:tcPr>
                  <w:tcW w:w="2499" w:type="dxa"/>
                  <w:vAlign w:val="center"/>
                </w:tcPr>
                <w:p w14:paraId="7B9B20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年产户外家具 49.8 万件、水泵铸件 6.52 万件、铸铁烤网 51</w:t>
                  </w:r>
                </w:p>
                <w:p w14:paraId="4131B7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万件、铸铁发热板 161 万件、机加工铸铁件 4000 吨、喷粉铸</w:t>
                  </w:r>
                </w:p>
                <w:p w14:paraId="077B15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铁件 1000 吨、搪瓷铸铁件 1000 吨</w:t>
                  </w:r>
                </w:p>
              </w:tc>
              <w:tc>
                <w:tcPr>
                  <w:tcW w:w="1897" w:type="dxa"/>
                  <w:vAlign w:val="center"/>
                </w:tcPr>
                <w:p w14:paraId="0997CF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]47 号、韶环乐审</w:t>
                  </w:r>
                </w:p>
                <w:p w14:paraId="1E7A78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]30 号</w:t>
                  </w:r>
                </w:p>
              </w:tc>
            </w:tr>
            <w:tr w14:paraId="4B88D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7BB9A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w:t>
                  </w:r>
                </w:p>
              </w:tc>
              <w:tc>
                <w:tcPr>
                  <w:tcW w:w="1301" w:type="dxa"/>
                  <w:vAlign w:val="center"/>
                </w:tcPr>
                <w:p w14:paraId="4BF241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乐昌胜旗精工科技有限公司</w:t>
                  </w:r>
                </w:p>
              </w:tc>
              <w:tc>
                <w:tcPr>
                  <w:tcW w:w="372" w:type="dxa"/>
                  <w:vAlign w:val="center"/>
                </w:tcPr>
                <w:p w14:paraId="534328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A3903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648F73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13322</w:t>
                  </w:r>
                </w:p>
              </w:tc>
              <w:tc>
                <w:tcPr>
                  <w:tcW w:w="2499" w:type="dxa"/>
                  <w:vAlign w:val="center"/>
                </w:tcPr>
                <w:p w14:paraId="0CB69B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年产炉架 10 万件、炉排、炉头、家具件、机械件、减速机波</w:t>
                  </w:r>
                </w:p>
                <w:p w14:paraId="67DFF3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箱各 5 万件、发热盘 3 万件</w:t>
                  </w:r>
                </w:p>
              </w:tc>
              <w:tc>
                <w:tcPr>
                  <w:tcW w:w="1897" w:type="dxa"/>
                  <w:vAlign w:val="center"/>
                </w:tcPr>
                <w:p w14:paraId="14E007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"bookmark209"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]44 号</w:t>
                  </w:r>
                </w:p>
              </w:tc>
            </w:tr>
            <w:tr w14:paraId="17EB6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E2918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w:t>
                  </w:r>
                </w:p>
              </w:tc>
              <w:tc>
                <w:tcPr>
                  <w:tcW w:w="1301" w:type="dxa"/>
                  <w:vAlign w:val="center"/>
                </w:tcPr>
                <w:p w14:paraId="2FB25D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乐昌市钜烽机械制造有限公</w:t>
                  </w:r>
                </w:p>
                <w:p w14:paraId="09F1A8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12BB2F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58D5F1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348962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10000</w:t>
                  </w:r>
                </w:p>
              </w:tc>
              <w:tc>
                <w:tcPr>
                  <w:tcW w:w="2499" w:type="dxa"/>
                  <w:vAlign w:val="center"/>
                </w:tcPr>
                <w:p w14:paraId="4E2A58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年产机械铸件 1 万吨</w:t>
                  </w:r>
                </w:p>
              </w:tc>
              <w:tc>
                <w:tcPr>
                  <w:tcW w:w="1897" w:type="dxa"/>
                  <w:vAlign w:val="center"/>
                </w:tcPr>
                <w:p w14:paraId="312AD4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]41 号</w:t>
                  </w:r>
                </w:p>
              </w:tc>
            </w:tr>
            <w:tr w14:paraId="3BF5A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04BCD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w:t>
                  </w:r>
                </w:p>
              </w:tc>
              <w:tc>
                <w:tcPr>
                  <w:tcW w:w="1301" w:type="dxa"/>
                  <w:vAlign w:val="center"/>
                </w:tcPr>
                <w:p w14:paraId="5D4440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乐昌市金利华机械制造有限</w:t>
                  </w:r>
                </w:p>
                <w:p w14:paraId="7A21F4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63BE54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D39D8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7890B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10000</w:t>
                  </w:r>
                </w:p>
              </w:tc>
              <w:tc>
                <w:tcPr>
                  <w:tcW w:w="2499" w:type="dxa"/>
                  <w:vAlign w:val="center"/>
                </w:tcPr>
                <w:p w14:paraId="4FAD13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年产食品机械铸件 1 万件</w:t>
                  </w:r>
                </w:p>
              </w:tc>
              <w:tc>
                <w:tcPr>
                  <w:tcW w:w="1897" w:type="dxa"/>
                  <w:vAlign w:val="center"/>
                </w:tcPr>
                <w:p w14:paraId="299D0C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]42 号</w:t>
                  </w:r>
                </w:p>
              </w:tc>
            </w:tr>
            <w:tr w14:paraId="5F036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0DCBD6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w:t>
                  </w:r>
                </w:p>
              </w:tc>
              <w:tc>
                <w:tcPr>
                  <w:tcW w:w="1301" w:type="dxa"/>
                  <w:vAlign w:val="center"/>
                </w:tcPr>
                <w:p w14:paraId="66A9A1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乐昌市宏信精工制造有限公</w:t>
                  </w:r>
                </w:p>
                <w:p w14:paraId="2ACC59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11EF1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C344B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004405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10000</w:t>
                  </w:r>
                </w:p>
              </w:tc>
              <w:tc>
                <w:tcPr>
                  <w:tcW w:w="2499" w:type="dxa"/>
                  <w:vAlign w:val="center"/>
                </w:tcPr>
                <w:p w14:paraId="7E0338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年产球墨模具、零件 4000 吨、灰口模具、零件 6000 吨</w:t>
                  </w:r>
                </w:p>
              </w:tc>
              <w:tc>
                <w:tcPr>
                  <w:tcW w:w="1897" w:type="dxa"/>
                  <w:vAlign w:val="center"/>
                </w:tcPr>
                <w:p w14:paraId="644276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]39 号、韶环乐审</w:t>
                  </w:r>
                </w:p>
                <w:p w14:paraId="368802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]23 号</w:t>
                  </w:r>
                </w:p>
              </w:tc>
            </w:tr>
            <w:tr w14:paraId="20794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B802E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w:t>
                  </w:r>
                </w:p>
              </w:tc>
              <w:tc>
                <w:tcPr>
                  <w:tcW w:w="1301" w:type="dxa"/>
                  <w:vAlign w:val="center"/>
                </w:tcPr>
                <w:p w14:paraId="12E4B5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乐昌市金来得实业有限公司</w:t>
                  </w:r>
                </w:p>
              </w:tc>
              <w:tc>
                <w:tcPr>
                  <w:tcW w:w="372" w:type="dxa"/>
                  <w:vAlign w:val="center"/>
                </w:tcPr>
                <w:p w14:paraId="170B44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042A0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橡胶和塑料制品业、家具制造业</w:t>
                  </w:r>
                </w:p>
              </w:tc>
              <w:tc>
                <w:tcPr>
                  <w:tcW w:w="904" w:type="dxa"/>
                  <w:vAlign w:val="center"/>
                </w:tcPr>
                <w:p w14:paraId="17ADFB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23018.4</w:t>
                  </w:r>
                </w:p>
              </w:tc>
              <w:tc>
                <w:tcPr>
                  <w:tcW w:w="2499" w:type="dxa"/>
                  <w:vAlign w:val="center"/>
                </w:tcPr>
                <w:p w14:paraId="4F7B2F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年产卫浴、衣柜 1.6 万套；聚乙烯高分子材料 4.8 万立方米</w:t>
                  </w:r>
                </w:p>
              </w:tc>
              <w:tc>
                <w:tcPr>
                  <w:tcW w:w="1897" w:type="dxa"/>
                  <w:vAlign w:val="center"/>
                </w:tcPr>
                <w:p w14:paraId="51C473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]03 号、乐环审〔2020〕</w:t>
                  </w:r>
                </w:p>
                <w:p w14:paraId="2852D3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 号</w:t>
                  </w:r>
                </w:p>
              </w:tc>
            </w:tr>
            <w:tr w14:paraId="65D4D3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4" w:hRule="atLeast"/>
                <w:jc w:val="center"/>
              </w:trPr>
              <w:tc>
                <w:tcPr>
                  <w:tcW w:w="330" w:type="dxa"/>
                  <w:vAlign w:val="center"/>
                </w:tcPr>
                <w:p w14:paraId="64A450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0B52D3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w:t>
                  </w:r>
                </w:p>
              </w:tc>
              <w:tc>
                <w:tcPr>
                  <w:tcW w:w="1301" w:type="dxa"/>
                  <w:vAlign w:val="center"/>
                </w:tcPr>
                <w:p w14:paraId="60C473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广东沃府实业有限公司</w:t>
                  </w:r>
                </w:p>
              </w:tc>
              <w:tc>
                <w:tcPr>
                  <w:tcW w:w="372" w:type="dxa"/>
                  <w:vAlign w:val="center"/>
                </w:tcPr>
                <w:p w14:paraId="130E4D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FEE59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2FCA6D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业、废弃资源综合</w:t>
                  </w:r>
                </w:p>
                <w:p w14:paraId="12EEA1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利用业</w:t>
                  </w:r>
                </w:p>
              </w:tc>
              <w:tc>
                <w:tcPr>
                  <w:tcW w:w="904" w:type="dxa"/>
                  <w:vAlign w:val="center"/>
                </w:tcPr>
                <w:p w14:paraId="64A4AB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73337</w:t>
                  </w:r>
                </w:p>
              </w:tc>
              <w:tc>
                <w:tcPr>
                  <w:tcW w:w="2499" w:type="dxa"/>
                  <w:vAlign w:val="center"/>
                </w:tcPr>
                <w:p w14:paraId="4EB2D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年产改性塑料 10 万吨、家电塑料配件2000 吨</w:t>
                  </w:r>
                </w:p>
              </w:tc>
              <w:tc>
                <w:tcPr>
                  <w:tcW w:w="1897" w:type="dxa"/>
                  <w:vAlign w:val="center"/>
                </w:tcPr>
                <w:p w14:paraId="081BE4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177 号、乐环审</w:t>
                  </w:r>
                </w:p>
                <w:p w14:paraId="7386D2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〔2021〕05 号、韶环乐审〔2025〕</w:t>
                  </w:r>
                </w:p>
                <w:p w14:paraId="304558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 号</w:t>
                  </w:r>
                </w:p>
              </w:tc>
            </w:tr>
            <w:tr w14:paraId="0A49F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0" w:type="dxa"/>
                  <w:vAlign w:val="center"/>
                </w:tcPr>
                <w:p w14:paraId="5280EA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163C10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w:t>
                  </w:r>
                </w:p>
              </w:tc>
              <w:tc>
                <w:tcPr>
                  <w:tcW w:w="1301" w:type="dxa"/>
                  <w:vAlign w:val="center"/>
                </w:tcPr>
                <w:p w14:paraId="4980BF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韶关乐淇包装材料有限公司</w:t>
                  </w:r>
                </w:p>
              </w:tc>
              <w:tc>
                <w:tcPr>
                  <w:tcW w:w="372" w:type="dxa"/>
                  <w:vAlign w:val="center"/>
                </w:tcPr>
                <w:p w14:paraId="6028D2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9880B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4A2FC9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业、废弃资源综合</w:t>
                  </w:r>
                </w:p>
                <w:p w14:paraId="021182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利用业</w:t>
                  </w:r>
                </w:p>
              </w:tc>
              <w:tc>
                <w:tcPr>
                  <w:tcW w:w="904" w:type="dxa"/>
                  <w:vAlign w:val="center"/>
                </w:tcPr>
                <w:p w14:paraId="170049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50991.9</w:t>
                  </w:r>
                </w:p>
              </w:tc>
              <w:tc>
                <w:tcPr>
                  <w:tcW w:w="2499" w:type="dxa"/>
                  <w:vAlign w:val="center"/>
                </w:tcPr>
                <w:p w14:paraId="707019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年产塑料新材料 7.22 万吨</w:t>
                  </w:r>
                </w:p>
              </w:tc>
              <w:tc>
                <w:tcPr>
                  <w:tcW w:w="1897" w:type="dxa"/>
                  <w:vAlign w:val="center"/>
                </w:tcPr>
                <w:p w14:paraId="4C4D3E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]04 号</w:t>
                  </w:r>
                </w:p>
              </w:tc>
            </w:tr>
            <w:tr w14:paraId="266FA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4B75DE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w:t>
                  </w:r>
                </w:p>
              </w:tc>
              <w:tc>
                <w:tcPr>
                  <w:tcW w:w="1301" w:type="dxa"/>
                  <w:vAlign w:val="center"/>
                </w:tcPr>
                <w:p w14:paraId="4B4CE8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乐昌市华国艺术装饰建材有</w:t>
                  </w:r>
                </w:p>
                <w:p w14:paraId="410ED5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372" w:type="dxa"/>
                  <w:vAlign w:val="center"/>
                </w:tcPr>
                <w:p w14:paraId="3DDC7D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5D403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203CF7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27375.05</w:t>
                  </w:r>
                </w:p>
              </w:tc>
              <w:tc>
                <w:tcPr>
                  <w:tcW w:w="2499" w:type="dxa"/>
                  <w:vAlign w:val="center"/>
                </w:tcPr>
                <w:p w14:paraId="5C4990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PU 装饰线条 1500 吨、聚氨酯装饰制品 250 吨</w:t>
                  </w:r>
                </w:p>
              </w:tc>
              <w:tc>
                <w:tcPr>
                  <w:tcW w:w="1897" w:type="dxa"/>
                  <w:vAlign w:val="center"/>
                </w:tcPr>
                <w:p w14:paraId="04A125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]35 号</w:t>
                  </w:r>
                </w:p>
              </w:tc>
            </w:tr>
            <w:tr w14:paraId="6FB93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55D5C7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w:t>
                  </w:r>
                </w:p>
              </w:tc>
              <w:tc>
                <w:tcPr>
                  <w:tcW w:w="1301" w:type="dxa"/>
                  <w:vAlign w:val="center"/>
                </w:tcPr>
                <w:p w14:paraId="6E76B1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汇隽新材料科技（乐昌）有限</w:t>
                  </w:r>
                </w:p>
                <w:p w14:paraId="0A0C74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759672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30268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1D408D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7349.3</w:t>
                  </w:r>
                </w:p>
              </w:tc>
              <w:tc>
                <w:tcPr>
                  <w:tcW w:w="2499" w:type="dxa"/>
                  <w:vAlign w:val="center"/>
                </w:tcPr>
                <w:p w14:paraId="6DF50D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PU 装饰线条 750 吨、聚氨酯装饰制品 250 吨</w:t>
                  </w:r>
                </w:p>
              </w:tc>
              <w:tc>
                <w:tcPr>
                  <w:tcW w:w="1897" w:type="dxa"/>
                  <w:vAlign w:val="center"/>
                </w:tcPr>
                <w:p w14:paraId="0CF68F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13 号</w:t>
                  </w:r>
                </w:p>
              </w:tc>
            </w:tr>
            <w:tr w14:paraId="304C8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330" w:type="dxa"/>
                  <w:vAlign w:val="center"/>
                </w:tcPr>
                <w:p w14:paraId="35CA82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16</w:t>
                  </w:r>
                </w:p>
              </w:tc>
              <w:tc>
                <w:tcPr>
                  <w:tcW w:w="1301" w:type="dxa"/>
                  <w:vAlign w:val="center"/>
                </w:tcPr>
                <w:p w14:paraId="10DD44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广东宝创环保新材料制品有</w:t>
                  </w:r>
                </w:p>
                <w:p w14:paraId="132EB3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372" w:type="dxa"/>
                  <w:vAlign w:val="center"/>
                </w:tcPr>
                <w:p w14:paraId="56AFB7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1AC1D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纺织业</w:t>
                  </w:r>
                </w:p>
              </w:tc>
              <w:tc>
                <w:tcPr>
                  <w:tcW w:w="904" w:type="dxa"/>
                  <w:vAlign w:val="center"/>
                </w:tcPr>
                <w:p w14:paraId="145DB8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32671.2</w:t>
                  </w:r>
                </w:p>
              </w:tc>
              <w:tc>
                <w:tcPr>
                  <w:tcW w:w="2499" w:type="dxa"/>
                  <w:vAlign w:val="center"/>
                </w:tcPr>
                <w:p w14:paraId="515ECB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年产热轧无纺布 2800 吨、口罩 30000 万片、纺粘熔喷无纺布</w:t>
                  </w:r>
                </w:p>
                <w:p w14:paraId="21B3A8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7440 吨、衬布 5720 万米、热风无纺布 860 吨、复合芯体 1430</w:t>
                  </w:r>
                </w:p>
                <w:p w14:paraId="0B490F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吨、湿巾 360 万包、熔喷无纺布 1500 吨、网膜无纺布 825</w:t>
                  </w:r>
                </w:p>
                <w:p w14:paraId="37F503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万米、无纺布抽取式干巾 57 万盒、无纺布床单 570 万张、口</w:t>
                  </w:r>
                </w:p>
                <w:p w14:paraId="5F0240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罩衬布 2000 万米、其他衬布 7000 万米</w:t>
                  </w:r>
                </w:p>
              </w:tc>
              <w:tc>
                <w:tcPr>
                  <w:tcW w:w="1897" w:type="dxa"/>
                  <w:vAlign w:val="center"/>
                </w:tcPr>
                <w:p w14:paraId="7CD2D6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"bookmark219"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]50 号、乐环审〔2020〕 23 号、韶环乐审〔2021〕26 号</w:t>
                  </w:r>
                </w:p>
              </w:tc>
            </w:tr>
            <w:tr w14:paraId="480336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D0656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w:t>
                  </w:r>
                </w:p>
              </w:tc>
              <w:tc>
                <w:tcPr>
                  <w:tcW w:w="1301" w:type="dxa"/>
                  <w:vAlign w:val="center"/>
                </w:tcPr>
                <w:p w14:paraId="7FB6DE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广东泰邦耐磨金属科技有限</w:t>
                  </w:r>
                </w:p>
                <w:p w14:paraId="4D012D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06369C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5771E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40C8D4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33583</w:t>
                  </w:r>
                </w:p>
              </w:tc>
              <w:tc>
                <w:tcPr>
                  <w:tcW w:w="2499" w:type="dxa"/>
                  <w:vAlign w:val="center"/>
                </w:tcPr>
                <w:p w14:paraId="2A6BC8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年产铸钢 1 万吨</w:t>
                  </w:r>
                </w:p>
              </w:tc>
              <w:tc>
                <w:tcPr>
                  <w:tcW w:w="1897" w:type="dxa"/>
                  <w:vAlign w:val="center"/>
                </w:tcPr>
                <w:p w14:paraId="0D75DD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]25 号、乐环审[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17 号</w:t>
                  </w:r>
                </w:p>
              </w:tc>
            </w:tr>
            <w:tr w14:paraId="1FE7F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330" w:type="dxa"/>
                  <w:vAlign w:val="center"/>
                </w:tcPr>
                <w:p w14:paraId="39E849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18</w:t>
                  </w:r>
                </w:p>
              </w:tc>
              <w:tc>
                <w:tcPr>
                  <w:tcW w:w="1301" w:type="dxa"/>
                  <w:vAlign w:val="center"/>
                </w:tcPr>
                <w:p w14:paraId="5A14EC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乐昌市明俊铸造有限公司</w:t>
                  </w:r>
                </w:p>
              </w:tc>
              <w:tc>
                <w:tcPr>
                  <w:tcW w:w="372" w:type="dxa"/>
                  <w:vAlign w:val="center"/>
                </w:tcPr>
                <w:p w14:paraId="2CA856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E6D3C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66A0EA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12666</w:t>
                  </w:r>
                </w:p>
              </w:tc>
              <w:tc>
                <w:tcPr>
                  <w:tcW w:w="2499" w:type="dxa"/>
                  <w:vAlign w:val="center"/>
                </w:tcPr>
                <w:p w14:paraId="44AF62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年产水泵类铸件、油泵 6000 吨</w:t>
                  </w:r>
                </w:p>
              </w:tc>
              <w:tc>
                <w:tcPr>
                  <w:tcW w:w="1897" w:type="dxa"/>
                  <w:vAlign w:val="center"/>
                </w:tcPr>
                <w:p w14:paraId="70A5AF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2008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12 号、乐环审</w:t>
                  </w:r>
                </w:p>
                <w:p w14:paraId="68DC53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]38 号、韶环乐审〔2022〕14</w:t>
                  </w:r>
                </w:p>
                <w:p w14:paraId="6ACB83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号</w:t>
                  </w:r>
                </w:p>
              </w:tc>
            </w:tr>
            <w:tr w14:paraId="54392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56F28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19</w:t>
                  </w:r>
                </w:p>
              </w:tc>
              <w:tc>
                <w:tcPr>
                  <w:tcW w:w="1301" w:type="dxa"/>
                  <w:vAlign w:val="center"/>
                </w:tcPr>
                <w:p w14:paraId="1CCF4A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乐昌市翔辉皮革有限公司</w:t>
                  </w:r>
                </w:p>
              </w:tc>
              <w:tc>
                <w:tcPr>
                  <w:tcW w:w="372" w:type="dxa"/>
                  <w:vAlign w:val="center"/>
                </w:tcPr>
                <w:p w14:paraId="386C64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89198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皮革、毛皮、羽毛及其制品和制鞋业</w:t>
                  </w:r>
                </w:p>
              </w:tc>
              <w:tc>
                <w:tcPr>
                  <w:tcW w:w="904" w:type="dxa"/>
                  <w:vAlign w:val="center"/>
                </w:tcPr>
                <w:p w14:paraId="62B616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14014.6</w:t>
                  </w:r>
                </w:p>
              </w:tc>
              <w:tc>
                <w:tcPr>
                  <w:tcW w:w="2499" w:type="dxa"/>
                  <w:vAlign w:val="center"/>
                </w:tcPr>
                <w:p w14:paraId="5A31D80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年产二层贴膜榔皮 200 万呎、3 贴膜 PU0 万码</w:t>
                  </w:r>
                </w:p>
              </w:tc>
              <w:tc>
                <w:tcPr>
                  <w:tcW w:w="1897" w:type="dxa"/>
                  <w:vAlign w:val="center"/>
                </w:tcPr>
                <w:p w14:paraId="7F96D7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]07 号</w:t>
                  </w:r>
                </w:p>
              </w:tc>
            </w:tr>
            <w:tr w14:paraId="1A44F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090D6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w:t>
                  </w:r>
                </w:p>
              </w:tc>
              <w:tc>
                <w:tcPr>
                  <w:tcW w:w="1301" w:type="dxa"/>
                  <w:vAlign w:val="center"/>
                </w:tcPr>
                <w:p w14:paraId="1052D0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广东欧匹特智能装备有限公</w:t>
                  </w:r>
                </w:p>
                <w:p w14:paraId="5DB9F4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144C0C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E5252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904" w:type="dxa"/>
                  <w:vAlign w:val="center"/>
                </w:tcPr>
                <w:p w14:paraId="1602D8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26032</w:t>
                  </w:r>
                </w:p>
              </w:tc>
              <w:tc>
                <w:tcPr>
                  <w:tcW w:w="2499" w:type="dxa"/>
                  <w:vAlign w:val="center"/>
                </w:tcPr>
                <w:p w14:paraId="779D6B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年产数控机床 450 台</w:t>
                  </w:r>
                </w:p>
              </w:tc>
              <w:tc>
                <w:tcPr>
                  <w:tcW w:w="1897" w:type="dxa"/>
                  <w:vAlign w:val="center"/>
                </w:tcPr>
                <w:p w14:paraId="35CFEE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乐环审〔2020〕16 号</w:t>
                  </w:r>
                </w:p>
              </w:tc>
            </w:tr>
            <w:tr w14:paraId="2DA55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291B7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21</w:t>
                  </w:r>
                </w:p>
              </w:tc>
              <w:tc>
                <w:tcPr>
                  <w:tcW w:w="1301" w:type="dxa"/>
                  <w:vAlign w:val="center"/>
                </w:tcPr>
                <w:p w14:paraId="05743D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乐昌市泰瑞菲实业有限公司</w:t>
                  </w:r>
                </w:p>
              </w:tc>
              <w:tc>
                <w:tcPr>
                  <w:tcW w:w="372" w:type="dxa"/>
                  <w:vAlign w:val="center"/>
                </w:tcPr>
                <w:p w14:paraId="0D157F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A99E5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20C01F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15266</w:t>
                  </w:r>
                </w:p>
              </w:tc>
              <w:tc>
                <w:tcPr>
                  <w:tcW w:w="2499" w:type="dxa"/>
                  <w:vAlign w:val="center"/>
                </w:tcPr>
                <w:p w14:paraId="4A2867D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年产新型塑料装饰材料 1 万吨</w:t>
                  </w:r>
                </w:p>
              </w:tc>
              <w:tc>
                <w:tcPr>
                  <w:tcW w:w="1897" w:type="dxa"/>
                  <w:vAlign w:val="center"/>
                </w:tcPr>
                <w:p w14:paraId="0A074E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]55 号</w:t>
                  </w:r>
                </w:p>
              </w:tc>
            </w:tr>
            <w:tr w14:paraId="5F9D8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8A20F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22</w:t>
                  </w:r>
                </w:p>
              </w:tc>
              <w:tc>
                <w:tcPr>
                  <w:tcW w:w="1301" w:type="dxa"/>
                  <w:vAlign w:val="center"/>
                </w:tcPr>
                <w:p w14:paraId="6396B5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韶关韶瑞铸钢有限公司</w:t>
                  </w:r>
                </w:p>
              </w:tc>
              <w:tc>
                <w:tcPr>
                  <w:tcW w:w="372" w:type="dxa"/>
                  <w:vAlign w:val="center"/>
                </w:tcPr>
                <w:p w14:paraId="6703DB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16D08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2ACFD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75085</w:t>
                  </w:r>
                </w:p>
              </w:tc>
              <w:tc>
                <w:tcPr>
                  <w:tcW w:w="2499" w:type="dxa"/>
                  <w:vAlign w:val="center"/>
                </w:tcPr>
                <w:p w14:paraId="4EF6E3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年产铸钢件、铸铁件 4.1 万吨</w:t>
                  </w:r>
                </w:p>
              </w:tc>
              <w:tc>
                <w:tcPr>
                  <w:tcW w:w="1897" w:type="dxa"/>
                  <w:vAlign w:val="center"/>
                </w:tcPr>
                <w:p w14:paraId="49D0F33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163 号、乐环审 [</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]01 号、乐环审[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19 号</w:t>
                  </w:r>
                </w:p>
              </w:tc>
            </w:tr>
            <w:tr w14:paraId="2E4428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D0B2AF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w:t>
                  </w:r>
                </w:p>
              </w:tc>
              <w:tc>
                <w:tcPr>
                  <w:tcW w:w="1301" w:type="dxa"/>
                  <w:vAlign w:val="center"/>
                </w:tcPr>
                <w:p w14:paraId="5622F1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精信（乐昌）机械有限公司</w:t>
                  </w:r>
                </w:p>
              </w:tc>
              <w:tc>
                <w:tcPr>
                  <w:tcW w:w="372" w:type="dxa"/>
                  <w:vAlign w:val="center"/>
                </w:tcPr>
                <w:p w14:paraId="3D5F56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90EC3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15E3E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16950.3</w:t>
                  </w:r>
                </w:p>
              </w:tc>
              <w:tc>
                <w:tcPr>
                  <w:tcW w:w="2499" w:type="dxa"/>
                  <w:vAlign w:val="center"/>
                </w:tcPr>
                <w:p w14:paraId="459AF8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年产人防门配件 11250 套</w:t>
                  </w:r>
                </w:p>
              </w:tc>
              <w:tc>
                <w:tcPr>
                  <w:tcW w:w="1897" w:type="dxa"/>
                  <w:vAlign w:val="center"/>
                </w:tcPr>
                <w:p w14:paraId="57A205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韶环乐审〔2021〕25 号</w:t>
                  </w:r>
                </w:p>
              </w:tc>
            </w:tr>
            <w:tr w14:paraId="3DC58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524F86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24</w:t>
                  </w:r>
                </w:p>
              </w:tc>
              <w:tc>
                <w:tcPr>
                  <w:tcW w:w="1301" w:type="dxa"/>
                  <w:vAlign w:val="center"/>
                </w:tcPr>
                <w:p w14:paraId="75D6007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韶关高尔德防雷科技有限公</w:t>
                  </w:r>
                </w:p>
                <w:p w14:paraId="75F6F2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2E709D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61168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904" w:type="dxa"/>
                  <w:vAlign w:val="center"/>
                </w:tcPr>
                <w:p w14:paraId="0F46F3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15561.5</w:t>
                  </w:r>
                </w:p>
              </w:tc>
              <w:tc>
                <w:tcPr>
                  <w:tcW w:w="2499" w:type="dxa"/>
                  <w:vAlign w:val="center"/>
                </w:tcPr>
                <w:p w14:paraId="7C2EB9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年产防雷电子器件 10 万套、3 万台移动通信基站电源、 480</w:t>
                  </w:r>
                </w:p>
                <w:p w14:paraId="0EB876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万 AH 铁锂电池</w:t>
                  </w:r>
                </w:p>
              </w:tc>
              <w:tc>
                <w:tcPr>
                  <w:tcW w:w="1897" w:type="dxa"/>
                  <w:vAlign w:val="center"/>
                </w:tcPr>
                <w:p w14:paraId="7162FE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"bookmark229"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2015</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]240 号、乐环审〔2020〕12 号</w:t>
                  </w:r>
                </w:p>
              </w:tc>
            </w:tr>
            <w:tr w14:paraId="2B5E9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CA849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25</w:t>
                  </w:r>
                </w:p>
              </w:tc>
              <w:tc>
                <w:tcPr>
                  <w:tcW w:w="1301" w:type="dxa"/>
                  <w:vAlign w:val="center"/>
                </w:tcPr>
                <w:p w14:paraId="6D243B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韶关博尔兹阀门工业有限公</w:t>
                  </w:r>
                </w:p>
                <w:p w14:paraId="0FA3BA6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5FFCB1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09619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75B940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20198.7</w:t>
                  </w:r>
                </w:p>
              </w:tc>
              <w:tc>
                <w:tcPr>
                  <w:tcW w:w="2499" w:type="dxa"/>
                  <w:vAlign w:val="center"/>
                </w:tcPr>
                <w:p w14:paraId="2DEAA6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年产阀门 5000 件、铸钢件 1.2 万件、铸铁件2.3 万件、机械</w:t>
                  </w:r>
                </w:p>
                <w:p w14:paraId="3425F6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配件 1 万件</w:t>
                  </w:r>
                </w:p>
              </w:tc>
              <w:tc>
                <w:tcPr>
                  <w:tcW w:w="1897" w:type="dxa"/>
                  <w:vAlign w:val="center"/>
                </w:tcPr>
                <w:p w14:paraId="741A7E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2009</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]94 号、乐环审〔2018〕</w:t>
                  </w:r>
                </w:p>
                <w:p w14:paraId="4428D1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65 号</w:t>
                  </w:r>
                </w:p>
              </w:tc>
            </w:tr>
            <w:tr w14:paraId="27243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86F90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26</w:t>
                  </w:r>
                </w:p>
              </w:tc>
              <w:tc>
                <w:tcPr>
                  <w:tcW w:w="1301" w:type="dxa"/>
                  <w:vAlign w:val="center"/>
                </w:tcPr>
                <w:p w14:paraId="01BDAB3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广东科拓电子元件有限公司</w:t>
                  </w:r>
                </w:p>
              </w:tc>
              <w:tc>
                <w:tcPr>
                  <w:tcW w:w="372" w:type="dxa"/>
                  <w:vAlign w:val="center"/>
                </w:tcPr>
                <w:p w14:paraId="57103F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25965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904" w:type="dxa"/>
                  <w:vAlign w:val="center"/>
                </w:tcPr>
                <w:p w14:paraId="683F49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1720.83</w:t>
                  </w:r>
                </w:p>
              </w:tc>
              <w:tc>
                <w:tcPr>
                  <w:tcW w:w="2499" w:type="dxa"/>
                  <w:vAlign w:val="center"/>
                </w:tcPr>
                <w:p w14:paraId="2BFCDB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年产电容、电阻器 8 亿只</w:t>
                  </w:r>
                </w:p>
              </w:tc>
              <w:tc>
                <w:tcPr>
                  <w:tcW w:w="1897" w:type="dxa"/>
                  <w:vAlign w:val="center"/>
                </w:tcPr>
                <w:p w14:paraId="3E6E2F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韶环乐审〔2021〕13 号</w:t>
                  </w:r>
                </w:p>
              </w:tc>
            </w:tr>
            <w:tr w14:paraId="7BCF5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20A70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w:t>
                  </w:r>
                </w:p>
              </w:tc>
              <w:tc>
                <w:tcPr>
                  <w:tcW w:w="1301" w:type="dxa"/>
                  <w:vAlign w:val="center"/>
                </w:tcPr>
                <w:p w14:paraId="2AC19F2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宇创箱包制品（韶关市乐昌）</w:t>
                  </w:r>
                </w:p>
                <w:p w14:paraId="3ACF9B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有限公司</w:t>
                  </w:r>
                </w:p>
              </w:tc>
              <w:tc>
                <w:tcPr>
                  <w:tcW w:w="372" w:type="dxa"/>
                  <w:vAlign w:val="center"/>
                </w:tcPr>
                <w:p w14:paraId="291AA4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375FA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皮革、毛皮、羽毛及其制品和制鞋业</w:t>
                  </w:r>
                </w:p>
              </w:tc>
              <w:tc>
                <w:tcPr>
                  <w:tcW w:w="904" w:type="dxa"/>
                  <w:vAlign w:val="center"/>
                </w:tcPr>
                <w:p w14:paraId="4DF98E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1200</w:t>
                  </w:r>
                </w:p>
              </w:tc>
              <w:tc>
                <w:tcPr>
                  <w:tcW w:w="2499" w:type="dxa"/>
                  <w:vAlign w:val="center"/>
                </w:tcPr>
                <w:p w14:paraId="3DF097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年产钱包 30 万个，手袋 50 万个</w:t>
                  </w:r>
                </w:p>
              </w:tc>
              <w:tc>
                <w:tcPr>
                  <w:tcW w:w="1897" w:type="dxa"/>
                  <w:vAlign w:val="center"/>
                </w:tcPr>
                <w:p w14:paraId="2D79BF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乐环审〔2020〕09 号</w:t>
                  </w:r>
                </w:p>
              </w:tc>
            </w:tr>
            <w:tr w14:paraId="57D74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99783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28</w:t>
                  </w:r>
                </w:p>
              </w:tc>
              <w:tc>
                <w:tcPr>
                  <w:tcW w:w="1301" w:type="dxa"/>
                  <w:vAlign w:val="center"/>
                </w:tcPr>
                <w:p w14:paraId="194E9D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广东启轮金属制品有限公司</w:t>
                  </w:r>
                </w:p>
              </w:tc>
              <w:tc>
                <w:tcPr>
                  <w:tcW w:w="372" w:type="dxa"/>
                  <w:vAlign w:val="center"/>
                </w:tcPr>
                <w:p w14:paraId="7EA540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29517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72D071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10679.3</w:t>
                  </w:r>
                </w:p>
              </w:tc>
              <w:tc>
                <w:tcPr>
                  <w:tcW w:w="2499" w:type="dxa"/>
                  <w:vAlign w:val="center"/>
                </w:tcPr>
                <w:p w14:paraId="4A9F83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年产脚轮 100 万个</w:t>
                  </w:r>
                </w:p>
              </w:tc>
              <w:tc>
                <w:tcPr>
                  <w:tcW w:w="1897" w:type="dxa"/>
                  <w:vAlign w:val="center"/>
                </w:tcPr>
                <w:p w14:paraId="3BE82D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韶环乐审〔2021〕22 号、韶环乐审〔2025〕09 号</w:t>
                  </w:r>
                </w:p>
              </w:tc>
            </w:tr>
            <w:tr w14:paraId="1B84B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330" w:type="dxa"/>
                  <w:vAlign w:val="center"/>
                </w:tcPr>
                <w:p w14:paraId="76A1E5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29</w:t>
                  </w:r>
                </w:p>
              </w:tc>
              <w:tc>
                <w:tcPr>
                  <w:tcW w:w="1301" w:type="dxa"/>
                  <w:vAlign w:val="center"/>
                </w:tcPr>
                <w:p w14:paraId="3F43FF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深圳艾尔康电子元器件有限公司乐昌分公司</w:t>
                  </w:r>
                </w:p>
              </w:tc>
              <w:tc>
                <w:tcPr>
                  <w:tcW w:w="372" w:type="dxa"/>
                  <w:vAlign w:val="center"/>
                </w:tcPr>
                <w:p w14:paraId="1F79FE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C706B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904" w:type="dxa"/>
                  <w:vAlign w:val="center"/>
                </w:tcPr>
                <w:p w14:paraId="340818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20006.9</w:t>
                  </w:r>
                </w:p>
              </w:tc>
              <w:tc>
                <w:tcPr>
                  <w:tcW w:w="2499" w:type="dxa"/>
                  <w:vAlign w:val="center"/>
                </w:tcPr>
                <w:p w14:paraId="13A80E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年产探针 422 万、接线端子及其零部件 36000 万、感应器及其零部件 200 万、接插件及其零部件 2500 万、模具 50 套、五金产品 30000 万、塑胶配件 30000 万、自动化装备 50 台</w:t>
                  </w:r>
                </w:p>
              </w:tc>
              <w:tc>
                <w:tcPr>
                  <w:tcW w:w="1897" w:type="dxa"/>
                  <w:vAlign w:val="center"/>
                </w:tcPr>
                <w:p w14:paraId="1AD71F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]32 号</w:t>
                  </w:r>
                </w:p>
              </w:tc>
            </w:tr>
            <w:tr w14:paraId="1DA5D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D465ED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30</w:t>
                  </w:r>
                </w:p>
              </w:tc>
              <w:tc>
                <w:tcPr>
                  <w:tcW w:w="1301" w:type="dxa"/>
                  <w:vAlign w:val="center"/>
                </w:tcPr>
                <w:p w14:paraId="791320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乐昌市缔恒科技有限公司</w:t>
                  </w:r>
                </w:p>
              </w:tc>
              <w:tc>
                <w:tcPr>
                  <w:tcW w:w="372" w:type="dxa"/>
                  <w:vAlign w:val="center"/>
                </w:tcPr>
                <w:p w14:paraId="4E6A5A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68FAC9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904" w:type="dxa"/>
                  <w:vAlign w:val="center"/>
                </w:tcPr>
                <w:p w14:paraId="7AF82B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5000</w:t>
                  </w:r>
                </w:p>
              </w:tc>
              <w:tc>
                <w:tcPr>
                  <w:tcW w:w="2499" w:type="dxa"/>
                  <w:vAlign w:val="center"/>
                </w:tcPr>
                <w:p w14:paraId="3BC562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年产金刚石复合片 50 万片</w:t>
                  </w:r>
                </w:p>
              </w:tc>
              <w:tc>
                <w:tcPr>
                  <w:tcW w:w="1897" w:type="dxa"/>
                  <w:vAlign w:val="center"/>
                </w:tcPr>
                <w:p w14:paraId="269487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2009</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16 号</w:t>
                  </w:r>
                </w:p>
              </w:tc>
            </w:tr>
            <w:tr w14:paraId="2DAF9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67F3E8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31</w:t>
                  </w:r>
                </w:p>
              </w:tc>
              <w:tc>
                <w:tcPr>
                  <w:tcW w:w="1301" w:type="dxa"/>
                  <w:vAlign w:val="center"/>
                </w:tcPr>
                <w:p w14:paraId="057011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乐昌市盛昌钢构有限公司</w:t>
                  </w:r>
                </w:p>
              </w:tc>
              <w:tc>
                <w:tcPr>
                  <w:tcW w:w="372" w:type="dxa"/>
                  <w:vAlign w:val="center"/>
                </w:tcPr>
                <w:p w14:paraId="3A6901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E9E2A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6B04CF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9000</w:t>
                  </w:r>
                </w:p>
              </w:tc>
              <w:tc>
                <w:tcPr>
                  <w:tcW w:w="2499" w:type="dxa"/>
                  <w:vAlign w:val="center"/>
                </w:tcPr>
                <w:p w14:paraId="6AC139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 500 吨钢结构</w:t>
                  </w:r>
                </w:p>
              </w:tc>
              <w:tc>
                <w:tcPr>
                  <w:tcW w:w="1897" w:type="dxa"/>
                  <w:vAlign w:val="center"/>
                </w:tcPr>
                <w:p w14:paraId="6E4104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]80 号</w:t>
                  </w:r>
                </w:p>
              </w:tc>
            </w:tr>
            <w:tr w14:paraId="2142B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29F84D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w:t>
                  </w:r>
                </w:p>
              </w:tc>
              <w:tc>
                <w:tcPr>
                  <w:tcW w:w="1301" w:type="dxa"/>
                  <w:vAlign w:val="center"/>
                </w:tcPr>
                <w:p w14:paraId="44A70F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乐昌市安莉琪服饰有限公司</w:t>
                  </w:r>
                </w:p>
              </w:tc>
              <w:tc>
                <w:tcPr>
                  <w:tcW w:w="372" w:type="dxa"/>
                  <w:vAlign w:val="center"/>
                </w:tcPr>
                <w:p w14:paraId="32502B8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7378F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纺织服装、服饰业</w:t>
                  </w:r>
                </w:p>
              </w:tc>
              <w:tc>
                <w:tcPr>
                  <w:tcW w:w="904" w:type="dxa"/>
                  <w:vAlign w:val="center"/>
                </w:tcPr>
                <w:p w14:paraId="0221CC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13164.82</w:t>
                  </w:r>
                </w:p>
              </w:tc>
              <w:tc>
                <w:tcPr>
                  <w:tcW w:w="2499" w:type="dxa"/>
                  <w:vAlign w:val="center"/>
                </w:tcPr>
                <w:p w14:paraId="5C5237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600 万件服装</w:t>
                  </w:r>
                </w:p>
              </w:tc>
              <w:tc>
                <w:tcPr>
                  <w:tcW w:w="1897" w:type="dxa"/>
                  <w:vAlign w:val="center"/>
                </w:tcPr>
                <w:p w14:paraId="4D89E2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]61 号</w:t>
                  </w:r>
                </w:p>
              </w:tc>
            </w:tr>
            <w:tr w14:paraId="78881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740CD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w:t>
                  </w:r>
                </w:p>
              </w:tc>
              <w:tc>
                <w:tcPr>
                  <w:tcW w:w="1301" w:type="dxa"/>
                  <w:vAlign w:val="center"/>
                </w:tcPr>
                <w:p w14:paraId="379724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乐昌市宏泰机械制造有限公</w:t>
                  </w:r>
                </w:p>
                <w:p w14:paraId="715B44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4BE658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20289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4BF7E6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17320</w:t>
                  </w:r>
                </w:p>
              </w:tc>
              <w:tc>
                <w:tcPr>
                  <w:tcW w:w="2499" w:type="dxa"/>
                  <w:vAlign w:val="center"/>
                </w:tcPr>
                <w:p w14:paraId="441F24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年产铸钢件 1.5 万吨、铸铁件 5000 吨</w:t>
                  </w:r>
                </w:p>
              </w:tc>
              <w:tc>
                <w:tcPr>
                  <w:tcW w:w="1897" w:type="dxa"/>
                  <w:vAlign w:val="center"/>
                </w:tcPr>
                <w:p w14:paraId="6DA65E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2009</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]36 号、乐环审〔2019〕</w:t>
                  </w:r>
                </w:p>
                <w:p w14:paraId="26D208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43 号</w:t>
                  </w:r>
                </w:p>
              </w:tc>
            </w:tr>
            <w:tr w14:paraId="7950F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jc w:val="center"/>
              </w:trPr>
              <w:tc>
                <w:tcPr>
                  <w:tcW w:w="330" w:type="dxa"/>
                  <w:vAlign w:val="center"/>
                </w:tcPr>
                <w:p w14:paraId="749346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34</w:t>
                  </w:r>
                </w:p>
              </w:tc>
              <w:tc>
                <w:tcPr>
                  <w:tcW w:w="1301" w:type="dxa"/>
                  <w:vAlign w:val="center"/>
                </w:tcPr>
                <w:p w14:paraId="567CA7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乐昌市特安消防器材有限公</w:t>
                  </w:r>
                </w:p>
                <w:p w14:paraId="5ABABC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28BFD57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3B073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0E15FA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1283.1</w:t>
                  </w:r>
                </w:p>
              </w:tc>
              <w:tc>
                <w:tcPr>
                  <w:tcW w:w="2499" w:type="dxa"/>
                  <w:vAlign w:val="center"/>
                </w:tcPr>
                <w:p w14:paraId="6F2F81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年产过滤式消防自救呼吸器 60 万件（含霍加拉特剂生产 600</w:t>
                  </w:r>
                </w:p>
                <w:p w14:paraId="512FDE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吨），逃生缓降器 3000 套，急逃生绳 3000 条，消防防护服2</w:t>
                  </w:r>
                </w:p>
                <w:p w14:paraId="5B21B2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万套，家庭应急供氧组合装备 1500 台，灭火毯 3000 张，箔</w:t>
                  </w:r>
                </w:p>
                <w:p w14:paraId="7094A0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隔热服 3000 套，以及应急包、应急箱 6000 套等</w:t>
                  </w:r>
                </w:p>
              </w:tc>
              <w:tc>
                <w:tcPr>
                  <w:tcW w:w="1897" w:type="dxa"/>
                  <w:vAlign w:val="center"/>
                </w:tcPr>
                <w:p w14:paraId="5496C7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]79 号</w:t>
                  </w:r>
                </w:p>
              </w:tc>
            </w:tr>
            <w:tr w14:paraId="472F0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5D69B9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35</w:t>
                  </w:r>
                </w:p>
              </w:tc>
              <w:tc>
                <w:tcPr>
                  <w:tcW w:w="1301" w:type="dxa"/>
                  <w:vAlign w:val="center"/>
                </w:tcPr>
                <w:p w14:paraId="512211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乐昌市同路单采血浆有限公</w:t>
                  </w:r>
                </w:p>
                <w:p w14:paraId="530C3C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100FFD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2889D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卫生</w:t>
                  </w:r>
                </w:p>
              </w:tc>
              <w:tc>
                <w:tcPr>
                  <w:tcW w:w="904" w:type="dxa"/>
                  <w:vAlign w:val="center"/>
                </w:tcPr>
                <w:p w14:paraId="5C6974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9379</w:t>
                  </w:r>
                </w:p>
              </w:tc>
              <w:tc>
                <w:tcPr>
                  <w:tcW w:w="2499" w:type="dxa"/>
                  <w:vAlign w:val="center"/>
                </w:tcPr>
                <w:p w14:paraId="10A6F4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采浆量为 40t/a</w:t>
                  </w:r>
                </w:p>
              </w:tc>
              <w:tc>
                <w:tcPr>
                  <w:tcW w:w="1897" w:type="dxa"/>
                  <w:vAlign w:val="center"/>
                </w:tcPr>
                <w:p w14:paraId="47A23F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2016</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]20 号</w:t>
                  </w:r>
                </w:p>
              </w:tc>
            </w:tr>
            <w:tr w14:paraId="49274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39BA9B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36</w:t>
                  </w:r>
                </w:p>
              </w:tc>
              <w:tc>
                <w:tcPr>
                  <w:tcW w:w="1301" w:type="dxa"/>
                  <w:vAlign w:val="center"/>
                </w:tcPr>
                <w:p w14:paraId="401924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韶关鑫瑞智能装备有限公司</w:t>
                  </w:r>
                </w:p>
              </w:tc>
              <w:tc>
                <w:tcPr>
                  <w:tcW w:w="372" w:type="dxa"/>
                  <w:vAlign w:val="center"/>
                </w:tcPr>
                <w:p w14:paraId="043EC0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FD4E3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72365D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17693</w:t>
                  </w:r>
                </w:p>
              </w:tc>
              <w:tc>
                <w:tcPr>
                  <w:tcW w:w="2499" w:type="dxa"/>
                  <w:vAlign w:val="center"/>
                </w:tcPr>
                <w:p w14:paraId="4F94CC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年产破碎、筛分单机设备，移动式破碎筛分装备和模块化装</w:t>
                  </w:r>
                </w:p>
                <w:p w14:paraId="1E0688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备 803 台</w:t>
                  </w:r>
                </w:p>
              </w:tc>
              <w:tc>
                <w:tcPr>
                  <w:tcW w:w="1897" w:type="dxa"/>
                  <w:vAlign w:val="center"/>
                </w:tcPr>
                <w:p w14:paraId="141E9A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乐环审〔2019〕25 号</w:t>
                  </w:r>
                </w:p>
              </w:tc>
            </w:tr>
            <w:tr w14:paraId="7BA25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28070A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37</w:t>
                  </w:r>
                </w:p>
              </w:tc>
              <w:tc>
                <w:tcPr>
                  <w:tcW w:w="1301" w:type="dxa"/>
                  <w:vAlign w:val="center"/>
                </w:tcPr>
                <w:p w14:paraId="1538E6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韶关龙督装饰材料有限公司</w:t>
                  </w:r>
                </w:p>
              </w:tc>
              <w:tc>
                <w:tcPr>
                  <w:tcW w:w="372" w:type="dxa"/>
                  <w:vAlign w:val="center"/>
                </w:tcPr>
                <w:p w14:paraId="48A9EF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B80B6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18E4B5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33812.1</w:t>
                  </w:r>
                </w:p>
              </w:tc>
              <w:tc>
                <w:tcPr>
                  <w:tcW w:w="2499" w:type="dxa"/>
                  <w:vAlign w:val="center"/>
                </w:tcPr>
                <w:p w14:paraId="0267B5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年产彩涂铝卷 400 万平方米，铝幕墙板、铝天花板 100 万平</w:t>
                  </w:r>
                </w:p>
                <w:p w14:paraId="10651A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方米</w:t>
                  </w:r>
                </w:p>
              </w:tc>
              <w:tc>
                <w:tcPr>
                  <w:tcW w:w="1897" w:type="dxa"/>
                  <w:vAlign w:val="center"/>
                </w:tcPr>
                <w:p w14:paraId="1DCC19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]50 号</w:t>
                  </w:r>
                </w:p>
              </w:tc>
            </w:tr>
            <w:tr w14:paraId="3B247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24213A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38</w:t>
                  </w:r>
                </w:p>
              </w:tc>
              <w:tc>
                <w:tcPr>
                  <w:tcW w:w="1301" w:type="dxa"/>
                  <w:vAlign w:val="center"/>
                </w:tcPr>
                <w:p w14:paraId="1BEF72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乐昌市胜兴新材料有限公司</w:t>
                  </w:r>
                </w:p>
              </w:tc>
              <w:tc>
                <w:tcPr>
                  <w:tcW w:w="372" w:type="dxa"/>
                  <w:vAlign w:val="center"/>
                </w:tcPr>
                <w:p w14:paraId="52ADE4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8952C3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纺织业</w:t>
                  </w:r>
                </w:p>
              </w:tc>
              <w:tc>
                <w:tcPr>
                  <w:tcW w:w="904" w:type="dxa"/>
                  <w:vAlign w:val="center"/>
                </w:tcPr>
                <w:p w14:paraId="1989A9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5760</w:t>
                  </w:r>
                </w:p>
              </w:tc>
              <w:tc>
                <w:tcPr>
                  <w:tcW w:w="2499" w:type="dxa"/>
                  <w:vAlign w:val="center"/>
                </w:tcPr>
                <w:p w14:paraId="2F12D1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年产衬布 6000 万米</w:t>
                  </w:r>
                </w:p>
              </w:tc>
              <w:tc>
                <w:tcPr>
                  <w:tcW w:w="1897" w:type="dxa"/>
                  <w:vAlign w:val="center"/>
                </w:tcPr>
                <w:p w14:paraId="76F04F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"bookmark239"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2023</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18 号</w:t>
                  </w:r>
                </w:p>
              </w:tc>
            </w:tr>
            <w:tr w14:paraId="132B6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3A278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39</w:t>
                  </w:r>
                </w:p>
              </w:tc>
              <w:tc>
                <w:tcPr>
                  <w:tcW w:w="1301" w:type="dxa"/>
                  <w:vAlign w:val="center"/>
                </w:tcPr>
                <w:p w14:paraId="38450A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乐昌市鸿鑫机械设备有限公</w:t>
                  </w:r>
                </w:p>
                <w:p w14:paraId="7F947D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3175C6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26B68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904" w:type="dxa"/>
                  <w:vAlign w:val="center"/>
                </w:tcPr>
                <w:p w14:paraId="5E9B63D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700</w:t>
                  </w:r>
                </w:p>
              </w:tc>
              <w:tc>
                <w:tcPr>
                  <w:tcW w:w="2499" w:type="dxa"/>
                  <w:vAlign w:val="center"/>
                </w:tcPr>
                <w:p w14:paraId="6FAAC6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年产液压元件 1000 套</w:t>
                  </w:r>
                </w:p>
              </w:tc>
              <w:tc>
                <w:tcPr>
                  <w:tcW w:w="1897" w:type="dxa"/>
                  <w:vAlign w:val="center"/>
                </w:tcPr>
                <w:p w14:paraId="111C59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乐环审〔2019〕38 号</w:t>
                  </w:r>
                </w:p>
              </w:tc>
            </w:tr>
            <w:tr w14:paraId="4A638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060BB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40</w:t>
                  </w:r>
                </w:p>
              </w:tc>
              <w:tc>
                <w:tcPr>
                  <w:tcW w:w="1301" w:type="dxa"/>
                  <w:vAlign w:val="center"/>
                </w:tcPr>
                <w:p w14:paraId="7AF390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广东柏创智能装备有限公司</w:t>
                  </w:r>
                </w:p>
              </w:tc>
              <w:tc>
                <w:tcPr>
                  <w:tcW w:w="372" w:type="dxa"/>
                  <w:vAlign w:val="center"/>
                </w:tcPr>
                <w:p w14:paraId="5E3D4A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4A0DA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904" w:type="dxa"/>
                  <w:vAlign w:val="center"/>
                </w:tcPr>
                <w:p w14:paraId="679022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23334.5</w:t>
                  </w:r>
                </w:p>
              </w:tc>
              <w:tc>
                <w:tcPr>
                  <w:tcW w:w="2499" w:type="dxa"/>
                  <w:vAlign w:val="center"/>
                </w:tcPr>
                <w:p w14:paraId="576938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年产单晶炉热交换器 1.2 万套、腔体部件 200 套、晶棒相关</w:t>
                  </w:r>
                </w:p>
                <w:p w14:paraId="1AF956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自动化设备 200 套</w:t>
                  </w:r>
                </w:p>
              </w:tc>
              <w:tc>
                <w:tcPr>
                  <w:tcW w:w="1897" w:type="dxa"/>
                  <w:vAlign w:val="center"/>
                </w:tcPr>
                <w:p w14:paraId="119B54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韶环乐审〔2023〕33 号</w:t>
                  </w:r>
                </w:p>
              </w:tc>
            </w:tr>
            <w:tr w14:paraId="4BAA0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1C3739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41</w:t>
                  </w:r>
                </w:p>
              </w:tc>
              <w:tc>
                <w:tcPr>
                  <w:tcW w:w="1301" w:type="dxa"/>
                  <w:vAlign w:val="center"/>
                </w:tcPr>
                <w:p w14:paraId="7FB62F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广东中衡能源设备有限公司</w:t>
                  </w:r>
                </w:p>
              </w:tc>
              <w:tc>
                <w:tcPr>
                  <w:tcW w:w="372" w:type="dxa"/>
                  <w:vAlign w:val="center"/>
                </w:tcPr>
                <w:p w14:paraId="59DB84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F8B71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354C552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13940.57</w:t>
                  </w:r>
                </w:p>
              </w:tc>
              <w:tc>
                <w:tcPr>
                  <w:tcW w:w="2499" w:type="dxa"/>
                  <w:vAlign w:val="center"/>
                </w:tcPr>
                <w:p w14:paraId="0D477A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年产移动通信基站设备 3 万套、移动通信机柜 2 万套</w:t>
                  </w:r>
                </w:p>
              </w:tc>
              <w:tc>
                <w:tcPr>
                  <w:tcW w:w="1897" w:type="dxa"/>
                  <w:vAlign w:val="center"/>
                </w:tcPr>
                <w:p w14:paraId="5EB734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韶环乐审〔2022〕12 号</w:t>
                  </w:r>
                </w:p>
              </w:tc>
            </w:tr>
            <w:tr w14:paraId="5A384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jc w:val="center"/>
              </w:trPr>
              <w:tc>
                <w:tcPr>
                  <w:tcW w:w="330" w:type="dxa"/>
                  <w:vAlign w:val="center"/>
                </w:tcPr>
                <w:p w14:paraId="01E570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42</w:t>
                  </w:r>
                </w:p>
              </w:tc>
              <w:tc>
                <w:tcPr>
                  <w:tcW w:w="1301" w:type="dxa"/>
                  <w:vAlign w:val="center"/>
                </w:tcPr>
                <w:p w14:paraId="697E88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韶关欧亚特电子制品有限公</w:t>
                  </w:r>
                </w:p>
                <w:p w14:paraId="7D6F95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42E790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139AB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w:t>
                  </w:r>
                </w:p>
                <w:p w14:paraId="0ED820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他电子设备制造</w:t>
                  </w:r>
                </w:p>
                <w:p w14:paraId="2F3EEC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业、电气机械和器</w:t>
                  </w:r>
                </w:p>
                <w:p w14:paraId="599D4A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材制造业、橡胶和</w:t>
                  </w:r>
                </w:p>
                <w:p w14:paraId="78BD87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塑料制品业</w:t>
                  </w:r>
                </w:p>
              </w:tc>
              <w:tc>
                <w:tcPr>
                  <w:tcW w:w="904" w:type="dxa"/>
                  <w:vAlign w:val="center"/>
                </w:tcPr>
                <w:p w14:paraId="7B3BAE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18664</w:t>
                  </w:r>
                </w:p>
              </w:tc>
              <w:tc>
                <w:tcPr>
                  <w:tcW w:w="2499" w:type="dxa"/>
                  <w:vAlign w:val="center"/>
                </w:tcPr>
                <w:p w14:paraId="35B12B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1000 万支热熔胶枪及 1000 万根插头线、3000 万条热熔</w:t>
                  </w:r>
                </w:p>
                <w:p w14:paraId="56E3AA1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胶条</w:t>
                  </w:r>
                </w:p>
              </w:tc>
              <w:tc>
                <w:tcPr>
                  <w:tcW w:w="1897" w:type="dxa"/>
                  <w:vAlign w:val="center"/>
                </w:tcPr>
                <w:p w14:paraId="4CE9CE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]79 号、乐环审</w:t>
                  </w:r>
                </w:p>
                <w:p w14:paraId="7A83F2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]09 号、乐环审[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]52 号、</w:t>
                  </w:r>
                </w:p>
                <w:p w14:paraId="72F7E5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乐环审〔2020〕05 号</w:t>
                  </w:r>
                </w:p>
              </w:tc>
            </w:tr>
            <w:tr w14:paraId="1FA90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09D5F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43</w:t>
                  </w:r>
                </w:p>
              </w:tc>
              <w:tc>
                <w:tcPr>
                  <w:tcW w:w="1301" w:type="dxa"/>
                  <w:vAlign w:val="center"/>
                </w:tcPr>
                <w:p w14:paraId="6FE3EFA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德尔安科技（广东）有限公司</w:t>
                  </w:r>
                </w:p>
              </w:tc>
              <w:tc>
                <w:tcPr>
                  <w:tcW w:w="372" w:type="dxa"/>
                  <w:vAlign w:val="center"/>
                </w:tcPr>
                <w:p w14:paraId="7D0740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48EBC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4E7D9C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27672.2</w:t>
                  </w:r>
                </w:p>
              </w:tc>
              <w:tc>
                <w:tcPr>
                  <w:tcW w:w="2499" w:type="dxa"/>
                  <w:vAlign w:val="center"/>
                </w:tcPr>
                <w:p w14:paraId="411527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年产过滤式消防自救呼吸器 400 万具，水基型灭火器 100 万具，催化剂 600 吨和水系灭火剂2400 吨等</w:t>
                  </w:r>
                </w:p>
              </w:tc>
              <w:tc>
                <w:tcPr>
                  <w:tcW w:w="1897" w:type="dxa"/>
                  <w:vAlign w:val="center"/>
                </w:tcPr>
                <w:p w14:paraId="0DCE8D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韶环乐审〔2021〕23 号</w:t>
                  </w:r>
                </w:p>
              </w:tc>
            </w:tr>
            <w:tr w14:paraId="56011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01B6F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44</w:t>
                  </w:r>
                </w:p>
              </w:tc>
              <w:tc>
                <w:tcPr>
                  <w:tcW w:w="1301" w:type="dxa"/>
                  <w:vAlign w:val="center"/>
                </w:tcPr>
                <w:p w14:paraId="5BD1B5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广东东田实业有限公司</w:t>
                  </w:r>
                </w:p>
              </w:tc>
              <w:tc>
                <w:tcPr>
                  <w:tcW w:w="372" w:type="dxa"/>
                  <w:vAlign w:val="center"/>
                </w:tcPr>
                <w:p w14:paraId="2810D3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B19B3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904" w:type="dxa"/>
                  <w:vAlign w:val="center"/>
                </w:tcPr>
                <w:p w14:paraId="4A2EEE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1557.48</w:t>
                  </w:r>
                </w:p>
              </w:tc>
              <w:tc>
                <w:tcPr>
                  <w:tcW w:w="2499" w:type="dxa"/>
                  <w:vAlign w:val="center"/>
                </w:tcPr>
                <w:p w14:paraId="45A6A5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年产移动通信基站电源钣金件 5 万套</w:t>
                  </w:r>
                </w:p>
              </w:tc>
              <w:tc>
                <w:tcPr>
                  <w:tcW w:w="1897" w:type="dxa"/>
                  <w:vAlign w:val="center"/>
                </w:tcPr>
                <w:p w14:paraId="6E5A0E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乐环审〔2020〕27 号</w:t>
                  </w:r>
                </w:p>
              </w:tc>
            </w:tr>
            <w:tr w14:paraId="344C1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525BE6A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45</w:t>
                  </w:r>
                </w:p>
              </w:tc>
              <w:tc>
                <w:tcPr>
                  <w:tcW w:w="1301" w:type="dxa"/>
                  <w:vAlign w:val="center"/>
                </w:tcPr>
                <w:p w14:paraId="672EBEE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广东弘德宝厨具有限公司</w:t>
                  </w:r>
                </w:p>
              </w:tc>
              <w:tc>
                <w:tcPr>
                  <w:tcW w:w="372" w:type="dxa"/>
                  <w:vAlign w:val="center"/>
                </w:tcPr>
                <w:p w14:paraId="08F3E2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48E3B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5634C5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26640</w:t>
                  </w:r>
                </w:p>
              </w:tc>
              <w:tc>
                <w:tcPr>
                  <w:tcW w:w="2499" w:type="dxa"/>
                  <w:vAlign w:val="center"/>
                </w:tcPr>
                <w:p w14:paraId="260CBE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年产铸铁厨房用具 2.5 万吨</w:t>
                  </w:r>
                </w:p>
              </w:tc>
              <w:tc>
                <w:tcPr>
                  <w:tcW w:w="1897" w:type="dxa"/>
                  <w:vAlign w:val="center"/>
                </w:tcPr>
                <w:p w14:paraId="503B1E3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韶环乐审〔2022〕18 号</w:t>
                  </w:r>
                </w:p>
              </w:tc>
            </w:tr>
            <w:tr w14:paraId="6AE51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0" w:type="dxa"/>
                  <w:vAlign w:val="center"/>
                </w:tcPr>
                <w:p w14:paraId="41DD6C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46</w:t>
                  </w:r>
                </w:p>
              </w:tc>
              <w:tc>
                <w:tcPr>
                  <w:tcW w:w="1301" w:type="dxa"/>
                  <w:vAlign w:val="center"/>
                </w:tcPr>
                <w:p w14:paraId="0C49A74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冠荣科技（韶关）有限公司</w:t>
                  </w:r>
                </w:p>
              </w:tc>
              <w:tc>
                <w:tcPr>
                  <w:tcW w:w="372" w:type="dxa"/>
                  <w:vAlign w:val="center"/>
                </w:tcPr>
                <w:p w14:paraId="6248F8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7856B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0E0D85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业、印刷和记录媒</w:t>
                  </w:r>
                </w:p>
                <w:p w14:paraId="6B66FE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介复制业</w:t>
                  </w:r>
                </w:p>
              </w:tc>
              <w:tc>
                <w:tcPr>
                  <w:tcW w:w="904" w:type="dxa"/>
                  <w:vAlign w:val="center"/>
                </w:tcPr>
                <w:p w14:paraId="212C6F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23334.5</w:t>
                  </w:r>
                </w:p>
              </w:tc>
              <w:tc>
                <w:tcPr>
                  <w:tcW w:w="2499" w:type="dxa"/>
                  <w:vAlign w:val="center"/>
                </w:tcPr>
                <w:p w14:paraId="3251F0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年产商标 18000 万个、TPU 材料和硅胶材料 50 万平方米</w:t>
                  </w:r>
                </w:p>
              </w:tc>
              <w:tc>
                <w:tcPr>
                  <w:tcW w:w="1897" w:type="dxa"/>
                  <w:vAlign w:val="center"/>
                </w:tcPr>
                <w:p w14:paraId="6023DC5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韶环乐审〔2023〕07 号</w:t>
                  </w:r>
                </w:p>
              </w:tc>
            </w:tr>
            <w:tr w14:paraId="68054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54CCAD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47</w:t>
                  </w:r>
                </w:p>
              </w:tc>
              <w:tc>
                <w:tcPr>
                  <w:tcW w:w="1301" w:type="dxa"/>
                  <w:vAlign w:val="center"/>
                </w:tcPr>
                <w:p w14:paraId="6838906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添亿包装（广东）有限公司</w:t>
                  </w:r>
                </w:p>
              </w:tc>
              <w:tc>
                <w:tcPr>
                  <w:tcW w:w="372" w:type="dxa"/>
                  <w:vAlign w:val="center"/>
                </w:tcPr>
                <w:p w14:paraId="7F41E9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C178E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纸制品制造</w:t>
                  </w:r>
                </w:p>
              </w:tc>
              <w:tc>
                <w:tcPr>
                  <w:tcW w:w="904" w:type="dxa"/>
                  <w:vAlign w:val="center"/>
                </w:tcPr>
                <w:p w14:paraId="4E85A4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16564.72</w:t>
                  </w:r>
                </w:p>
              </w:tc>
              <w:tc>
                <w:tcPr>
                  <w:tcW w:w="2499" w:type="dxa"/>
                  <w:vAlign w:val="center"/>
                </w:tcPr>
                <w:p w14:paraId="3428EF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年产彩盒 10 亿套</w:t>
                  </w:r>
                </w:p>
              </w:tc>
              <w:tc>
                <w:tcPr>
                  <w:tcW w:w="1897" w:type="dxa"/>
                  <w:vAlign w:val="center"/>
                </w:tcPr>
                <w:p w14:paraId="1EE186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韶环乐审〔2021〕24 号</w:t>
                  </w:r>
                </w:p>
              </w:tc>
            </w:tr>
            <w:tr w14:paraId="4E414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0E5D2D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48</w:t>
                  </w:r>
                </w:p>
              </w:tc>
              <w:tc>
                <w:tcPr>
                  <w:tcW w:w="1301" w:type="dxa"/>
                  <w:vAlign w:val="center"/>
                </w:tcPr>
                <w:p w14:paraId="458A8F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广东光宝微电子有限公司</w:t>
                  </w:r>
                </w:p>
              </w:tc>
              <w:tc>
                <w:tcPr>
                  <w:tcW w:w="372" w:type="dxa"/>
                  <w:vAlign w:val="center"/>
                </w:tcPr>
                <w:p w14:paraId="65B7502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8C7A8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904" w:type="dxa"/>
                  <w:vAlign w:val="center"/>
                </w:tcPr>
                <w:p w14:paraId="75E9A0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3600</w:t>
                  </w:r>
                </w:p>
              </w:tc>
              <w:tc>
                <w:tcPr>
                  <w:tcW w:w="2499" w:type="dxa"/>
                  <w:vAlign w:val="center"/>
                </w:tcPr>
                <w:p w14:paraId="1C0123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年产发光二极管 1.2 亿个、光电耦合器件 1500 万个</w:t>
                  </w:r>
                </w:p>
              </w:tc>
              <w:tc>
                <w:tcPr>
                  <w:tcW w:w="1897" w:type="dxa"/>
                  <w:vAlign w:val="center"/>
                </w:tcPr>
                <w:p w14:paraId="4A58F4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韶环乐审〔2024〕21 号</w:t>
                  </w:r>
                </w:p>
              </w:tc>
            </w:tr>
            <w:tr w14:paraId="6825B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63872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49</w:t>
                  </w:r>
                </w:p>
              </w:tc>
              <w:tc>
                <w:tcPr>
                  <w:tcW w:w="1301" w:type="dxa"/>
                  <w:vAlign w:val="center"/>
                </w:tcPr>
                <w:p w14:paraId="5709B16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韶关博鑫工程服务有限公司</w:t>
                  </w:r>
                </w:p>
              </w:tc>
              <w:tc>
                <w:tcPr>
                  <w:tcW w:w="372" w:type="dxa"/>
                  <w:vAlign w:val="center"/>
                </w:tcPr>
                <w:p w14:paraId="4D9953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95D44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7F2F8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51544.6</w:t>
                  </w:r>
                </w:p>
              </w:tc>
              <w:tc>
                <w:tcPr>
                  <w:tcW w:w="2499" w:type="dxa"/>
                  <w:vAlign w:val="center"/>
                </w:tcPr>
                <w:p w14:paraId="397DF6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年产铝合金模板 20 万立方米、翻新铝合金模板20 万立方米、</w:t>
                  </w:r>
                </w:p>
                <w:p w14:paraId="6C6931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翻新背楞 2000 吨、其他配套产品 3000 吨</w:t>
                  </w:r>
                </w:p>
              </w:tc>
              <w:tc>
                <w:tcPr>
                  <w:tcW w:w="1897" w:type="dxa"/>
                  <w:vAlign w:val="center"/>
                </w:tcPr>
                <w:p w14:paraId="79412E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韶环乐审〔2024〕34 号</w:t>
                  </w:r>
                </w:p>
              </w:tc>
            </w:tr>
            <w:tr w14:paraId="17C26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19D82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50</w:t>
                  </w:r>
                </w:p>
              </w:tc>
              <w:tc>
                <w:tcPr>
                  <w:tcW w:w="1301" w:type="dxa"/>
                  <w:vAlign w:val="center"/>
                </w:tcPr>
                <w:p w14:paraId="26D97D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乐昌市安顺达管道天然气有</w:t>
                  </w:r>
                </w:p>
                <w:p w14:paraId="5721CB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372" w:type="dxa"/>
                  <w:vAlign w:val="center"/>
                </w:tcPr>
                <w:p w14:paraId="38EBA4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9F0E7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燃气生产和供应业</w:t>
                  </w:r>
                </w:p>
              </w:tc>
              <w:tc>
                <w:tcPr>
                  <w:tcW w:w="904" w:type="dxa"/>
                  <w:vAlign w:val="center"/>
                </w:tcPr>
                <w:p w14:paraId="660C62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20080</w:t>
                  </w:r>
                </w:p>
              </w:tc>
              <w:tc>
                <w:tcPr>
                  <w:tcW w:w="2499" w:type="dxa"/>
                  <w:vAlign w:val="center"/>
                </w:tcPr>
                <w:p w14:paraId="74EB80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日供气量约 15 万立方</w:t>
                  </w:r>
                </w:p>
              </w:tc>
              <w:tc>
                <w:tcPr>
                  <w:tcW w:w="1897" w:type="dxa"/>
                  <w:vAlign w:val="center"/>
                </w:tcPr>
                <w:p w14:paraId="3BE06D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]53 号</w:t>
                  </w:r>
                </w:p>
              </w:tc>
            </w:tr>
            <w:tr w14:paraId="5776E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27BE5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51</w:t>
                  </w:r>
                </w:p>
              </w:tc>
              <w:tc>
                <w:tcPr>
                  <w:tcW w:w="1301" w:type="dxa"/>
                  <w:vAlign w:val="center"/>
                </w:tcPr>
                <w:p w14:paraId="06CEAC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广东利生源生物饲料有限公</w:t>
                  </w:r>
                </w:p>
                <w:p w14:paraId="0A5907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0D59BC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546FE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农副食品加工业</w:t>
                  </w:r>
                </w:p>
              </w:tc>
              <w:tc>
                <w:tcPr>
                  <w:tcW w:w="904" w:type="dxa"/>
                  <w:vAlign w:val="center"/>
                </w:tcPr>
                <w:p w14:paraId="1EE531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10770</w:t>
                  </w:r>
                </w:p>
              </w:tc>
              <w:tc>
                <w:tcPr>
                  <w:tcW w:w="2499" w:type="dxa"/>
                  <w:vAlign w:val="center"/>
                </w:tcPr>
                <w:p w14:paraId="60A681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年产优能乳 10800 吨、利生宝 3000 吨</w:t>
                  </w:r>
                </w:p>
              </w:tc>
              <w:tc>
                <w:tcPr>
                  <w:tcW w:w="1897" w:type="dxa"/>
                  <w:vAlign w:val="center"/>
                </w:tcPr>
                <w:p w14:paraId="388700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2011</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103 号</w:t>
                  </w:r>
                </w:p>
              </w:tc>
            </w:tr>
            <w:tr w14:paraId="6FBAC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5D5FF7D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52</w:t>
                  </w:r>
                </w:p>
              </w:tc>
              <w:tc>
                <w:tcPr>
                  <w:tcW w:w="1301" w:type="dxa"/>
                  <w:vAlign w:val="center"/>
                </w:tcPr>
                <w:p w14:paraId="50257E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乐昌市自来水有限公司</w:t>
                  </w:r>
                </w:p>
              </w:tc>
              <w:tc>
                <w:tcPr>
                  <w:tcW w:w="372" w:type="dxa"/>
                  <w:vAlign w:val="center"/>
                </w:tcPr>
                <w:p w14:paraId="05422F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965C6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自来水生产和供应业</w:t>
                  </w:r>
                </w:p>
              </w:tc>
              <w:tc>
                <w:tcPr>
                  <w:tcW w:w="904" w:type="dxa"/>
                  <w:vAlign w:val="center"/>
                </w:tcPr>
                <w:p w14:paraId="5EF1B6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9303.8</w:t>
                  </w:r>
                </w:p>
              </w:tc>
              <w:tc>
                <w:tcPr>
                  <w:tcW w:w="2499" w:type="dxa"/>
                  <w:vAlign w:val="center"/>
                </w:tcPr>
                <w:p w14:paraId="0EC153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加压泵站建设，供应水量 5000 立方</w:t>
                  </w:r>
                </w:p>
              </w:tc>
              <w:tc>
                <w:tcPr>
                  <w:tcW w:w="1897" w:type="dxa"/>
                  <w:vAlign w:val="center"/>
                </w:tcPr>
                <w:p w14:paraId="5B0922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103 号</w:t>
                  </w:r>
                </w:p>
              </w:tc>
            </w:tr>
            <w:tr w14:paraId="1F5C6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2B881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53</w:t>
                  </w:r>
                </w:p>
              </w:tc>
              <w:tc>
                <w:tcPr>
                  <w:tcW w:w="1301" w:type="dxa"/>
                  <w:vAlign w:val="center"/>
                </w:tcPr>
                <w:p w14:paraId="70A31F5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东莞东坑（乐昌）产业转移园</w:t>
                  </w:r>
                </w:p>
                <w:p w14:paraId="1808A0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污水处理厂</w:t>
                  </w:r>
                </w:p>
              </w:tc>
              <w:tc>
                <w:tcPr>
                  <w:tcW w:w="372" w:type="dxa"/>
                  <w:vAlign w:val="center"/>
                </w:tcPr>
                <w:p w14:paraId="17F985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89D2B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污水处理及其再生利用业</w:t>
                  </w:r>
                </w:p>
              </w:tc>
              <w:tc>
                <w:tcPr>
                  <w:tcW w:w="904" w:type="dxa"/>
                  <w:vAlign w:val="center"/>
                </w:tcPr>
                <w:p w14:paraId="0997F5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15400</w:t>
                  </w:r>
                </w:p>
              </w:tc>
              <w:tc>
                <w:tcPr>
                  <w:tcW w:w="2499" w:type="dxa"/>
                  <w:vAlign w:val="center"/>
                </w:tcPr>
                <w:p w14:paraId="287ACAA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处理水量 10000 立方米/d</w:t>
                  </w:r>
                </w:p>
              </w:tc>
              <w:tc>
                <w:tcPr>
                  <w:tcW w:w="1897" w:type="dxa"/>
                  <w:vAlign w:val="center"/>
                </w:tcPr>
                <w:p w14:paraId="5DB9C9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乐环函[</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2010</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107 号</w:t>
                  </w:r>
                </w:p>
              </w:tc>
            </w:tr>
            <w:tr w14:paraId="6A1FA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345075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54</w:t>
                  </w:r>
                </w:p>
              </w:tc>
              <w:tc>
                <w:tcPr>
                  <w:tcW w:w="1301" w:type="dxa"/>
                  <w:vAlign w:val="center"/>
                </w:tcPr>
                <w:p w14:paraId="2B877B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乐昌市玉煌科技有限公司</w:t>
                  </w:r>
                </w:p>
              </w:tc>
              <w:tc>
                <w:tcPr>
                  <w:tcW w:w="372" w:type="dxa"/>
                  <w:vAlign w:val="center"/>
                </w:tcPr>
                <w:p w14:paraId="43B2CAF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09A23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9C34D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15291.1</w:t>
                  </w:r>
                </w:p>
              </w:tc>
              <w:tc>
                <w:tcPr>
                  <w:tcW w:w="2499" w:type="dxa"/>
                  <w:vAlign w:val="center"/>
                </w:tcPr>
                <w:p w14:paraId="36FAC7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年产螺丝紧固件 2000 吨</w:t>
                  </w:r>
                </w:p>
              </w:tc>
              <w:tc>
                <w:tcPr>
                  <w:tcW w:w="1897" w:type="dxa"/>
                  <w:vAlign w:val="center"/>
                </w:tcPr>
                <w:p w14:paraId="77F9CF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]54 号</w:t>
                  </w:r>
                </w:p>
              </w:tc>
            </w:tr>
            <w:tr w14:paraId="34B5B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jc w:val="center"/>
              </w:trPr>
              <w:tc>
                <w:tcPr>
                  <w:tcW w:w="330" w:type="dxa"/>
                  <w:vAlign w:val="center"/>
                </w:tcPr>
                <w:p w14:paraId="2B396B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55</w:t>
                  </w:r>
                </w:p>
              </w:tc>
              <w:tc>
                <w:tcPr>
                  <w:tcW w:w="1301" w:type="dxa"/>
                  <w:vAlign w:val="center"/>
                </w:tcPr>
                <w:p w14:paraId="354204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广东科优精密机械制造有限</w:t>
                  </w:r>
                </w:p>
                <w:p w14:paraId="393B53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2671A49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17DD7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904" w:type="dxa"/>
                  <w:vAlign w:val="center"/>
                </w:tcPr>
                <w:p w14:paraId="2CF25A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12528.8</w:t>
                  </w:r>
                </w:p>
              </w:tc>
              <w:tc>
                <w:tcPr>
                  <w:tcW w:w="2499" w:type="dxa"/>
                  <w:vAlign w:val="center"/>
                </w:tcPr>
                <w:p w14:paraId="2FCE6B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年产电磁阀用汇流板 5000 吨、精抽加工铝制品 400 吨，表面</w:t>
                  </w:r>
                </w:p>
                <w:p w14:paraId="281421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处理汇流板产品 1800 吨</w:t>
                  </w:r>
                </w:p>
              </w:tc>
              <w:tc>
                <w:tcPr>
                  <w:tcW w:w="1897" w:type="dxa"/>
                  <w:vAlign w:val="center"/>
                </w:tcPr>
                <w:p w14:paraId="61F8CB7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]03 号、乐环审</w:t>
                  </w:r>
                </w:p>
                <w:p w14:paraId="06C812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]24 号、韶环乐审〔2024〕04</w:t>
                  </w:r>
                </w:p>
                <w:p w14:paraId="67E1326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号</w:t>
                  </w:r>
                </w:p>
              </w:tc>
            </w:tr>
            <w:tr w14:paraId="2FA03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29B461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56</w:t>
                  </w:r>
                </w:p>
              </w:tc>
              <w:tc>
                <w:tcPr>
                  <w:tcW w:w="1301" w:type="dxa"/>
                  <w:vAlign w:val="center"/>
                </w:tcPr>
                <w:p w14:paraId="59DF81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广东中博交通环保设备有限</w:t>
                  </w:r>
                </w:p>
                <w:p w14:paraId="724A3E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192C6A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56CE8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1F9FEC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20059.4</w:t>
                  </w:r>
                </w:p>
              </w:tc>
              <w:tc>
                <w:tcPr>
                  <w:tcW w:w="2499" w:type="dxa"/>
                  <w:vAlign w:val="center"/>
                </w:tcPr>
                <w:p w14:paraId="1CB241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年加工生产交通环保材料 50 万件</w:t>
                  </w:r>
                </w:p>
              </w:tc>
              <w:tc>
                <w:tcPr>
                  <w:tcW w:w="1897" w:type="dxa"/>
                  <w:vAlign w:val="center"/>
                </w:tcPr>
                <w:p w14:paraId="1DD5EB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"bookmark249"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]59 号</w:t>
                  </w:r>
                </w:p>
              </w:tc>
            </w:tr>
            <w:tr w14:paraId="419C5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DEF1DE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57</w:t>
                  </w:r>
                </w:p>
              </w:tc>
              <w:tc>
                <w:tcPr>
                  <w:tcW w:w="1301" w:type="dxa"/>
                  <w:vAlign w:val="center"/>
                </w:tcPr>
                <w:p w14:paraId="2DDB1F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乐昌欧典高分子装饰材料有</w:t>
                  </w:r>
                </w:p>
                <w:p w14:paraId="0FDB7B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372" w:type="dxa"/>
                  <w:vAlign w:val="center"/>
                </w:tcPr>
                <w:p w14:paraId="291F38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A4437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4F9AB1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8631.1</w:t>
                  </w:r>
                </w:p>
              </w:tc>
              <w:tc>
                <w:tcPr>
                  <w:tcW w:w="2499" w:type="dxa"/>
                  <w:vAlign w:val="center"/>
                </w:tcPr>
                <w:p w14:paraId="754598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PVC 墙板 300 万平方、PVC 墙板配套线条约 200 万米</w:t>
                  </w:r>
                </w:p>
              </w:tc>
              <w:tc>
                <w:tcPr>
                  <w:tcW w:w="1897" w:type="dxa"/>
                  <w:vAlign w:val="center"/>
                </w:tcPr>
                <w:p w14:paraId="4F805D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2019</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]68 号</w:t>
                  </w:r>
                </w:p>
              </w:tc>
            </w:tr>
            <w:tr w14:paraId="057B9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6E7939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7BE701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58</w:t>
                  </w:r>
                </w:p>
              </w:tc>
              <w:tc>
                <w:tcPr>
                  <w:tcW w:w="1301" w:type="dxa"/>
                  <w:vAlign w:val="center"/>
                </w:tcPr>
                <w:p w14:paraId="43E0EFC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韶关豪立再生资源利用有限</w:t>
                  </w:r>
                </w:p>
                <w:p w14:paraId="1B7CE0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0F4DA2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66A56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非金属矿物制品业</w:t>
                  </w:r>
                </w:p>
              </w:tc>
              <w:tc>
                <w:tcPr>
                  <w:tcW w:w="904" w:type="dxa"/>
                  <w:vAlign w:val="center"/>
                </w:tcPr>
                <w:p w14:paraId="6E8007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17646</w:t>
                  </w:r>
                </w:p>
              </w:tc>
              <w:tc>
                <w:tcPr>
                  <w:tcW w:w="2499" w:type="dxa"/>
                  <w:vAlign w:val="center"/>
                </w:tcPr>
                <w:p w14:paraId="7CD3BC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年处理废金属 79760 吨、废纸 5982 吨、拆解设备 2000 台，</w:t>
                  </w:r>
                </w:p>
                <w:p w14:paraId="2D50D4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年产再生玻璃 11.4 万吨、玻璃纤维 3 万吨、玻璃纤维增强塑</w:t>
                  </w:r>
                </w:p>
                <w:p w14:paraId="0023F37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料制品 7200 吨</w:t>
                  </w:r>
                </w:p>
              </w:tc>
              <w:tc>
                <w:tcPr>
                  <w:tcW w:w="1897" w:type="dxa"/>
                  <w:vAlign w:val="center"/>
                </w:tcPr>
                <w:p w14:paraId="7E040C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]69 号、韶环乐审</w:t>
                  </w:r>
                </w:p>
                <w:p w14:paraId="0F780B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〔2021〕06 号、韶环乐审〔2023〕</w:t>
                  </w:r>
                </w:p>
                <w:p w14:paraId="6BAE03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23 号</w:t>
                  </w:r>
                </w:p>
              </w:tc>
            </w:tr>
            <w:tr w14:paraId="5FE3F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E1863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59</w:t>
                  </w:r>
                </w:p>
              </w:tc>
              <w:tc>
                <w:tcPr>
                  <w:tcW w:w="1301" w:type="dxa"/>
                  <w:vAlign w:val="center"/>
                </w:tcPr>
                <w:p w14:paraId="32F84AC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乐昌市优泰德电器有限公司</w:t>
                  </w:r>
                </w:p>
                <w:p w14:paraId="047409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（创业就业基地）</w:t>
                  </w:r>
                </w:p>
              </w:tc>
              <w:tc>
                <w:tcPr>
                  <w:tcW w:w="372" w:type="dxa"/>
                  <w:vAlign w:val="center"/>
                </w:tcPr>
                <w:p w14:paraId="344956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36CED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5071AB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3504</w:t>
                  </w:r>
                </w:p>
              </w:tc>
              <w:tc>
                <w:tcPr>
                  <w:tcW w:w="2499" w:type="dxa"/>
                  <w:vAlign w:val="center"/>
                </w:tcPr>
                <w:p w14:paraId="0490D9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年产塑料及五金制品 280 万件</w:t>
                  </w:r>
                </w:p>
              </w:tc>
              <w:tc>
                <w:tcPr>
                  <w:tcW w:w="1897" w:type="dxa"/>
                  <w:vAlign w:val="center"/>
                </w:tcPr>
                <w:p w14:paraId="49E32A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乐环审〔2019〕28 号</w:t>
                  </w:r>
                </w:p>
              </w:tc>
            </w:tr>
            <w:tr w14:paraId="1C449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C248B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60</w:t>
                  </w:r>
                </w:p>
              </w:tc>
              <w:tc>
                <w:tcPr>
                  <w:tcW w:w="1301" w:type="dxa"/>
                  <w:vAlign w:val="center"/>
                </w:tcPr>
                <w:p w14:paraId="510BDA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乐昌市优泰德电器有限公司</w:t>
                  </w:r>
                </w:p>
                <w:p w14:paraId="11A086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(金玲三路）</w:t>
                  </w:r>
                </w:p>
              </w:tc>
              <w:tc>
                <w:tcPr>
                  <w:tcW w:w="372" w:type="dxa"/>
                  <w:vAlign w:val="center"/>
                </w:tcPr>
                <w:p w14:paraId="588AF4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9608B4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29DB47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15173</w:t>
                  </w:r>
                </w:p>
              </w:tc>
              <w:tc>
                <w:tcPr>
                  <w:tcW w:w="2499" w:type="dxa"/>
                  <w:vAlign w:val="center"/>
                </w:tcPr>
                <w:p w14:paraId="6DB014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年产家用小电器（电吹风、直发器、卷发器等）250 万台</w:t>
                  </w:r>
                </w:p>
              </w:tc>
              <w:tc>
                <w:tcPr>
                  <w:tcW w:w="1897" w:type="dxa"/>
                  <w:vAlign w:val="center"/>
                </w:tcPr>
                <w:p w14:paraId="368C2DF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乐环审〔2019〕40 号</w:t>
                  </w:r>
                </w:p>
              </w:tc>
            </w:tr>
            <w:tr w14:paraId="10CE1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07B54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61</w:t>
                  </w:r>
                </w:p>
              </w:tc>
              <w:tc>
                <w:tcPr>
                  <w:tcW w:w="1301" w:type="dxa"/>
                  <w:vAlign w:val="center"/>
                </w:tcPr>
                <w:p w14:paraId="713907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广东昊奕智能科技有限公司</w:t>
                  </w:r>
                </w:p>
              </w:tc>
              <w:tc>
                <w:tcPr>
                  <w:tcW w:w="372" w:type="dxa"/>
                  <w:vAlign w:val="center"/>
                </w:tcPr>
                <w:p w14:paraId="5F681A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63E26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1F7F7A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9533.38</w:t>
                  </w:r>
                </w:p>
              </w:tc>
              <w:tc>
                <w:tcPr>
                  <w:tcW w:w="2499" w:type="dxa"/>
                  <w:vAlign w:val="center"/>
                </w:tcPr>
                <w:p w14:paraId="1379D8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年产不锈钢线材 5000 吨</w:t>
                  </w:r>
                </w:p>
              </w:tc>
              <w:tc>
                <w:tcPr>
                  <w:tcW w:w="1897" w:type="dxa"/>
                  <w:vAlign w:val="center"/>
                </w:tcPr>
                <w:p w14:paraId="429A79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韶环乐审〔2023〕01 号</w:t>
                  </w:r>
                </w:p>
              </w:tc>
            </w:tr>
            <w:tr w14:paraId="5145E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A95B4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62</w:t>
                  </w:r>
                </w:p>
              </w:tc>
              <w:tc>
                <w:tcPr>
                  <w:tcW w:w="1301" w:type="dxa"/>
                  <w:vAlign w:val="center"/>
                </w:tcPr>
                <w:p w14:paraId="4B9E504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三创复合材料(乐昌)有限公司</w:t>
                  </w:r>
                </w:p>
              </w:tc>
              <w:tc>
                <w:tcPr>
                  <w:tcW w:w="372" w:type="dxa"/>
                  <w:vAlign w:val="center"/>
                </w:tcPr>
                <w:p w14:paraId="1EFB84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A0F03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非金属矿物制品业</w:t>
                  </w:r>
                </w:p>
              </w:tc>
              <w:tc>
                <w:tcPr>
                  <w:tcW w:w="904" w:type="dxa"/>
                  <w:vAlign w:val="center"/>
                </w:tcPr>
                <w:p w14:paraId="4005FE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25577.13</w:t>
                  </w:r>
                </w:p>
              </w:tc>
              <w:tc>
                <w:tcPr>
                  <w:tcW w:w="2499" w:type="dxa"/>
                  <w:vAlign w:val="center"/>
                </w:tcPr>
                <w:p w14:paraId="315C07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年产玻璃纤维和碳素纤维复合材料制品 6365 吨</w:t>
                  </w:r>
                </w:p>
              </w:tc>
              <w:tc>
                <w:tcPr>
                  <w:tcW w:w="1897" w:type="dxa"/>
                  <w:vAlign w:val="center"/>
                </w:tcPr>
                <w:p w14:paraId="366311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韶环乐审〔2021〕09 号</w:t>
                  </w:r>
                </w:p>
              </w:tc>
            </w:tr>
            <w:tr w14:paraId="63350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14B493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63</w:t>
                  </w:r>
                </w:p>
              </w:tc>
              <w:tc>
                <w:tcPr>
                  <w:tcW w:w="1301" w:type="dxa"/>
                  <w:vAlign w:val="center"/>
                </w:tcPr>
                <w:p w14:paraId="6CA4E10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广东联丰科技有限公司</w:t>
                  </w:r>
                </w:p>
              </w:tc>
              <w:tc>
                <w:tcPr>
                  <w:tcW w:w="372" w:type="dxa"/>
                  <w:vAlign w:val="center"/>
                </w:tcPr>
                <w:p w14:paraId="4199FB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FDF77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06FBBE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11862.25</w:t>
                  </w:r>
                </w:p>
              </w:tc>
              <w:tc>
                <w:tcPr>
                  <w:tcW w:w="2499" w:type="dxa"/>
                  <w:vAlign w:val="center"/>
                </w:tcPr>
                <w:p w14:paraId="734E18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年产HDPE 双壁波纹管 2800 吨、HDPE 缠绕管 2350 吨、HDPE</w:t>
                  </w:r>
                </w:p>
                <w:p w14:paraId="37C2E0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供水管 2580 吨、PVC 管 2270 吨</w:t>
                  </w:r>
                </w:p>
              </w:tc>
              <w:tc>
                <w:tcPr>
                  <w:tcW w:w="1897" w:type="dxa"/>
                  <w:vAlign w:val="center"/>
                </w:tcPr>
                <w:p w14:paraId="624409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韶环乐审〔2025〕03 号</w:t>
                  </w:r>
                </w:p>
              </w:tc>
            </w:tr>
            <w:tr w14:paraId="07168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62D4DC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64</w:t>
                  </w:r>
                </w:p>
              </w:tc>
              <w:tc>
                <w:tcPr>
                  <w:tcW w:w="1301" w:type="dxa"/>
                  <w:vAlign w:val="center"/>
                </w:tcPr>
                <w:p w14:paraId="203BE7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材通(乐昌)管业科技有限公司</w:t>
                  </w:r>
                </w:p>
              </w:tc>
              <w:tc>
                <w:tcPr>
                  <w:tcW w:w="372" w:type="dxa"/>
                  <w:vAlign w:val="center"/>
                </w:tcPr>
                <w:p w14:paraId="4CB2D8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A0A24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10C933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47574.68</w:t>
                  </w:r>
                </w:p>
              </w:tc>
              <w:tc>
                <w:tcPr>
                  <w:tcW w:w="2499" w:type="dxa"/>
                  <w:vAlign w:val="center"/>
                </w:tcPr>
                <w:p w14:paraId="7ED5DB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PVC 管材 16820 吨</w:t>
                  </w:r>
                </w:p>
              </w:tc>
              <w:tc>
                <w:tcPr>
                  <w:tcW w:w="1897" w:type="dxa"/>
                  <w:vAlign w:val="center"/>
                </w:tcPr>
                <w:p w14:paraId="328FF1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乐环审〔2020〕08 号</w:t>
                  </w:r>
                </w:p>
              </w:tc>
            </w:tr>
            <w:tr w14:paraId="32A222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6713FB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65</w:t>
                  </w:r>
                </w:p>
              </w:tc>
              <w:tc>
                <w:tcPr>
                  <w:tcW w:w="1301" w:type="dxa"/>
                  <w:vAlign w:val="center"/>
                </w:tcPr>
                <w:p w14:paraId="76D9C4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乐昌市鑫东穗汽车用品有限</w:t>
                  </w:r>
                </w:p>
                <w:p w14:paraId="5191366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0ACDD5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3DE8F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汽车零部件及配件制造</w:t>
                  </w:r>
                </w:p>
              </w:tc>
              <w:tc>
                <w:tcPr>
                  <w:tcW w:w="904" w:type="dxa"/>
                  <w:vAlign w:val="center"/>
                </w:tcPr>
                <w:p w14:paraId="3328F2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17932.7</w:t>
                  </w:r>
                </w:p>
              </w:tc>
              <w:tc>
                <w:tcPr>
                  <w:tcW w:w="2499" w:type="dxa"/>
                  <w:vAlign w:val="center"/>
                </w:tcPr>
                <w:p w14:paraId="52F8ED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年产汽车零配件 30 万套</w:t>
                  </w:r>
                </w:p>
              </w:tc>
              <w:tc>
                <w:tcPr>
                  <w:tcW w:w="1897" w:type="dxa"/>
                  <w:vAlign w:val="center"/>
                </w:tcPr>
                <w:p w14:paraId="741305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乐环审〔2021〕02 号、韶环乐审</w:t>
                  </w:r>
                </w:p>
                <w:p w14:paraId="1F00B0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〔2024〕23 号</w:t>
                  </w:r>
                </w:p>
              </w:tc>
            </w:tr>
            <w:tr w14:paraId="20207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7D07A3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66</w:t>
                  </w:r>
                </w:p>
              </w:tc>
              <w:tc>
                <w:tcPr>
                  <w:tcW w:w="1301" w:type="dxa"/>
                  <w:vAlign w:val="center"/>
                </w:tcPr>
                <w:p w14:paraId="6FCA6A2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杨氏婴童用品(广东)有限公司</w:t>
                  </w:r>
                </w:p>
              </w:tc>
              <w:tc>
                <w:tcPr>
                  <w:tcW w:w="372" w:type="dxa"/>
                  <w:vAlign w:val="center"/>
                </w:tcPr>
                <w:p w14:paraId="1C024B6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49596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3B5B51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20215.42</w:t>
                  </w:r>
                </w:p>
              </w:tc>
              <w:tc>
                <w:tcPr>
                  <w:tcW w:w="2499" w:type="dxa"/>
                  <w:vAlign w:val="center"/>
                </w:tcPr>
                <w:p w14:paraId="7DEF06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年产奶瓶、水杯 600 万件</w:t>
                  </w:r>
                </w:p>
              </w:tc>
              <w:tc>
                <w:tcPr>
                  <w:tcW w:w="1897" w:type="dxa"/>
                  <w:vAlign w:val="center"/>
                </w:tcPr>
                <w:p w14:paraId="35A5310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韶环乐审〔2023〕06 号</w:t>
                  </w:r>
                </w:p>
              </w:tc>
            </w:tr>
            <w:tr w14:paraId="79759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16847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67</w:t>
                  </w:r>
                </w:p>
              </w:tc>
              <w:tc>
                <w:tcPr>
                  <w:tcW w:w="1301" w:type="dxa"/>
                  <w:vAlign w:val="center"/>
                </w:tcPr>
                <w:p w14:paraId="000C01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广东邦嘉硅胶科技有限公司</w:t>
                  </w:r>
                </w:p>
              </w:tc>
              <w:tc>
                <w:tcPr>
                  <w:tcW w:w="372" w:type="dxa"/>
                  <w:vAlign w:val="center"/>
                </w:tcPr>
                <w:p w14:paraId="1263E1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63D0CA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3BBFDC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36000</w:t>
                  </w:r>
                </w:p>
              </w:tc>
              <w:tc>
                <w:tcPr>
                  <w:tcW w:w="2499" w:type="dxa"/>
                  <w:vAlign w:val="center"/>
                </w:tcPr>
                <w:p w14:paraId="1B531C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年产固体硅胶 300 吨、注塑件 300 万件、硅胶件（奶嘴）100万个、玻璃奶瓶 100 万个、硅胶护层产品 100 万件</w:t>
                  </w:r>
                </w:p>
              </w:tc>
              <w:tc>
                <w:tcPr>
                  <w:tcW w:w="1897" w:type="dxa"/>
                  <w:vAlign w:val="center"/>
                </w:tcPr>
                <w:p w14:paraId="43943E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韶关乐审〔2023〕03 号</w:t>
                  </w:r>
                </w:p>
              </w:tc>
            </w:tr>
            <w:tr w14:paraId="477A3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3ED332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68</w:t>
                  </w:r>
                </w:p>
              </w:tc>
              <w:tc>
                <w:tcPr>
                  <w:tcW w:w="1301" w:type="dxa"/>
                  <w:vAlign w:val="center"/>
                </w:tcPr>
                <w:p w14:paraId="62F8A3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广东奕宸汽车科技有限公司</w:t>
                  </w:r>
                </w:p>
              </w:tc>
              <w:tc>
                <w:tcPr>
                  <w:tcW w:w="372" w:type="dxa"/>
                  <w:vAlign w:val="center"/>
                </w:tcPr>
                <w:p w14:paraId="737E3BA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57D7A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汽车零部件及配件制造</w:t>
                  </w:r>
                </w:p>
              </w:tc>
              <w:tc>
                <w:tcPr>
                  <w:tcW w:w="904" w:type="dxa"/>
                  <w:vAlign w:val="center"/>
                </w:tcPr>
                <w:p w14:paraId="528FB5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33915.52</w:t>
                  </w:r>
                </w:p>
              </w:tc>
              <w:tc>
                <w:tcPr>
                  <w:tcW w:w="2499" w:type="dxa"/>
                  <w:vAlign w:val="center"/>
                </w:tcPr>
                <w:p w14:paraId="0C293E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年产汽车散热器 50 万件</w:t>
                  </w:r>
                </w:p>
              </w:tc>
              <w:tc>
                <w:tcPr>
                  <w:tcW w:w="1897" w:type="dxa"/>
                  <w:vAlign w:val="center"/>
                </w:tcPr>
                <w:p w14:paraId="111BF7F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韶环乐审〔2022〕28 号</w:t>
                  </w:r>
                </w:p>
              </w:tc>
            </w:tr>
            <w:tr w14:paraId="71E35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00FBB5D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69</w:t>
                  </w:r>
                </w:p>
              </w:tc>
              <w:tc>
                <w:tcPr>
                  <w:tcW w:w="1301" w:type="dxa"/>
                  <w:vAlign w:val="center"/>
                </w:tcPr>
                <w:p w14:paraId="51A22A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广东熙诚环保科技有限公司</w:t>
                  </w:r>
                </w:p>
              </w:tc>
              <w:tc>
                <w:tcPr>
                  <w:tcW w:w="372" w:type="dxa"/>
                  <w:vAlign w:val="center"/>
                </w:tcPr>
                <w:p w14:paraId="5A85AF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BB8EF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38ECF3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13335</w:t>
                  </w:r>
                </w:p>
              </w:tc>
              <w:tc>
                <w:tcPr>
                  <w:tcW w:w="2499" w:type="dxa"/>
                  <w:vAlign w:val="center"/>
                </w:tcPr>
                <w:p w14:paraId="733402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PP 喷淋塔 500 台、PP 活性炭吸附箱 500 台</w:t>
                  </w:r>
                </w:p>
              </w:tc>
              <w:tc>
                <w:tcPr>
                  <w:tcW w:w="1897" w:type="dxa"/>
                  <w:vAlign w:val="center"/>
                </w:tcPr>
                <w:p w14:paraId="0F7DF3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韶环乐审〔2021〕09 号</w:t>
                  </w:r>
                </w:p>
              </w:tc>
            </w:tr>
            <w:tr w14:paraId="24C39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3C079E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70</w:t>
                  </w:r>
                </w:p>
              </w:tc>
              <w:tc>
                <w:tcPr>
                  <w:tcW w:w="1301" w:type="dxa"/>
                  <w:vAlign w:val="center"/>
                </w:tcPr>
                <w:p w14:paraId="5E20C6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韶关市盛源优贝橡塑制品有</w:t>
                  </w:r>
                </w:p>
                <w:p w14:paraId="3DD866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限公司</w:t>
                  </w:r>
                </w:p>
              </w:tc>
              <w:tc>
                <w:tcPr>
                  <w:tcW w:w="372" w:type="dxa"/>
                  <w:vAlign w:val="center"/>
                </w:tcPr>
                <w:p w14:paraId="06146F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F998E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3E94C4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6664</w:t>
                  </w:r>
                </w:p>
              </w:tc>
              <w:tc>
                <w:tcPr>
                  <w:tcW w:w="2499" w:type="dxa"/>
                  <w:vAlign w:val="center"/>
                </w:tcPr>
                <w:p w14:paraId="042178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年产硅胶件 330 万个、注塑件 200 万个、吹瓶件 602 万个</w:t>
                  </w:r>
                </w:p>
              </w:tc>
              <w:tc>
                <w:tcPr>
                  <w:tcW w:w="1897" w:type="dxa"/>
                  <w:vAlign w:val="center"/>
                </w:tcPr>
                <w:p w14:paraId="2D3986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韶关乐审〔2022〕33 号</w:t>
                  </w:r>
                </w:p>
              </w:tc>
            </w:tr>
            <w:tr w14:paraId="34118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264CD31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71</w:t>
                  </w:r>
                </w:p>
              </w:tc>
              <w:tc>
                <w:tcPr>
                  <w:tcW w:w="1301" w:type="dxa"/>
                  <w:vAlign w:val="center"/>
                </w:tcPr>
                <w:p w14:paraId="6731BF2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韶关市南源铜材有限公司</w:t>
                  </w:r>
                </w:p>
              </w:tc>
              <w:tc>
                <w:tcPr>
                  <w:tcW w:w="372" w:type="dxa"/>
                  <w:vAlign w:val="center"/>
                </w:tcPr>
                <w:p w14:paraId="7932DB8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5E47B81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0EA4CF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44981.3</w:t>
                  </w:r>
                </w:p>
              </w:tc>
              <w:tc>
                <w:tcPr>
                  <w:tcW w:w="2499" w:type="dxa"/>
                  <w:vAlign w:val="center"/>
                </w:tcPr>
                <w:p w14:paraId="38267B2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年产含铅黄铜棒 18000 吨、无铅黄铜棒 12000 吨</w:t>
                  </w:r>
                </w:p>
              </w:tc>
              <w:tc>
                <w:tcPr>
                  <w:tcW w:w="1897" w:type="dxa"/>
                  <w:vAlign w:val="center"/>
                </w:tcPr>
                <w:p w14:paraId="3B2270C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韶环乐审〔2021〕21 号</w:t>
                  </w:r>
                </w:p>
              </w:tc>
            </w:tr>
            <w:tr w14:paraId="34BD3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9EBA3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72</w:t>
                  </w:r>
                </w:p>
              </w:tc>
              <w:tc>
                <w:tcPr>
                  <w:tcW w:w="1301" w:type="dxa"/>
                  <w:vAlign w:val="center"/>
                </w:tcPr>
                <w:p w14:paraId="1C970B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碧宏自动化（广东）有限责任</w:t>
                  </w:r>
                </w:p>
                <w:p w14:paraId="473B4E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6BB529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6650A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通用设备制造业、专用设备制造业</w:t>
                  </w:r>
                </w:p>
              </w:tc>
              <w:tc>
                <w:tcPr>
                  <w:tcW w:w="904" w:type="dxa"/>
                  <w:vAlign w:val="center"/>
                </w:tcPr>
                <w:p w14:paraId="764857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31172.2</w:t>
                  </w:r>
                </w:p>
              </w:tc>
              <w:tc>
                <w:tcPr>
                  <w:tcW w:w="2499" w:type="dxa"/>
                  <w:vAlign w:val="center"/>
                </w:tcPr>
                <w:p w14:paraId="0258CA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年产椭圆印花机 500 台、数码印花机 100 台、拉网机 100 台、</w:t>
                  </w:r>
                </w:p>
                <w:p w14:paraId="51C081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激光切割机 300 台</w:t>
                  </w:r>
                </w:p>
              </w:tc>
              <w:tc>
                <w:tcPr>
                  <w:tcW w:w="1897" w:type="dxa"/>
                  <w:vAlign w:val="center"/>
                </w:tcPr>
                <w:p w14:paraId="35E1D7F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韶环乐审〔2023〕10 号</w:t>
                  </w:r>
                </w:p>
              </w:tc>
            </w:tr>
            <w:tr w14:paraId="2CB55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4BFA45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73</w:t>
                  </w:r>
                </w:p>
              </w:tc>
              <w:tc>
                <w:tcPr>
                  <w:tcW w:w="1301" w:type="dxa"/>
                  <w:vAlign w:val="center"/>
                </w:tcPr>
                <w:p w14:paraId="427050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广东冠益灯饰有限公司</w:t>
                  </w:r>
                </w:p>
              </w:tc>
              <w:tc>
                <w:tcPr>
                  <w:tcW w:w="372" w:type="dxa"/>
                  <w:vAlign w:val="center"/>
                </w:tcPr>
                <w:p w14:paraId="6AD1E18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8E217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904" w:type="dxa"/>
                  <w:vAlign w:val="center"/>
                </w:tcPr>
                <w:p w14:paraId="618078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13333.4</w:t>
                  </w:r>
                </w:p>
              </w:tc>
              <w:tc>
                <w:tcPr>
                  <w:tcW w:w="2499" w:type="dxa"/>
                  <w:vAlign w:val="center"/>
                </w:tcPr>
                <w:p w14:paraId="4EB5E15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年产灯串 200 万套</w:t>
                  </w:r>
                </w:p>
              </w:tc>
              <w:tc>
                <w:tcPr>
                  <w:tcW w:w="1897" w:type="dxa"/>
                  <w:vAlign w:val="center"/>
                </w:tcPr>
                <w:p w14:paraId="15931F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韶环乐审〔2024〕06 号</w:t>
                  </w:r>
                </w:p>
              </w:tc>
            </w:tr>
            <w:tr w14:paraId="27E1D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7A7AF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74</w:t>
                  </w:r>
                </w:p>
              </w:tc>
              <w:tc>
                <w:tcPr>
                  <w:tcW w:w="1301" w:type="dxa"/>
                  <w:vAlign w:val="center"/>
                </w:tcPr>
                <w:p w14:paraId="46BC2E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韶关三和磁材电子有限公司</w:t>
                  </w:r>
                </w:p>
              </w:tc>
              <w:tc>
                <w:tcPr>
                  <w:tcW w:w="372" w:type="dxa"/>
                  <w:vAlign w:val="center"/>
                </w:tcPr>
                <w:p w14:paraId="7088613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FEDD42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904" w:type="dxa"/>
                  <w:vAlign w:val="center"/>
                </w:tcPr>
                <w:p w14:paraId="66DA2B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27014.09</w:t>
                  </w:r>
                </w:p>
              </w:tc>
              <w:tc>
                <w:tcPr>
                  <w:tcW w:w="2499" w:type="dxa"/>
                  <w:vAlign w:val="center"/>
                </w:tcPr>
                <w:p w14:paraId="418831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年产干法铁氧体磁铁 10 亿个</w:t>
                  </w:r>
                </w:p>
              </w:tc>
              <w:tc>
                <w:tcPr>
                  <w:tcW w:w="1897" w:type="dxa"/>
                  <w:vAlign w:val="center"/>
                </w:tcPr>
                <w:p w14:paraId="0058992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韶环乐审〔2025〕06 号</w:t>
                  </w:r>
                </w:p>
              </w:tc>
            </w:tr>
            <w:tr w14:paraId="31F765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FC96AD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75</w:t>
                  </w:r>
                </w:p>
              </w:tc>
              <w:tc>
                <w:tcPr>
                  <w:tcW w:w="1301" w:type="dxa"/>
                  <w:vAlign w:val="center"/>
                </w:tcPr>
                <w:p w14:paraId="542422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广东立恒新材料科技有限公</w:t>
                  </w:r>
                </w:p>
                <w:p w14:paraId="0FC9363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57BC1C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66D02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2FB090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9333</w:t>
                  </w:r>
                </w:p>
              </w:tc>
              <w:tc>
                <w:tcPr>
                  <w:tcW w:w="2499" w:type="dxa"/>
                  <w:vAlign w:val="center"/>
                </w:tcPr>
                <w:p w14:paraId="7834C3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年产改性塑料 8000 吨</w:t>
                  </w:r>
                </w:p>
              </w:tc>
              <w:tc>
                <w:tcPr>
                  <w:tcW w:w="1897" w:type="dxa"/>
                  <w:vAlign w:val="center"/>
                </w:tcPr>
                <w:p w14:paraId="2EAE54B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"bookmark252"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]60 号</w:t>
                  </w:r>
                </w:p>
              </w:tc>
            </w:tr>
            <w:tr w14:paraId="5AA98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FE8FC2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76</w:t>
                  </w:r>
                </w:p>
              </w:tc>
              <w:tc>
                <w:tcPr>
                  <w:tcW w:w="1301" w:type="dxa"/>
                  <w:vAlign w:val="center"/>
                </w:tcPr>
                <w:p w14:paraId="222EA4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乐昌市赫尔龙体育用品有限</w:t>
                  </w:r>
                </w:p>
                <w:p w14:paraId="797BF5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20D544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26DB0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纺织业</w:t>
                  </w:r>
                </w:p>
              </w:tc>
              <w:tc>
                <w:tcPr>
                  <w:tcW w:w="904" w:type="dxa"/>
                  <w:vAlign w:val="center"/>
                </w:tcPr>
                <w:p w14:paraId="6245EA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14604.85</w:t>
                  </w:r>
                </w:p>
              </w:tc>
              <w:tc>
                <w:tcPr>
                  <w:tcW w:w="2499" w:type="dxa"/>
                  <w:vAlign w:val="center"/>
                </w:tcPr>
                <w:p w14:paraId="337230E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年产运动服等运动产品 100 万件</w:t>
                  </w:r>
                </w:p>
              </w:tc>
              <w:tc>
                <w:tcPr>
                  <w:tcW w:w="1897" w:type="dxa"/>
                  <w:vAlign w:val="center"/>
                </w:tcPr>
                <w:p w14:paraId="239B40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乐环审〔2019〕21 号</w:t>
                  </w:r>
                </w:p>
              </w:tc>
            </w:tr>
            <w:tr w14:paraId="4F098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7" w:hRule="atLeast"/>
                <w:jc w:val="center"/>
              </w:trPr>
              <w:tc>
                <w:tcPr>
                  <w:tcW w:w="330" w:type="dxa"/>
                  <w:vAlign w:val="center"/>
                </w:tcPr>
                <w:p w14:paraId="662247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77</w:t>
                  </w:r>
                </w:p>
              </w:tc>
              <w:tc>
                <w:tcPr>
                  <w:tcW w:w="1301" w:type="dxa"/>
                  <w:vAlign w:val="center"/>
                </w:tcPr>
                <w:p w14:paraId="14495C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广东省合高复合材料有限公</w:t>
                  </w:r>
                </w:p>
                <w:p w14:paraId="19E2E5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7FB6B2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EFAAB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非金属矿物制品业</w:t>
                  </w:r>
                </w:p>
              </w:tc>
              <w:tc>
                <w:tcPr>
                  <w:tcW w:w="904" w:type="dxa"/>
                  <w:vAlign w:val="center"/>
                </w:tcPr>
                <w:p w14:paraId="7B0D33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27017.8</w:t>
                  </w:r>
                </w:p>
              </w:tc>
              <w:tc>
                <w:tcPr>
                  <w:tcW w:w="2499" w:type="dxa"/>
                  <w:vAlign w:val="center"/>
                </w:tcPr>
                <w:p w14:paraId="55BB8A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年产玻璃纤维板材 1 万吨、玻璃钢拉挤制品 4500 吨、缠绕制</w:t>
                  </w:r>
                </w:p>
                <w:p w14:paraId="6FAA5FE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品、SMC 模压及玻璃纤维热塑板以及制品各 500 吨、玻璃钢</w:t>
                  </w:r>
                </w:p>
                <w:p w14:paraId="3266D6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格栅 5000 吨、碳纤维制品及彩色胶衣各200 吨、 玻璃钢夹</w:t>
                  </w:r>
                </w:p>
                <w:p w14:paraId="1E18FC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芯板 2700 吨、 RTM 制品 100 吨</w:t>
                  </w:r>
                </w:p>
              </w:tc>
              <w:tc>
                <w:tcPr>
                  <w:tcW w:w="1897" w:type="dxa"/>
                  <w:vAlign w:val="center"/>
                </w:tcPr>
                <w:p w14:paraId="157674B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韶环乐审〔2021〕20 号</w:t>
                  </w:r>
                </w:p>
              </w:tc>
            </w:tr>
            <w:tr w14:paraId="5EB4B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69E3C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78</w:t>
                  </w:r>
                </w:p>
              </w:tc>
              <w:tc>
                <w:tcPr>
                  <w:tcW w:w="1301" w:type="dxa"/>
                  <w:vAlign w:val="center"/>
                </w:tcPr>
                <w:p w14:paraId="4E70D5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同向（乐昌）精密机械有限公</w:t>
                  </w:r>
                </w:p>
                <w:p w14:paraId="75E9F85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3745E9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AFB18F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904" w:type="dxa"/>
                  <w:vAlign w:val="center"/>
                </w:tcPr>
                <w:p w14:paraId="6A98E9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52810.91</w:t>
                  </w:r>
                </w:p>
              </w:tc>
              <w:tc>
                <w:tcPr>
                  <w:tcW w:w="2499" w:type="dxa"/>
                  <w:vAlign w:val="center"/>
                </w:tcPr>
                <w:p w14:paraId="146535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年产登机桥、环保水箱、压力机械、建筑自动化设备、加工</w:t>
                  </w:r>
                </w:p>
                <w:p w14:paraId="34A29F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中心设备。压铸机等合计 3350 套（台）</w:t>
                  </w:r>
                </w:p>
              </w:tc>
              <w:tc>
                <w:tcPr>
                  <w:tcW w:w="1897" w:type="dxa"/>
                  <w:vAlign w:val="center"/>
                </w:tcPr>
                <w:p w14:paraId="180293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韶环乐审〔2021〕16 号</w:t>
                  </w:r>
                </w:p>
              </w:tc>
            </w:tr>
            <w:tr w14:paraId="6F35A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516F0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79</w:t>
                  </w:r>
                </w:p>
              </w:tc>
              <w:tc>
                <w:tcPr>
                  <w:tcW w:w="1301" w:type="dxa"/>
                  <w:vAlign w:val="center"/>
                </w:tcPr>
                <w:p w14:paraId="7AEF60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乐昌市信达实业有限公司</w:t>
                  </w:r>
                </w:p>
              </w:tc>
              <w:tc>
                <w:tcPr>
                  <w:tcW w:w="372" w:type="dxa"/>
                  <w:vAlign w:val="center"/>
                </w:tcPr>
                <w:p w14:paraId="368963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35B69A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文教、工美、体育和娱乐用品制造业</w:t>
                  </w:r>
                </w:p>
              </w:tc>
              <w:tc>
                <w:tcPr>
                  <w:tcW w:w="904" w:type="dxa"/>
                  <w:vAlign w:val="center"/>
                </w:tcPr>
                <w:p w14:paraId="37C2612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20000</w:t>
                  </w:r>
                </w:p>
              </w:tc>
              <w:tc>
                <w:tcPr>
                  <w:tcW w:w="2499" w:type="dxa"/>
                  <w:vAlign w:val="center"/>
                </w:tcPr>
                <w:p w14:paraId="24F3AB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年产滑板 100 万台</w:t>
                  </w:r>
                </w:p>
              </w:tc>
              <w:tc>
                <w:tcPr>
                  <w:tcW w:w="1897" w:type="dxa"/>
                  <w:vAlign w:val="center"/>
                </w:tcPr>
                <w:p w14:paraId="42C0DE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乐环审〔2019〕09 号</w:t>
                  </w:r>
                </w:p>
              </w:tc>
            </w:tr>
            <w:tr w14:paraId="59144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8AE53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80</w:t>
                  </w:r>
                </w:p>
              </w:tc>
              <w:tc>
                <w:tcPr>
                  <w:tcW w:w="1301" w:type="dxa"/>
                  <w:vAlign w:val="center"/>
                </w:tcPr>
                <w:p w14:paraId="1B0F70F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广东威柏乐器制造有限公司</w:t>
                  </w:r>
                </w:p>
              </w:tc>
              <w:tc>
                <w:tcPr>
                  <w:tcW w:w="372" w:type="dxa"/>
                  <w:vAlign w:val="center"/>
                </w:tcPr>
                <w:p w14:paraId="0166481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4E663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文教、工美、体育和娱乐用品制造业</w:t>
                  </w:r>
                </w:p>
              </w:tc>
              <w:tc>
                <w:tcPr>
                  <w:tcW w:w="904" w:type="dxa"/>
                  <w:vAlign w:val="center"/>
                </w:tcPr>
                <w:p w14:paraId="292F53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43586.57</w:t>
                  </w:r>
                </w:p>
              </w:tc>
              <w:tc>
                <w:tcPr>
                  <w:tcW w:w="2499" w:type="dxa"/>
                  <w:vAlign w:val="center"/>
                </w:tcPr>
                <w:p w14:paraId="2E529E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年产电吉他 35 万把、木吉他 15 万把</w:t>
                  </w:r>
                </w:p>
              </w:tc>
              <w:tc>
                <w:tcPr>
                  <w:tcW w:w="1897" w:type="dxa"/>
                  <w:vAlign w:val="center"/>
                </w:tcPr>
                <w:p w14:paraId="2BC762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韶环乐审〔2025〕02 号、韶环乐审〔2026〕03 号</w:t>
                  </w:r>
                </w:p>
              </w:tc>
            </w:tr>
            <w:tr w14:paraId="14D8A7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13C786F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81</w:t>
                  </w:r>
                </w:p>
              </w:tc>
              <w:tc>
                <w:tcPr>
                  <w:tcW w:w="1301" w:type="dxa"/>
                  <w:vAlign w:val="center"/>
                </w:tcPr>
                <w:p w14:paraId="78A3C0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广东维创兴电子科技有限公</w:t>
                  </w:r>
                </w:p>
                <w:p w14:paraId="150EF2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236964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8AE35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904" w:type="dxa"/>
                  <w:vAlign w:val="center"/>
                </w:tcPr>
                <w:p w14:paraId="3E3F79C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3925.74</w:t>
                  </w:r>
                </w:p>
              </w:tc>
              <w:tc>
                <w:tcPr>
                  <w:tcW w:w="2499" w:type="dxa"/>
                  <w:vAlign w:val="center"/>
                </w:tcPr>
                <w:p w14:paraId="59BA824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年产触摸屏 100 万片</w:t>
                  </w:r>
                </w:p>
              </w:tc>
              <w:tc>
                <w:tcPr>
                  <w:tcW w:w="1897" w:type="dxa"/>
                  <w:vAlign w:val="center"/>
                </w:tcPr>
                <w:p w14:paraId="4DE5F8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韶环乐审〔2025〕20 号</w:t>
                  </w:r>
                </w:p>
              </w:tc>
            </w:tr>
            <w:tr w14:paraId="71F9A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3D01BC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82</w:t>
                  </w:r>
                </w:p>
              </w:tc>
              <w:tc>
                <w:tcPr>
                  <w:tcW w:w="1301" w:type="dxa"/>
                  <w:vAlign w:val="center"/>
                </w:tcPr>
                <w:p w14:paraId="316EE3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韶关金利达塑料制品有限公</w:t>
                  </w:r>
                </w:p>
                <w:p w14:paraId="6DC701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093277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A338E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31153C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业、废弃资源综合</w:t>
                  </w:r>
                </w:p>
                <w:p w14:paraId="5F7A2B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利用业</w:t>
                  </w:r>
                </w:p>
              </w:tc>
              <w:tc>
                <w:tcPr>
                  <w:tcW w:w="904" w:type="dxa"/>
                  <w:vAlign w:val="center"/>
                </w:tcPr>
                <w:p w14:paraId="75DFD9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18748.8</w:t>
                  </w:r>
                </w:p>
              </w:tc>
              <w:tc>
                <w:tcPr>
                  <w:tcW w:w="2499" w:type="dxa"/>
                  <w:vAlign w:val="center"/>
                </w:tcPr>
                <w:p w14:paraId="1C34CBC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年产再生塑胶颗粒 3000 吨</w:t>
                  </w:r>
                </w:p>
              </w:tc>
              <w:tc>
                <w:tcPr>
                  <w:tcW w:w="1897" w:type="dxa"/>
                  <w:vAlign w:val="center"/>
                </w:tcPr>
                <w:p w14:paraId="463AE9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韶环乐审〔2025〕13 号</w:t>
                  </w:r>
                </w:p>
              </w:tc>
            </w:tr>
            <w:tr w14:paraId="416BC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060843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83</w:t>
                  </w:r>
                </w:p>
              </w:tc>
              <w:tc>
                <w:tcPr>
                  <w:tcW w:w="1301" w:type="dxa"/>
                  <w:vAlign w:val="center"/>
                </w:tcPr>
                <w:p w14:paraId="04E81B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广东铭洋应急消防器材有限</w:t>
                  </w:r>
                </w:p>
                <w:p w14:paraId="6C0114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45A986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B0A8AA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专用设备制造业</w:t>
                  </w:r>
                </w:p>
              </w:tc>
              <w:tc>
                <w:tcPr>
                  <w:tcW w:w="904" w:type="dxa"/>
                  <w:vAlign w:val="center"/>
                </w:tcPr>
                <w:p w14:paraId="38FBD74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9850</w:t>
                  </w:r>
                </w:p>
              </w:tc>
              <w:tc>
                <w:tcPr>
                  <w:tcW w:w="2499" w:type="dxa"/>
                  <w:vAlign w:val="center"/>
                </w:tcPr>
                <w:p w14:paraId="7F6FBE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年产过滤式消防自救呼吸器 750 万具，配套催化剂 720 吨，</w:t>
                  </w:r>
                </w:p>
                <w:p w14:paraId="301753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卡加拉特剂 1080 吨</w:t>
                  </w:r>
                </w:p>
              </w:tc>
              <w:tc>
                <w:tcPr>
                  <w:tcW w:w="1897" w:type="dxa"/>
                  <w:vAlign w:val="center"/>
                </w:tcPr>
                <w:p w14:paraId="2A1C3F9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韶环审〔2025〕24  号</w:t>
                  </w:r>
                </w:p>
              </w:tc>
            </w:tr>
            <w:tr w14:paraId="04EA9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jc w:val="center"/>
              </w:trPr>
              <w:tc>
                <w:tcPr>
                  <w:tcW w:w="330" w:type="dxa"/>
                  <w:vAlign w:val="center"/>
                </w:tcPr>
                <w:p w14:paraId="475F928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84</w:t>
                  </w:r>
                </w:p>
              </w:tc>
              <w:tc>
                <w:tcPr>
                  <w:tcW w:w="1301" w:type="dxa"/>
                  <w:vAlign w:val="center"/>
                </w:tcPr>
                <w:p w14:paraId="714284F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韶关市建兴新材料科技有限</w:t>
                  </w:r>
                </w:p>
                <w:p w14:paraId="550600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公司</w:t>
                  </w:r>
                </w:p>
              </w:tc>
              <w:tc>
                <w:tcPr>
                  <w:tcW w:w="372" w:type="dxa"/>
                  <w:vAlign w:val="center"/>
                </w:tcPr>
                <w:p w14:paraId="56E961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4DC9218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非金属矿采选业</w:t>
                  </w:r>
                </w:p>
              </w:tc>
              <w:tc>
                <w:tcPr>
                  <w:tcW w:w="904" w:type="dxa"/>
                  <w:vAlign w:val="center"/>
                </w:tcPr>
                <w:p w14:paraId="5AF8CD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33562.6</w:t>
                  </w:r>
                </w:p>
              </w:tc>
              <w:tc>
                <w:tcPr>
                  <w:tcW w:w="2499" w:type="dxa"/>
                  <w:vAlign w:val="center"/>
                </w:tcPr>
                <w:p w14:paraId="7ECA66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年产堂石精矿 5 万吨</w:t>
                  </w:r>
                </w:p>
              </w:tc>
              <w:tc>
                <w:tcPr>
                  <w:tcW w:w="1897" w:type="dxa"/>
                  <w:vAlign w:val="center"/>
                </w:tcPr>
                <w:p w14:paraId="4E04577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韶环乐审〔2025〕14  号</w:t>
                  </w:r>
                </w:p>
              </w:tc>
            </w:tr>
            <w:tr w14:paraId="6389F7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84ABD0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85</w:t>
                  </w:r>
                </w:p>
              </w:tc>
              <w:tc>
                <w:tcPr>
                  <w:tcW w:w="1301" w:type="dxa"/>
                  <w:vAlign w:val="center"/>
                </w:tcPr>
                <w:p w14:paraId="13C1D9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韶关市泳金构造机械有限公</w:t>
                  </w:r>
                </w:p>
                <w:p w14:paraId="350FB9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4CA39B2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4AD72FD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310762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20477.32</w:t>
                  </w:r>
                </w:p>
              </w:tc>
              <w:tc>
                <w:tcPr>
                  <w:tcW w:w="2499" w:type="dxa"/>
                  <w:vAlign w:val="center"/>
                </w:tcPr>
                <w:p w14:paraId="7D5890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年产钢结构成品 1.3 万吨</w:t>
                  </w:r>
                </w:p>
              </w:tc>
              <w:tc>
                <w:tcPr>
                  <w:tcW w:w="1897" w:type="dxa"/>
                  <w:vAlign w:val="center"/>
                </w:tcPr>
                <w:p w14:paraId="317D72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韶环乐审〔2025〕05 号</w:t>
                  </w:r>
                </w:p>
              </w:tc>
            </w:tr>
            <w:tr w14:paraId="39331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D1D097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86</w:t>
                  </w:r>
                </w:p>
              </w:tc>
              <w:tc>
                <w:tcPr>
                  <w:tcW w:w="1301" w:type="dxa"/>
                  <w:vAlign w:val="center"/>
                </w:tcPr>
                <w:p w14:paraId="2B3B0C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广东欣汇复合材料有限公司</w:t>
                  </w:r>
                </w:p>
              </w:tc>
              <w:tc>
                <w:tcPr>
                  <w:tcW w:w="372" w:type="dxa"/>
                  <w:vAlign w:val="center"/>
                </w:tcPr>
                <w:p w14:paraId="4C61B6A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324B92F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非金属矿物制品业</w:t>
                  </w:r>
                </w:p>
              </w:tc>
              <w:tc>
                <w:tcPr>
                  <w:tcW w:w="904" w:type="dxa"/>
                  <w:vAlign w:val="center"/>
                </w:tcPr>
                <w:p w14:paraId="01087B6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29024.94</w:t>
                  </w:r>
                </w:p>
              </w:tc>
              <w:tc>
                <w:tcPr>
                  <w:tcW w:w="2499" w:type="dxa"/>
                  <w:vAlign w:val="center"/>
                </w:tcPr>
                <w:p w14:paraId="0F4454B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年产玻璃纤维增强塑料制品 7200 吨、玻纤布 1200 吨、生活</w:t>
                  </w:r>
                </w:p>
                <w:p w14:paraId="0CB32E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用品 3500 吨、塑料配件 15 吨</w:t>
                  </w:r>
                </w:p>
              </w:tc>
              <w:tc>
                <w:tcPr>
                  <w:tcW w:w="1897" w:type="dxa"/>
                  <w:vAlign w:val="center"/>
                </w:tcPr>
                <w:p w14:paraId="034124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韶环乐审〔2024〕26 号</w:t>
                  </w:r>
                </w:p>
              </w:tc>
            </w:tr>
            <w:tr w14:paraId="72524F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3898447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87</w:t>
                  </w:r>
                </w:p>
              </w:tc>
              <w:tc>
                <w:tcPr>
                  <w:tcW w:w="1301" w:type="dxa"/>
                  <w:vAlign w:val="center"/>
                </w:tcPr>
                <w:p w14:paraId="57B53C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乐昌市鑫盛塑业有限公司</w:t>
                  </w:r>
                </w:p>
              </w:tc>
              <w:tc>
                <w:tcPr>
                  <w:tcW w:w="372" w:type="dxa"/>
                  <w:vAlign w:val="center"/>
                </w:tcPr>
                <w:p w14:paraId="08974A4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604ADC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6F7718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1182.71</w:t>
                  </w:r>
                </w:p>
              </w:tc>
              <w:tc>
                <w:tcPr>
                  <w:tcW w:w="2499" w:type="dxa"/>
                  <w:vAlign w:val="center"/>
                </w:tcPr>
                <w:p w14:paraId="6F6A80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年产编织袋 5000 吨</w:t>
                  </w:r>
                </w:p>
              </w:tc>
              <w:tc>
                <w:tcPr>
                  <w:tcW w:w="1897" w:type="dxa"/>
                  <w:vAlign w:val="center"/>
                </w:tcPr>
                <w:p w14:paraId="128350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"bookmark253"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]21 号</w:t>
                  </w:r>
                </w:p>
              </w:tc>
            </w:tr>
            <w:tr w14:paraId="7226A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B7DA49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88</w:t>
                  </w:r>
                </w:p>
              </w:tc>
              <w:tc>
                <w:tcPr>
                  <w:tcW w:w="1301" w:type="dxa"/>
                  <w:vAlign w:val="center"/>
                </w:tcPr>
                <w:p w14:paraId="71F3CA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广东金康新材料有限公司</w:t>
                  </w:r>
                </w:p>
              </w:tc>
              <w:tc>
                <w:tcPr>
                  <w:tcW w:w="372" w:type="dxa"/>
                  <w:vAlign w:val="center"/>
                </w:tcPr>
                <w:p w14:paraId="78CB135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32A9F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化学原料和化学制品制造业</w:t>
                  </w:r>
                </w:p>
              </w:tc>
              <w:tc>
                <w:tcPr>
                  <w:tcW w:w="904" w:type="dxa"/>
                  <w:vAlign w:val="center"/>
                </w:tcPr>
                <w:p w14:paraId="549599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11260.7</w:t>
                  </w:r>
                </w:p>
              </w:tc>
              <w:tc>
                <w:tcPr>
                  <w:tcW w:w="2499" w:type="dxa"/>
                  <w:vAlign w:val="center"/>
                </w:tcPr>
                <w:p w14:paraId="77FA13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PVC 稳定剂 3600 吨、助剂 2400 吨</w:t>
                  </w:r>
                </w:p>
              </w:tc>
              <w:tc>
                <w:tcPr>
                  <w:tcW w:w="1897" w:type="dxa"/>
                  <w:vAlign w:val="center"/>
                </w:tcPr>
                <w:p w14:paraId="2DD5F9D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乐环审〔2020〕10 号</w:t>
                  </w:r>
                </w:p>
              </w:tc>
            </w:tr>
            <w:tr w14:paraId="081045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61A729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89</w:t>
                  </w:r>
                </w:p>
              </w:tc>
              <w:tc>
                <w:tcPr>
                  <w:tcW w:w="1301" w:type="dxa"/>
                  <w:vAlign w:val="center"/>
                </w:tcPr>
                <w:p w14:paraId="5268095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韶关市恒琦耐磨材料有限公</w:t>
                  </w:r>
                </w:p>
                <w:p w14:paraId="4D4F9F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090EBB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73A8D3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6854B1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2200</w:t>
                  </w:r>
                </w:p>
              </w:tc>
              <w:tc>
                <w:tcPr>
                  <w:tcW w:w="2499" w:type="dxa"/>
                  <w:vAlign w:val="center"/>
                </w:tcPr>
                <w:p w14:paraId="4DC130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年产耐磨钢球 1 万吨</w:t>
                  </w:r>
                </w:p>
              </w:tc>
              <w:tc>
                <w:tcPr>
                  <w:tcW w:w="1897" w:type="dxa"/>
                  <w:vAlign w:val="center"/>
                </w:tcPr>
                <w:p w14:paraId="0590FC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韶环乐审〔2023〕26 号</w:t>
                  </w:r>
                </w:p>
              </w:tc>
            </w:tr>
            <w:tr w14:paraId="0A9134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68ED8C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90</w:t>
                  </w:r>
                </w:p>
              </w:tc>
              <w:tc>
                <w:tcPr>
                  <w:tcW w:w="1301" w:type="dxa"/>
                  <w:vAlign w:val="center"/>
                </w:tcPr>
                <w:p w14:paraId="7F38EF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乐昌市永成智能厨房设备制造有限公司</w:t>
                  </w:r>
                </w:p>
              </w:tc>
              <w:tc>
                <w:tcPr>
                  <w:tcW w:w="372" w:type="dxa"/>
                  <w:vAlign w:val="center"/>
                </w:tcPr>
                <w:p w14:paraId="031254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694CBD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通用设备制造业</w:t>
                  </w:r>
                </w:p>
              </w:tc>
              <w:tc>
                <w:tcPr>
                  <w:tcW w:w="904" w:type="dxa"/>
                  <w:vAlign w:val="center"/>
                </w:tcPr>
                <w:p w14:paraId="69EAD7E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33333.33</w:t>
                  </w:r>
                </w:p>
              </w:tc>
              <w:tc>
                <w:tcPr>
                  <w:tcW w:w="2499" w:type="dxa"/>
                  <w:vAlign w:val="center"/>
                </w:tcPr>
                <w:p w14:paraId="2C7D2DD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年产锅炉具类、蒸炉具类、工作台类、层架类、星盆类、柜</w:t>
                  </w:r>
                </w:p>
                <w:p w14:paraId="23BDAEF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式类、消毒柜类、备餐类、餐车类、餐台类、西餐类、环保</w:t>
                  </w:r>
                </w:p>
                <w:p w14:paraId="60E7536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设备类 12570 台</w:t>
                  </w:r>
                </w:p>
              </w:tc>
              <w:tc>
                <w:tcPr>
                  <w:tcW w:w="1897" w:type="dxa"/>
                  <w:vAlign w:val="center"/>
                </w:tcPr>
                <w:p w14:paraId="1335CA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"bookmark254"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]41 号</w:t>
                  </w:r>
                </w:p>
              </w:tc>
            </w:tr>
            <w:tr w14:paraId="790CF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2E9C7E3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91</w:t>
                  </w:r>
                </w:p>
              </w:tc>
              <w:tc>
                <w:tcPr>
                  <w:tcW w:w="1301" w:type="dxa"/>
                  <w:vAlign w:val="center"/>
                </w:tcPr>
                <w:p w14:paraId="226991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广东润昕新材料有限公司</w:t>
                  </w:r>
                </w:p>
              </w:tc>
              <w:tc>
                <w:tcPr>
                  <w:tcW w:w="372" w:type="dxa"/>
                  <w:vAlign w:val="center"/>
                </w:tcPr>
                <w:p w14:paraId="228554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23ED8C9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F66A6E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34905.44</w:t>
                  </w:r>
                </w:p>
              </w:tc>
              <w:tc>
                <w:tcPr>
                  <w:tcW w:w="2499" w:type="dxa"/>
                  <w:vAlign w:val="center"/>
                </w:tcPr>
                <w:p w14:paraId="30B8CAB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年加工铝卷原料 100 万平方米</w:t>
                  </w:r>
                </w:p>
              </w:tc>
              <w:tc>
                <w:tcPr>
                  <w:tcW w:w="1897" w:type="dxa"/>
                  <w:vAlign w:val="center"/>
                </w:tcPr>
                <w:p w14:paraId="10C932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韶环乐审〔2025〕21 号</w:t>
                  </w:r>
                </w:p>
              </w:tc>
            </w:tr>
            <w:tr w14:paraId="46B99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69DD6C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92</w:t>
                  </w:r>
                </w:p>
              </w:tc>
              <w:tc>
                <w:tcPr>
                  <w:tcW w:w="1301" w:type="dxa"/>
                  <w:vAlign w:val="center"/>
                </w:tcPr>
                <w:p w14:paraId="6E5DCF6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筑能（韶关）精工制造有限公</w:t>
                  </w:r>
                </w:p>
                <w:p w14:paraId="43BE10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67D915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62CD3E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8DFDCA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36212.64</w:t>
                  </w:r>
                </w:p>
              </w:tc>
              <w:tc>
                <w:tcPr>
                  <w:tcW w:w="2499" w:type="dxa"/>
                  <w:vAlign w:val="center"/>
                </w:tcPr>
                <w:p w14:paraId="1410AD1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年加工铝卷原料 150 万平方米</w:t>
                  </w:r>
                </w:p>
              </w:tc>
              <w:tc>
                <w:tcPr>
                  <w:tcW w:w="1897" w:type="dxa"/>
                  <w:vAlign w:val="center"/>
                </w:tcPr>
                <w:p w14:paraId="01604DD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韶环乐审〔2025〕19 号</w:t>
                  </w:r>
                </w:p>
              </w:tc>
            </w:tr>
            <w:tr w14:paraId="7E647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03ACC23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93</w:t>
                  </w:r>
                </w:p>
              </w:tc>
              <w:tc>
                <w:tcPr>
                  <w:tcW w:w="1301" w:type="dxa"/>
                  <w:vAlign w:val="center"/>
                </w:tcPr>
                <w:p w14:paraId="5306D8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美伦建材（韶关）有限公司</w:t>
                  </w:r>
                </w:p>
              </w:tc>
              <w:tc>
                <w:tcPr>
                  <w:tcW w:w="372" w:type="dxa"/>
                  <w:vAlign w:val="center"/>
                </w:tcPr>
                <w:p w14:paraId="73C0A8C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3B4F7B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57D97F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54969.22</w:t>
                  </w:r>
                </w:p>
              </w:tc>
              <w:tc>
                <w:tcPr>
                  <w:tcW w:w="2499" w:type="dxa"/>
                  <w:vAlign w:val="center"/>
                </w:tcPr>
                <w:p w14:paraId="5EBC93E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年加工铝卷原料 200 万平方米</w:t>
                  </w:r>
                </w:p>
              </w:tc>
              <w:tc>
                <w:tcPr>
                  <w:tcW w:w="1897" w:type="dxa"/>
                  <w:vAlign w:val="center"/>
                </w:tcPr>
                <w:p w14:paraId="4D2856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韶环乐审〔2025〕08 号</w:t>
                  </w:r>
                </w:p>
              </w:tc>
            </w:tr>
            <w:tr w14:paraId="23A6F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608D8D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94</w:t>
                  </w:r>
                </w:p>
              </w:tc>
              <w:tc>
                <w:tcPr>
                  <w:tcW w:w="1301" w:type="dxa"/>
                  <w:vAlign w:val="center"/>
                </w:tcPr>
                <w:p w14:paraId="2AD5ED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中荣印刷（韶关）有限公司</w:t>
                  </w:r>
                </w:p>
              </w:tc>
              <w:tc>
                <w:tcPr>
                  <w:tcW w:w="372" w:type="dxa"/>
                  <w:vAlign w:val="center"/>
                </w:tcPr>
                <w:p w14:paraId="6D23CA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1EF345D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造纸和纸制品业</w:t>
                  </w:r>
                </w:p>
              </w:tc>
              <w:tc>
                <w:tcPr>
                  <w:tcW w:w="904" w:type="dxa"/>
                  <w:vAlign w:val="center"/>
                </w:tcPr>
                <w:p w14:paraId="3B68AA5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3227.65</w:t>
                  </w:r>
                </w:p>
              </w:tc>
              <w:tc>
                <w:tcPr>
                  <w:tcW w:w="2499" w:type="dxa"/>
                  <w:vAlign w:val="center"/>
                </w:tcPr>
                <w:p w14:paraId="2044CA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年产彩盒 500 万个、礼盒 50 万个、卡类 500 万张</w:t>
                  </w:r>
                </w:p>
              </w:tc>
              <w:tc>
                <w:tcPr>
                  <w:tcW w:w="1897" w:type="dxa"/>
                  <w:vAlign w:val="center"/>
                </w:tcPr>
                <w:p w14:paraId="25BD2AA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韶环乐审〔2024〕24 号</w:t>
                  </w:r>
                </w:p>
              </w:tc>
            </w:tr>
            <w:tr w14:paraId="59491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43367D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95</w:t>
                  </w:r>
                </w:p>
              </w:tc>
              <w:tc>
                <w:tcPr>
                  <w:tcW w:w="1301" w:type="dxa"/>
                  <w:vAlign w:val="center"/>
                </w:tcPr>
                <w:p w14:paraId="08E2008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廓鑫建材（韶关）有限公司</w:t>
                  </w:r>
                </w:p>
              </w:tc>
              <w:tc>
                <w:tcPr>
                  <w:tcW w:w="372" w:type="dxa"/>
                  <w:vAlign w:val="center"/>
                </w:tcPr>
                <w:p w14:paraId="5F94F0E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5AB167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4DEDA4C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33373.03</w:t>
                  </w:r>
                </w:p>
              </w:tc>
              <w:tc>
                <w:tcPr>
                  <w:tcW w:w="2499" w:type="dxa"/>
                  <w:vAlign w:val="center"/>
                </w:tcPr>
                <w:p w14:paraId="11DFE26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年产钣金件 8100 吨</w:t>
                  </w:r>
                </w:p>
              </w:tc>
              <w:tc>
                <w:tcPr>
                  <w:tcW w:w="1897" w:type="dxa"/>
                  <w:vAlign w:val="center"/>
                </w:tcPr>
                <w:p w14:paraId="1762C1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韶环乐审〔2025〕25 号</w:t>
                  </w:r>
                </w:p>
              </w:tc>
            </w:tr>
            <w:tr w14:paraId="5C7D96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3B66B5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96</w:t>
                  </w:r>
                </w:p>
              </w:tc>
              <w:tc>
                <w:tcPr>
                  <w:tcW w:w="1301" w:type="dxa"/>
                  <w:vAlign w:val="center"/>
                </w:tcPr>
                <w:p w14:paraId="7DBA31B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广东三筑金属制品有限公司</w:t>
                  </w:r>
                </w:p>
              </w:tc>
              <w:tc>
                <w:tcPr>
                  <w:tcW w:w="372" w:type="dxa"/>
                  <w:vAlign w:val="center"/>
                </w:tcPr>
                <w:p w14:paraId="665080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631C3AF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239949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54139.29</w:t>
                  </w:r>
                </w:p>
              </w:tc>
              <w:tc>
                <w:tcPr>
                  <w:tcW w:w="2499" w:type="dxa"/>
                  <w:vAlign w:val="center"/>
                </w:tcPr>
                <w:p w14:paraId="7400F6C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年产各类板及其他铝制品 110 万平方米</w:t>
                  </w:r>
                </w:p>
              </w:tc>
              <w:tc>
                <w:tcPr>
                  <w:tcW w:w="1897" w:type="dxa"/>
                  <w:vAlign w:val="center"/>
                </w:tcPr>
                <w:p w14:paraId="4DDD6D8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韶环乐审〔2025〕24 号</w:t>
                  </w:r>
                </w:p>
              </w:tc>
            </w:tr>
            <w:tr w14:paraId="3C685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24E3B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97</w:t>
                  </w:r>
                </w:p>
              </w:tc>
              <w:tc>
                <w:tcPr>
                  <w:tcW w:w="1301" w:type="dxa"/>
                  <w:vAlign w:val="center"/>
                </w:tcPr>
                <w:p w14:paraId="1DC5B47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广东启健净水设备有限公司</w:t>
                  </w:r>
                </w:p>
              </w:tc>
              <w:tc>
                <w:tcPr>
                  <w:tcW w:w="372" w:type="dxa"/>
                  <w:vAlign w:val="center"/>
                </w:tcPr>
                <w:p w14:paraId="136B62A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1015" w:type="dxa"/>
                  <w:vAlign w:val="center"/>
                </w:tcPr>
                <w:p w14:paraId="0A99544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家具制造业</w:t>
                  </w:r>
                </w:p>
              </w:tc>
              <w:tc>
                <w:tcPr>
                  <w:tcW w:w="904" w:type="dxa"/>
                  <w:vAlign w:val="center"/>
                </w:tcPr>
                <w:p w14:paraId="65D60E3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9598</w:t>
                  </w:r>
                </w:p>
              </w:tc>
              <w:tc>
                <w:tcPr>
                  <w:tcW w:w="2499" w:type="dxa"/>
                  <w:vAlign w:val="center"/>
                </w:tcPr>
                <w:p w14:paraId="26D086B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年产直沸水壶机、饮水机、直饮水机、净水器、纯水机等净水设备 120 万台、饮用水机配件、净水机配件 150 万件</w:t>
                  </w:r>
                </w:p>
              </w:tc>
              <w:tc>
                <w:tcPr>
                  <w:tcW w:w="1897" w:type="dxa"/>
                  <w:vAlign w:val="center"/>
                </w:tcPr>
                <w:p w14:paraId="16C977D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乐环审〔2019〕42 号</w:t>
                  </w:r>
                </w:p>
              </w:tc>
            </w:tr>
            <w:tr w14:paraId="42F2E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41964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98</w:t>
                  </w:r>
                </w:p>
              </w:tc>
              <w:tc>
                <w:tcPr>
                  <w:tcW w:w="1301" w:type="dxa"/>
                  <w:vAlign w:val="center"/>
                </w:tcPr>
                <w:p w14:paraId="029D88B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乐昌产业园工业固体废弃物设施补短板项目</w:t>
                  </w:r>
                </w:p>
              </w:tc>
              <w:tc>
                <w:tcPr>
                  <w:tcW w:w="372" w:type="dxa"/>
                  <w:vAlign w:val="center"/>
                </w:tcPr>
                <w:p w14:paraId="2976309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1015" w:type="dxa"/>
                  <w:vAlign w:val="center"/>
                </w:tcPr>
                <w:p w14:paraId="756F29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装卸搬运和仓储业</w:t>
                  </w:r>
                </w:p>
              </w:tc>
              <w:tc>
                <w:tcPr>
                  <w:tcW w:w="904" w:type="dxa"/>
                  <w:vAlign w:val="center"/>
                </w:tcPr>
                <w:p w14:paraId="587FA6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4000</w:t>
                  </w:r>
                </w:p>
              </w:tc>
              <w:tc>
                <w:tcPr>
                  <w:tcW w:w="2499" w:type="dxa"/>
                  <w:vAlign w:val="center"/>
                </w:tcPr>
                <w:p w14:paraId="1E26E6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年收集危险废物 2806 吨，一般固体废物 8.5 万吨。</w:t>
                  </w:r>
                </w:p>
              </w:tc>
              <w:tc>
                <w:tcPr>
                  <w:tcW w:w="1897" w:type="dxa"/>
                  <w:vAlign w:val="center"/>
                </w:tcPr>
                <w:p w14:paraId="67EF9B5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韶环乐审〔2023〕05 号</w:t>
                  </w:r>
                </w:p>
              </w:tc>
            </w:tr>
            <w:tr w14:paraId="71732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jc w:val="center"/>
              </w:trPr>
              <w:tc>
                <w:tcPr>
                  <w:tcW w:w="330" w:type="dxa"/>
                  <w:vAlign w:val="center"/>
                </w:tcPr>
                <w:p w14:paraId="58775BE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99</w:t>
                  </w:r>
                </w:p>
              </w:tc>
              <w:tc>
                <w:tcPr>
                  <w:tcW w:w="1301" w:type="dxa"/>
                  <w:vAlign w:val="center"/>
                </w:tcPr>
                <w:p w14:paraId="04E90A4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乐昌市鑫盛威塑胶新材料科技有限公司</w:t>
                  </w:r>
                </w:p>
              </w:tc>
              <w:tc>
                <w:tcPr>
                  <w:tcW w:w="372" w:type="dxa"/>
                  <w:vAlign w:val="center"/>
                </w:tcPr>
                <w:p w14:paraId="403616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1015" w:type="dxa"/>
                  <w:vAlign w:val="center"/>
                </w:tcPr>
                <w:p w14:paraId="07AB55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w:t>
                  </w:r>
                </w:p>
                <w:p w14:paraId="51D71B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业、非金属矿物制</w:t>
                  </w:r>
                </w:p>
                <w:p w14:paraId="080F5F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品业</w:t>
                  </w:r>
                </w:p>
              </w:tc>
              <w:tc>
                <w:tcPr>
                  <w:tcW w:w="904" w:type="dxa"/>
                  <w:vAlign w:val="center"/>
                </w:tcPr>
                <w:p w14:paraId="3E12663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8000</w:t>
                  </w:r>
                </w:p>
              </w:tc>
              <w:tc>
                <w:tcPr>
                  <w:tcW w:w="2499" w:type="dxa"/>
                  <w:vAlign w:val="center"/>
                </w:tcPr>
                <w:p w14:paraId="79E861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p>
                <w:p w14:paraId="6AA61E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PVC 膜2600 吨、PU 膜 500 吨、人造石墨 2 万吨</w:t>
                  </w:r>
                </w:p>
              </w:tc>
              <w:tc>
                <w:tcPr>
                  <w:tcW w:w="1897" w:type="dxa"/>
                  <w:vAlign w:val="center"/>
                </w:tcPr>
                <w:p w14:paraId="3BF96C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"bookmark255"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2017</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]81 号、韶环乐审</w:t>
                  </w:r>
                </w:p>
                <w:p w14:paraId="61EA123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"bookmark256"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2023</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]32 号</w:t>
                  </w:r>
                </w:p>
              </w:tc>
            </w:tr>
            <w:tr w14:paraId="60B79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1B6402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w:t>
                  </w:r>
                </w:p>
              </w:tc>
              <w:tc>
                <w:tcPr>
                  <w:tcW w:w="1301" w:type="dxa"/>
                  <w:vAlign w:val="center"/>
                </w:tcPr>
                <w:p w14:paraId="17E2CCB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乐昌市众诚塑㬵制品有限公</w:t>
                  </w:r>
                </w:p>
                <w:p w14:paraId="4939648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司</w:t>
                  </w:r>
                </w:p>
              </w:tc>
              <w:tc>
                <w:tcPr>
                  <w:tcW w:w="372" w:type="dxa"/>
                  <w:vAlign w:val="center"/>
                </w:tcPr>
                <w:p w14:paraId="20CB2EA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1015" w:type="dxa"/>
                  <w:vAlign w:val="center"/>
                </w:tcPr>
                <w:p w14:paraId="630B91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4466922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12419.5</w:t>
                  </w:r>
                </w:p>
              </w:tc>
              <w:tc>
                <w:tcPr>
                  <w:tcW w:w="2499" w:type="dxa"/>
                  <w:vAlign w:val="center"/>
                </w:tcPr>
                <w:p w14:paraId="0C125A6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PU 装饰线条 1300 吨、聚氨酯装饰制品 200 吨</w:t>
                  </w:r>
                </w:p>
              </w:tc>
              <w:tc>
                <w:tcPr>
                  <w:tcW w:w="1897" w:type="dxa"/>
                  <w:vAlign w:val="center"/>
                </w:tcPr>
                <w:p w14:paraId="3C767D2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"bookmark257"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15 号</w:t>
                  </w:r>
                </w:p>
              </w:tc>
            </w:tr>
            <w:tr w14:paraId="66F30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8" w:hRule="atLeast"/>
                <w:jc w:val="center"/>
              </w:trPr>
              <w:tc>
                <w:tcPr>
                  <w:tcW w:w="330" w:type="dxa"/>
                  <w:vAlign w:val="center"/>
                </w:tcPr>
                <w:p w14:paraId="1C62B3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101</w:t>
                  </w:r>
                </w:p>
              </w:tc>
              <w:tc>
                <w:tcPr>
                  <w:tcW w:w="1301" w:type="dxa"/>
                  <w:vAlign w:val="center"/>
                </w:tcPr>
                <w:p w14:paraId="0083329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韶关盖邦建材有限公司</w:t>
                  </w:r>
                </w:p>
              </w:tc>
              <w:tc>
                <w:tcPr>
                  <w:tcW w:w="372" w:type="dxa"/>
                  <w:vAlign w:val="center"/>
                </w:tcPr>
                <w:p w14:paraId="234481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已批未建</w:t>
                  </w:r>
                </w:p>
              </w:tc>
              <w:tc>
                <w:tcPr>
                  <w:tcW w:w="1015" w:type="dxa"/>
                  <w:vAlign w:val="center"/>
                </w:tcPr>
                <w:p w14:paraId="489729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540EE3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10000</w:t>
                  </w:r>
                </w:p>
              </w:tc>
              <w:tc>
                <w:tcPr>
                  <w:tcW w:w="2499" w:type="dxa"/>
                  <w:vAlign w:val="center"/>
                </w:tcPr>
                <w:p w14:paraId="04FBE1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6000 个不锈钢井盖、排水沟盖板</w:t>
                  </w:r>
                </w:p>
              </w:tc>
              <w:tc>
                <w:tcPr>
                  <w:tcW w:w="1897" w:type="dxa"/>
                  <w:vAlign w:val="center"/>
                </w:tcPr>
                <w:p w14:paraId="771A65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乐环审〔2019〕33 号</w:t>
                  </w:r>
                </w:p>
              </w:tc>
            </w:tr>
            <w:tr w14:paraId="2AA65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5535E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102</w:t>
                  </w:r>
                </w:p>
              </w:tc>
              <w:tc>
                <w:tcPr>
                  <w:tcW w:w="1301" w:type="dxa"/>
                  <w:vAlign w:val="center"/>
                </w:tcPr>
                <w:p w14:paraId="5502C77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广东力齐铝模科技有限公司</w:t>
                  </w:r>
                </w:p>
              </w:tc>
              <w:tc>
                <w:tcPr>
                  <w:tcW w:w="372" w:type="dxa"/>
                  <w:vAlign w:val="center"/>
                </w:tcPr>
                <w:p w14:paraId="1FB590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1015" w:type="dxa"/>
                  <w:vAlign w:val="center"/>
                </w:tcPr>
                <w:p w14:paraId="4C2E83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4E5916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32404.8</w:t>
                  </w:r>
                </w:p>
              </w:tc>
              <w:tc>
                <w:tcPr>
                  <w:tcW w:w="2499" w:type="dxa"/>
                  <w:vAlign w:val="center"/>
                </w:tcPr>
                <w:p w14:paraId="6B2A4E7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年产铝合金建筑模板 24 万平方米，年处理结构件 6630 吨</w:t>
                  </w:r>
                </w:p>
              </w:tc>
              <w:tc>
                <w:tcPr>
                  <w:tcW w:w="1897" w:type="dxa"/>
                  <w:vAlign w:val="center"/>
                </w:tcPr>
                <w:p w14:paraId="6F36F39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乐环审〔2020〕31 号、韶环乐审</w:t>
                  </w:r>
                </w:p>
                <w:p w14:paraId="32CA8B5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〔2022〕08 号</w:t>
                  </w:r>
                </w:p>
              </w:tc>
            </w:tr>
            <w:tr w14:paraId="38326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2" w:hRule="atLeast"/>
                <w:jc w:val="center"/>
              </w:trPr>
              <w:tc>
                <w:tcPr>
                  <w:tcW w:w="330" w:type="dxa"/>
                  <w:vAlign w:val="center"/>
                </w:tcPr>
                <w:p w14:paraId="2729464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103</w:t>
                  </w:r>
                </w:p>
              </w:tc>
              <w:tc>
                <w:tcPr>
                  <w:tcW w:w="1301" w:type="dxa"/>
                  <w:vAlign w:val="center"/>
                </w:tcPr>
                <w:p w14:paraId="0EDD19A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乐昌市吉焱实业有限公司</w:t>
                  </w:r>
                </w:p>
              </w:tc>
              <w:tc>
                <w:tcPr>
                  <w:tcW w:w="372" w:type="dxa"/>
                  <w:vAlign w:val="center"/>
                </w:tcPr>
                <w:p w14:paraId="3D0BF1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1015" w:type="dxa"/>
                  <w:vAlign w:val="center"/>
                </w:tcPr>
                <w:p w14:paraId="769513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3452B7C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24875.4</w:t>
                  </w:r>
                </w:p>
              </w:tc>
              <w:tc>
                <w:tcPr>
                  <w:tcW w:w="2499" w:type="dxa"/>
                  <w:vAlign w:val="center"/>
                </w:tcPr>
                <w:p w14:paraId="0FB80B8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PU 装饰线条 1500 吨、聚氨酯装饰制品 250 吨</w:t>
                  </w:r>
                </w:p>
              </w:tc>
              <w:tc>
                <w:tcPr>
                  <w:tcW w:w="1897" w:type="dxa"/>
                  <w:vAlign w:val="center"/>
                </w:tcPr>
                <w:p w14:paraId="0684B5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"bookmark258"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14 号</w:t>
                  </w:r>
                </w:p>
              </w:tc>
            </w:tr>
            <w:tr w14:paraId="09A6A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2E13C79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104</w:t>
                  </w:r>
                </w:p>
              </w:tc>
              <w:tc>
                <w:tcPr>
                  <w:tcW w:w="1301" w:type="dxa"/>
                  <w:vAlign w:val="center"/>
                </w:tcPr>
                <w:p w14:paraId="3846E0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广东省嘉上实业有限公司</w:t>
                  </w:r>
                </w:p>
              </w:tc>
              <w:tc>
                <w:tcPr>
                  <w:tcW w:w="372" w:type="dxa"/>
                  <w:vAlign w:val="center"/>
                </w:tcPr>
                <w:p w14:paraId="6BDCFC0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1015" w:type="dxa"/>
                  <w:vAlign w:val="center"/>
                </w:tcPr>
                <w:p w14:paraId="750F087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3B328B5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12926.42</w:t>
                  </w:r>
                </w:p>
              </w:tc>
              <w:tc>
                <w:tcPr>
                  <w:tcW w:w="2499" w:type="dxa"/>
                  <w:vAlign w:val="center"/>
                </w:tcPr>
                <w:p w14:paraId="621B21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年产塑胶桶 500 万个</w:t>
                  </w:r>
                </w:p>
              </w:tc>
              <w:tc>
                <w:tcPr>
                  <w:tcW w:w="1897" w:type="dxa"/>
                  <w:vAlign w:val="center"/>
                </w:tcPr>
                <w:p w14:paraId="79A1F2D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"bookmark259"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]21 号</w:t>
                  </w:r>
                </w:p>
              </w:tc>
            </w:tr>
            <w:tr w14:paraId="6439E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4" w:hRule="atLeast"/>
                <w:jc w:val="center"/>
              </w:trPr>
              <w:tc>
                <w:tcPr>
                  <w:tcW w:w="330" w:type="dxa"/>
                  <w:vAlign w:val="center"/>
                </w:tcPr>
                <w:p w14:paraId="1F80C4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105</w:t>
                  </w:r>
                </w:p>
              </w:tc>
              <w:tc>
                <w:tcPr>
                  <w:tcW w:w="1301" w:type="dxa"/>
                  <w:vAlign w:val="center"/>
                </w:tcPr>
                <w:p w14:paraId="7767E70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溢拓新能源(广东)有限公司</w:t>
                  </w:r>
                </w:p>
              </w:tc>
              <w:tc>
                <w:tcPr>
                  <w:tcW w:w="372" w:type="dxa"/>
                  <w:vAlign w:val="center"/>
                </w:tcPr>
                <w:p w14:paraId="6CC3547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1015" w:type="dxa"/>
                  <w:vAlign w:val="center"/>
                </w:tcPr>
                <w:p w14:paraId="780CA30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电气机械和器材制造业</w:t>
                  </w:r>
                </w:p>
              </w:tc>
              <w:tc>
                <w:tcPr>
                  <w:tcW w:w="904" w:type="dxa"/>
                  <w:vAlign w:val="center"/>
                </w:tcPr>
                <w:p w14:paraId="6904FED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11000</w:t>
                  </w:r>
                </w:p>
              </w:tc>
              <w:tc>
                <w:tcPr>
                  <w:tcW w:w="2499" w:type="dxa"/>
                  <w:vAlign w:val="center"/>
                </w:tcPr>
                <w:p w14:paraId="060F20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300 万件星空灯、20 万件防触电排插、12 万件擦窗机</w:t>
                  </w:r>
                </w:p>
              </w:tc>
              <w:tc>
                <w:tcPr>
                  <w:tcW w:w="1897" w:type="dxa"/>
                  <w:vAlign w:val="center"/>
                </w:tcPr>
                <w:p w14:paraId="5F7E467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韶环乐审〔2025〕11 号</w:t>
                  </w:r>
                </w:p>
              </w:tc>
            </w:tr>
            <w:tr w14:paraId="25517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54D61C4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106</w:t>
                  </w:r>
                </w:p>
              </w:tc>
              <w:tc>
                <w:tcPr>
                  <w:tcW w:w="1301" w:type="dxa"/>
                  <w:vAlign w:val="center"/>
                </w:tcPr>
                <w:p w14:paraId="50AE62C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乐昌皓强科技有限公司</w:t>
                  </w:r>
                </w:p>
              </w:tc>
              <w:tc>
                <w:tcPr>
                  <w:tcW w:w="372" w:type="dxa"/>
                  <w:vAlign w:val="center"/>
                </w:tcPr>
                <w:p w14:paraId="63EC8EF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1015" w:type="dxa"/>
                  <w:vAlign w:val="center"/>
                </w:tcPr>
                <w:p w14:paraId="6D94898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橡胶和塑料制品业</w:t>
                  </w:r>
                </w:p>
              </w:tc>
              <w:tc>
                <w:tcPr>
                  <w:tcW w:w="904" w:type="dxa"/>
                  <w:vAlign w:val="center"/>
                </w:tcPr>
                <w:p w14:paraId="1E5F853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9600</w:t>
                  </w:r>
                </w:p>
              </w:tc>
              <w:tc>
                <w:tcPr>
                  <w:tcW w:w="2499" w:type="dxa"/>
                  <w:vAlign w:val="center"/>
                </w:tcPr>
                <w:p w14:paraId="2933095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 106 万平方米新型先进复合建筑塑料模板</w:t>
                  </w:r>
                </w:p>
              </w:tc>
              <w:tc>
                <w:tcPr>
                  <w:tcW w:w="1897" w:type="dxa"/>
                  <w:vAlign w:val="center"/>
                </w:tcPr>
                <w:p w14:paraId="5A1F44B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韶环乐审〔2022〕02 号</w:t>
                  </w:r>
                </w:p>
              </w:tc>
            </w:tr>
            <w:tr w14:paraId="16F16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A67B2B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107</w:t>
                  </w:r>
                </w:p>
              </w:tc>
              <w:tc>
                <w:tcPr>
                  <w:tcW w:w="1301" w:type="dxa"/>
                  <w:vAlign w:val="center"/>
                </w:tcPr>
                <w:p w14:paraId="2A08010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乐昌市保利发矿山机械配件</w:t>
                  </w:r>
                </w:p>
                <w:p w14:paraId="61E77F9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有限公司</w:t>
                  </w:r>
                </w:p>
              </w:tc>
              <w:tc>
                <w:tcPr>
                  <w:tcW w:w="372" w:type="dxa"/>
                  <w:vAlign w:val="center"/>
                </w:tcPr>
                <w:p w14:paraId="27658B4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停产</w:t>
                  </w:r>
                </w:p>
              </w:tc>
              <w:tc>
                <w:tcPr>
                  <w:tcW w:w="1015" w:type="dxa"/>
                  <w:vAlign w:val="center"/>
                </w:tcPr>
                <w:p w14:paraId="07A6DB2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1A91A2D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4050</w:t>
                  </w:r>
                </w:p>
              </w:tc>
              <w:tc>
                <w:tcPr>
                  <w:tcW w:w="2499" w:type="dxa"/>
                  <w:vAlign w:val="center"/>
                </w:tcPr>
                <w:p w14:paraId="1D972DF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年产破碎机边板 3000 吨、锤头 2000 吨、配件 5000 吨</w:t>
                  </w:r>
                </w:p>
              </w:tc>
              <w:tc>
                <w:tcPr>
                  <w:tcW w:w="1897" w:type="dxa"/>
                  <w:vAlign w:val="center"/>
                </w:tcPr>
                <w:p w14:paraId="4F391C1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乐环审[</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"bookmark260"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2018</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]29 号、韶环乐审</w:t>
                  </w:r>
                </w:p>
                <w:p w14:paraId="3D7BD71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w:t>
                  </w:r>
                  <w:r>
                    <w:rPr>
                      <w:rFonts w:hint="default" w:ascii="Times New Roman" w:hAnsi="Times New Roman" w:eastAsia="宋体" w:cs="Times New Roman"/>
                      <w:i w:val="0"/>
                      <w:iCs w:val="0"/>
                      <w:color w:val="auto"/>
                      <w:kern w:val="0"/>
                      <w:sz w:val="21"/>
                      <w:szCs w:val="21"/>
                      <w:highlight w:val="none"/>
                      <w:u w:val="none"/>
                      <w:lang w:val="en-US" w:eastAsia="zh-CN"/>
                    </w:rPr>
                    <w:fldChar w:fldCharType="begin"/>
                  </w:r>
                  <w:r>
                    <w:rPr>
                      <w:rFonts w:hint="default" w:ascii="Times New Roman" w:hAnsi="Times New Roman" w:eastAsia="宋体" w:cs="Times New Roman"/>
                      <w:i w:val="0"/>
                      <w:iCs w:val="0"/>
                      <w:color w:val="auto"/>
                      <w:kern w:val="0"/>
                      <w:sz w:val="21"/>
                      <w:szCs w:val="21"/>
                      <w:highlight w:val="none"/>
                      <w:u w:val="none"/>
                      <w:lang w:val="en-US" w:eastAsia="zh-CN"/>
                    </w:rPr>
                    <w:instrText xml:space="preserve"> HYPERLINK \l "bookmark261" </w:instrText>
                  </w:r>
                  <w:r>
                    <w:rPr>
                      <w:rFonts w:hint="default" w:ascii="Times New Roman" w:hAnsi="Times New Roman" w:eastAsia="宋体" w:cs="Times New Roman"/>
                      <w:i w:val="0"/>
                      <w:iCs w:val="0"/>
                      <w:color w:val="auto"/>
                      <w:kern w:val="0"/>
                      <w:sz w:val="21"/>
                      <w:szCs w:val="21"/>
                      <w:highlight w:val="none"/>
                      <w:u w:val="none"/>
                      <w:lang w:val="en-US" w:eastAsia="zh-CN"/>
                    </w:rPr>
                    <w:fldChar w:fldCharType="separate"/>
                  </w:r>
                  <w:r>
                    <w:rPr>
                      <w:rFonts w:hint="default" w:ascii="Times New Roman" w:hAnsi="Times New Roman" w:eastAsia="宋体" w:cs="Times New Roman"/>
                      <w:i w:val="0"/>
                      <w:iCs w:val="0"/>
                      <w:color w:val="auto"/>
                      <w:kern w:val="0"/>
                      <w:sz w:val="21"/>
                      <w:szCs w:val="21"/>
                      <w:highlight w:val="none"/>
                      <w:u w:val="none"/>
                      <w:lang w:val="en-US" w:eastAsia="zh-CN"/>
                    </w:rPr>
                    <w:t>2022</w:t>
                  </w:r>
                  <w:r>
                    <w:rPr>
                      <w:rFonts w:hint="default" w:ascii="Times New Roman" w:hAnsi="Times New Roman" w:eastAsia="宋体" w:cs="Times New Roman"/>
                      <w:i w:val="0"/>
                      <w:iCs w:val="0"/>
                      <w:color w:val="auto"/>
                      <w:kern w:val="0"/>
                      <w:sz w:val="21"/>
                      <w:szCs w:val="21"/>
                      <w:highlight w:val="none"/>
                      <w:u w:val="none"/>
                      <w:lang w:val="en-US" w:eastAsia="zh-CN"/>
                    </w:rPr>
                    <w:fldChar w:fldCharType="end"/>
                  </w:r>
                  <w:r>
                    <w:rPr>
                      <w:rFonts w:hint="default" w:ascii="Times New Roman" w:hAnsi="Times New Roman" w:eastAsia="宋体" w:cs="Times New Roman"/>
                      <w:i w:val="0"/>
                      <w:iCs w:val="0"/>
                      <w:color w:val="auto"/>
                      <w:kern w:val="0"/>
                      <w:sz w:val="21"/>
                      <w:szCs w:val="21"/>
                      <w:highlight w:val="none"/>
                      <w:u w:val="none"/>
                      <w:lang w:val="en-US" w:eastAsia="zh-CN"/>
                    </w:rPr>
                    <w:t>] 16 号</w:t>
                  </w:r>
                </w:p>
              </w:tc>
            </w:tr>
            <w:tr w14:paraId="78E72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58B84F6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108</w:t>
                  </w:r>
                </w:p>
              </w:tc>
              <w:tc>
                <w:tcPr>
                  <w:tcW w:w="1301" w:type="dxa"/>
                  <w:vAlign w:val="center"/>
                </w:tcPr>
                <w:p w14:paraId="0B8DCC1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乐昌市第二污水处理厂</w:t>
                  </w:r>
                </w:p>
              </w:tc>
              <w:tc>
                <w:tcPr>
                  <w:tcW w:w="372" w:type="dxa"/>
                  <w:vAlign w:val="center"/>
                </w:tcPr>
                <w:p w14:paraId="479EBA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4B8310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污水处理及其再生利用业</w:t>
                  </w:r>
                </w:p>
              </w:tc>
              <w:tc>
                <w:tcPr>
                  <w:tcW w:w="904" w:type="dxa"/>
                  <w:vAlign w:val="center"/>
                </w:tcPr>
                <w:p w14:paraId="451D3F1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56850</w:t>
                  </w:r>
                </w:p>
              </w:tc>
              <w:tc>
                <w:tcPr>
                  <w:tcW w:w="2499" w:type="dxa"/>
                  <w:vAlign w:val="center"/>
                </w:tcPr>
                <w:p w14:paraId="7759CEA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处理量 30000 立方米/天</w:t>
                  </w:r>
                </w:p>
              </w:tc>
              <w:tc>
                <w:tcPr>
                  <w:tcW w:w="1897" w:type="dxa"/>
                  <w:vAlign w:val="center"/>
                </w:tcPr>
                <w:p w14:paraId="240BEB4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韶环乐审〔2021〕07 号</w:t>
                  </w:r>
                </w:p>
              </w:tc>
            </w:tr>
            <w:tr w14:paraId="7D235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44C988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109</w:t>
                  </w:r>
                </w:p>
              </w:tc>
              <w:tc>
                <w:tcPr>
                  <w:tcW w:w="1301" w:type="dxa"/>
                  <w:vAlign w:val="center"/>
                </w:tcPr>
                <w:p w14:paraId="6A2EB24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乐昌市芬乐制衣有限公司</w:t>
                  </w:r>
                </w:p>
              </w:tc>
              <w:tc>
                <w:tcPr>
                  <w:tcW w:w="372" w:type="dxa"/>
                  <w:vAlign w:val="center"/>
                </w:tcPr>
                <w:p w14:paraId="66A122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43AF4DB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纺织业</w:t>
                  </w:r>
                </w:p>
              </w:tc>
              <w:tc>
                <w:tcPr>
                  <w:tcW w:w="904" w:type="dxa"/>
                  <w:vAlign w:val="center"/>
                </w:tcPr>
                <w:p w14:paraId="047444E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40000</w:t>
                  </w:r>
                </w:p>
              </w:tc>
              <w:tc>
                <w:tcPr>
                  <w:tcW w:w="2499" w:type="dxa"/>
                  <w:vAlign w:val="center"/>
                </w:tcPr>
                <w:p w14:paraId="08FB0C40">
                  <w:pPr>
                    <w:keepNext w:val="0"/>
                    <w:keepLines w:val="0"/>
                    <w:suppressLineNumbers w:val="0"/>
                    <w:autoSpaceDE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服装、内衣裤、卫生用品类（纸内裤）、纺织品、第二类医疗</w:t>
                  </w:r>
                </w:p>
                <w:p w14:paraId="2A054102">
                  <w:pPr>
                    <w:keepNext w:val="0"/>
                    <w:keepLines w:val="0"/>
                    <w:suppressLineNumbers w:val="0"/>
                    <w:autoSpaceDE w:val="0"/>
                    <w:spacing w:before="0" w:beforeAutospacing="0" w:after="0" w:afterAutospacing="0" w:line="240" w:lineRule="auto"/>
                    <w:ind w:left="0" w:right="0"/>
                    <w:jc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color w:val="auto"/>
                      <w:sz w:val="21"/>
                      <w:szCs w:val="21"/>
                      <w:highlight w:val="none"/>
                      <w:lang w:val="en-US" w:eastAsia="zh-CN"/>
                    </w:rPr>
                    <w:t>器械（医用口罩、防护服）、日用罩（非医用）</w:t>
                  </w:r>
                </w:p>
              </w:tc>
              <w:tc>
                <w:tcPr>
                  <w:tcW w:w="1897" w:type="dxa"/>
                  <w:vAlign w:val="center"/>
                </w:tcPr>
                <w:p w14:paraId="2A5A251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202044028100000158</w:t>
                  </w:r>
                </w:p>
              </w:tc>
            </w:tr>
            <w:tr w14:paraId="04AA2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jc w:val="center"/>
              </w:trPr>
              <w:tc>
                <w:tcPr>
                  <w:tcW w:w="330" w:type="dxa"/>
                  <w:vAlign w:val="center"/>
                </w:tcPr>
                <w:p w14:paraId="338891E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110</w:t>
                  </w:r>
                </w:p>
              </w:tc>
              <w:tc>
                <w:tcPr>
                  <w:tcW w:w="1301" w:type="dxa"/>
                  <w:vAlign w:val="center"/>
                </w:tcPr>
                <w:p w14:paraId="0BA2035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乐昌市瑞昊机械厂</w:t>
                  </w:r>
                </w:p>
              </w:tc>
              <w:tc>
                <w:tcPr>
                  <w:tcW w:w="372" w:type="dxa"/>
                  <w:vAlign w:val="center"/>
                </w:tcPr>
                <w:p w14:paraId="3FF109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30A845B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19B825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600</w:t>
                  </w:r>
                </w:p>
              </w:tc>
              <w:tc>
                <w:tcPr>
                  <w:tcW w:w="2499" w:type="dxa"/>
                  <w:vAlign w:val="center"/>
                </w:tcPr>
                <w:p w14:paraId="48B247A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年加工金属机械零部件 360 吨</w:t>
                  </w:r>
                </w:p>
              </w:tc>
              <w:tc>
                <w:tcPr>
                  <w:tcW w:w="1897" w:type="dxa"/>
                  <w:vAlign w:val="center"/>
                </w:tcPr>
                <w:p w14:paraId="5BBF832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201744028100000317</w:t>
                  </w:r>
                </w:p>
              </w:tc>
            </w:tr>
            <w:tr w14:paraId="30349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76CD5E5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111</w:t>
                  </w:r>
                </w:p>
              </w:tc>
              <w:tc>
                <w:tcPr>
                  <w:tcW w:w="1301" w:type="dxa"/>
                  <w:vAlign w:val="center"/>
                </w:tcPr>
                <w:p w14:paraId="6ED9C06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广东创睿极光光电有限公司</w:t>
                  </w:r>
                </w:p>
              </w:tc>
              <w:tc>
                <w:tcPr>
                  <w:tcW w:w="372" w:type="dxa"/>
                  <w:vAlign w:val="center"/>
                </w:tcPr>
                <w:p w14:paraId="3255D9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087113A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计算机、通信和其他电子设备制造业</w:t>
                  </w:r>
                </w:p>
              </w:tc>
              <w:tc>
                <w:tcPr>
                  <w:tcW w:w="904" w:type="dxa"/>
                  <w:vAlign w:val="center"/>
                </w:tcPr>
                <w:p w14:paraId="15E00C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1735</w:t>
                  </w:r>
                </w:p>
              </w:tc>
              <w:tc>
                <w:tcPr>
                  <w:tcW w:w="2499" w:type="dxa"/>
                  <w:vAlign w:val="center"/>
                </w:tcPr>
                <w:p w14:paraId="40D6E2C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年产约 2000 万条 LED 灯条</w:t>
                  </w:r>
                </w:p>
              </w:tc>
              <w:tc>
                <w:tcPr>
                  <w:tcW w:w="1897" w:type="dxa"/>
                  <w:vAlign w:val="center"/>
                </w:tcPr>
                <w:p w14:paraId="7DB8201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201944028100000140</w:t>
                  </w:r>
                </w:p>
              </w:tc>
            </w:tr>
            <w:tr w14:paraId="09B9F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330" w:type="dxa"/>
                  <w:vAlign w:val="center"/>
                </w:tcPr>
                <w:p w14:paraId="7B5D897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112</w:t>
                  </w:r>
                </w:p>
              </w:tc>
              <w:tc>
                <w:tcPr>
                  <w:tcW w:w="1301" w:type="dxa"/>
                  <w:vAlign w:val="center"/>
                </w:tcPr>
                <w:p w14:paraId="00431D6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昇翰科技（广东）有限公司</w:t>
                  </w:r>
                </w:p>
              </w:tc>
              <w:tc>
                <w:tcPr>
                  <w:tcW w:w="372" w:type="dxa"/>
                  <w:vAlign w:val="center"/>
                </w:tcPr>
                <w:p w14:paraId="355DD6B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已建</w:t>
                  </w:r>
                </w:p>
              </w:tc>
              <w:tc>
                <w:tcPr>
                  <w:tcW w:w="1015" w:type="dxa"/>
                  <w:vAlign w:val="center"/>
                </w:tcPr>
                <w:p w14:paraId="2E1B5E7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5C8CDF2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1700</w:t>
                  </w:r>
                </w:p>
              </w:tc>
              <w:tc>
                <w:tcPr>
                  <w:tcW w:w="2499" w:type="dxa"/>
                  <w:vAlign w:val="center"/>
                </w:tcPr>
                <w:p w14:paraId="3E6F240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生产加工滚珠螺母、滚珠丝杆、梯形螺母、梯形丝杆、传动</w:t>
                  </w:r>
                </w:p>
                <w:p w14:paraId="5F5A8B1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元件、直线导轨、直线滑块、自动化机械设备、电子元件、</w:t>
                  </w:r>
                </w:p>
                <w:p w14:paraId="289F1F1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电子材料、五金材料、自动化软硬件、电子产品。</w:t>
                  </w:r>
                </w:p>
              </w:tc>
              <w:tc>
                <w:tcPr>
                  <w:tcW w:w="1897" w:type="dxa"/>
                  <w:vAlign w:val="center"/>
                </w:tcPr>
                <w:p w14:paraId="15853BA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202044028100000048</w:t>
                  </w:r>
                </w:p>
              </w:tc>
            </w:tr>
            <w:tr w14:paraId="2D124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jc w:val="center"/>
              </w:trPr>
              <w:tc>
                <w:tcPr>
                  <w:tcW w:w="330" w:type="dxa"/>
                  <w:vAlign w:val="center"/>
                </w:tcPr>
                <w:p w14:paraId="497E200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113</w:t>
                  </w:r>
                </w:p>
              </w:tc>
              <w:tc>
                <w:tcPr>
                  <w:tcW w:w="1301" w:type="dxa"/>
                  <w:vAlign w:val="center"/>
                </w:tcPr>
                <w:p w14:paraId="6ECBC39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广东运南新材料有限公司</w:t>
                  </w:r>
                </w:p>
              </w:tc>
              <w:tc>
                <w:tcPr>
                  <w:tcW w:w="372" w:type="dxa"/>
                  <w:vAlign w:val="center"/>
                </w:tcPr>
                <w:p w14:paraId="0C59C6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249A9CD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废弃资源综合利用业</w:t>
                  </w:r>
                </w:p>
              </w:tc>
              <w:tc>
                <w:tcPr>
                  <w:tcW w:w="904" w:type="dxa"/>
                  <w:vAlign w:val="center"/>
                </w:tcPr>
                <w:p w14:paraId="24FD7E7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37346.12</w:t>
                  </w:r>
                </w:p>
              </w:tc>
              <w:tc>
                <w:tcPr>
                  <w:tcW w:w="2499" w:type="dxa"/>
                  <w:vAlign w:val="center"/>
                </w:tcPr>
                <w:p w14:paraId="0619AC3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年产破碎料 7.1 万吨</w:t>
                  </w:r>
                </w:p>
              </w:tc>
              <w:tc>
                <w:tcPr>
                  <w:tcW w:w="1897" w:type="dxa"/>
                  <w:vAlign w:val="center"/>
                </w:tcPr>
                <w:p w14:paraId="77BEF25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韶环乐审〔2026〕05 号</w:t>
                  </w:r>
                </w:p>
              </w:tc>
            </w:tr>
            <w:tr w14:paraId="52FD05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330" w:type="dxa"/>
                  <w:vAlign w:val="center"/>
                </w:tcPr>
                <w:p w14:paraId="1D78B48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114</w:t>
                  </w:r>
                </w:p>
              </w:tc>
              <w:tc>
                <w:tcPr>
                  <w:tcW w:w="1301" w:type="dxa"/>
                  <w:vAlign w:val="center"/>
                </w:tcPr>
                <w:p w14:paraId="29842F8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韶关九为新材料有限公司</w:t>
                  </w:r>
                </w:p>
              </w:tc>
              <w:tc>
                <w:tcPr>
                  <w:tcW w:w="372" w:type="dxa"/>
                  <w:vAlign w:val="center"/>
                </w:tcPr>
                <w:p w14:paraId="42CD4B3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在建</w:t>
                  </w:r>
                </w:p>
              </w:tc>
              <w:tc>
                <w:tcPr>
                  <w:tcW w:w="1015" w:type="dxa"/>
                  <w:vAlign w:val="center"/>
                </w:tcPr>
                <w:p w14:paraId="73F8926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金属制品业</w:t>
                  </w:r>
                </w:p>
              </w:tc>
              <w:tc>
                <w:tcPr>
                  <w:tcW w:w="904" w:type="dxa"/>
                  <w:vAlign w:val="center"/>
                </w:tcPr>
                <w:p w14:paraId="0B0BCF0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52810.91</w:t>
                  </w:r>
                </w:p>
              </w:tc>
              <w:tc>
                <w:tcPr>
                  <w:tcW w:w="2499" w:type="dxa"/>
                  <w:vAlign w:val="center"/>
                </w:tcPr>
                <w:p w14:paraId="6BC833C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年产铝模板 50 万平方米</w:t>
                  </w:r>
                </w:p>
              </w:tc>
              <w:tc>
                <w:tcPr>
                  <w:tcW w:w="1897" w:type="dxa"/>
                  <w:vAlign w:val="center"/>
                </w:tcPr>
                <w:p w14:paraId="6FBE569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rPr>
                    <w:t>韶环乐审〔2025〕26 号</w:t>
                  </w:r>
                </w:p>
              </w:tc>
            </w:tr>
            <w:bookmarkEnd w:id="12"/>
          </w:tbl>
          <w:p w14:paraId="10EE78F4">
            <w:pPr>
              <w:pStyle w:val="16"/>
              <w:pageBreakBefore w:val="0"/>
              <w:numPr>
                <w:ilvl w:val="0"/>
                <w:numId w:val="10"/>
              </w:numPr>
              <w:tabs>
                <w:tab w:val="clear" w:pos="3240"/>
                <w:tab w:val="clear" w:pos="6120"/>
              </w:tabs>
              <w:kinsoku/>
              <w:overflowPunct/>
              <w:topLinePunct w:val="0"/>
              <w:bidi w:val="0"/>
              <w:snapToGrid/>
              <w:spacing w:line="240" w:lineRule="auto"/>
              <w:ind w:left="0" w:leftChars="0" w:firstLine="40" w:firstLineChars="0"/>
              <w:jc w:val="center"/>
              <w:outlineLvl w:val="9"/>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园区已通过审批企业三废排放情况汇总表</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44"/>
              <w:gridCol w:w="1517"/>
              <w:gridCol w:w="2624"/>
              <w:gridCol w:w="3174"/>
            </w:tblGrid>
            <w:tr w14:paraId="2504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078" w:type="pct"/>
                  <w:gridSpan w:val="3"/>
                  <w:noWrap w:val="0"/>
                  <w:vAlign w:val="center"/>
                </w:tcPr>
                <w:p w14:paraId="08ACB1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环境影响因素</w:t>
                  </w:r>
                </w:p>
              </w:tc>
              <w:tc>
                <w:tcPr>
                  <w:tcW w:w="1921" w:type="pct"/>
                  <w:noWrap w:val="0"/>
                  <w:vAlign w:val="center"/>
                </w:tcPr>
                <w:p w14:paraId="4949E0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排放量</w:t>
                  </w:r>
                </w:p>
              </w:tc>
            </w:tr>
            <w:tr w14:paraId="5747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72" w:type="pct"/>
                  <w:vMerge w:val="restart"/>
                  <w:noWrap w:val="0"/>
                  <w:vAlign w:val="center"/>
                </w:tcPr>
                <w:p w14:paraId="588666B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918" w:type="pct"/>
                  <w:vMerge w:val="restart"/>
                  <w:noWrap w:val="0"/>
                  <w:vAlign w:val="center"/>
                </w:tcPr>
                <w:p w14:paraId="55BDE7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w:t>
                  </w:r>
                </w:p>
              </w:tc>
              <w:tc>
                <w:tcPr>
                  <w:tcW w:w="1587" w:type="pct"/>
                  <w:noWrap w:val="0"/>
                  <w:vAlign w:val="center"/>
                </w:tcPr>
                <w:p w14:paraId="74C4F4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废水量（m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/d）</w:t>
                  </w:r>
                </w:p>
              </w:tc>
              <w:tc>
                <w:tcPr>
                  <w:tcW w:w="3583" w:type="dxa"/>
                  <w:noWrap w:val="0"/>
                  <w:vAlign w:val="center"/>
                </w:tcPr>
                <w:p w14:paraId="728067F3">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vertAlign w:val="baseline"/>
                      <w:lang w:val="en-US" w:eastAsia="zh-CN"/>
                    </w:rPr>
                    <w:t>2462.21</w:t>
                  </w:r>
                </w:p>
              </w:tc>
            </w:tr>
            <w:tr w14:paraId="0477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49CB3F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49C0B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32827F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COD（t/a）</w:t>
                  </w:r>
                </w:p>
              </w:tc>
              <w:tc>
                <w:tcPr>
                  <w:tcW w:w="3583" w:type="dxa"/>
                  <w:noWrap w:val="0"/>
                  <w:vAlign w:val="center"/>
                </w:tcPr>
                <w:p w14:paraId="4BC66CCB">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vertAlign w:val="baseline"/>
                      <w:lang w:val="en-US" w:eastAsia="zh-CN"/>
                    </w:rPr>
                    <w:t>30.39</w:t>
                  </w:r>
                </w:p>
              </w:tc>
            </w:tr>
            <w:tr w14:paraId="57FD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3B0D42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3EB22C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70E8AFA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氨氮（t/a）</w:t>
                  </w:r>
                </w:p>
              </w:tc>
              <w:tc>
                <w:tcPr>
                  <w:tcW w:w="3583" w:type="dxa"/>
                  <w:noWrap w:val="0"/>
                  <w:vAlign w:val="center"/>
                </w:tcPr>
                <w:p w14:paraId="0C9465B4">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vertAlign w:val="baseline"/>
                      <w:lang w:val="en-US" w:eastAsia="zh-CN"/>
                    </w:rPr>
                    <w:t>3.794</w:t>
                  </w:r>
                </w:p>
              </w:tc>
            </w:tr>
            <w:tr w14:paraId="3FB3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noWrap w:val="0"/>
                  <w:vAlign w:val="center"/>
                </w:tcPr>
                <w:p w14:paraId="3B25F9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918" w:type="pct"/>
                  <w:vMerge w:val="restart"/>
                  <w:noWrap w:val="0"/>
                  <w:vAlign w:val="center"/>
                </w:tcPr>
                <w:p w14:paraId="271613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有组织排放</w:t>
                  </w:r>
                </w:p>
              </w:tc>
              <w:tc>
                <w:tcPr>
                  <w:tcW w:w="1587" w:type="pct"/>
                  <w:noWrap w:val="0"/>
                  <w:vAlign w:val="center"/>
                </w:tcPr>
                <w:p w14:paraId="638089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SO</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（t/a）</w:t>
                  </w:r>
                </w:p>
              </w:tc>
              <w:tc>
                <w:tcPr>
                  <w:tcW w:w="3583" w:type="dxa"/>
                  <w:noWrap w:val="0"/>
                  <w:vAlign w:val="center"/>
                </w:tcPr>
                <w:p w14:paraId="22A109BC">
                  <w:pPr>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pacing w:val="-6"/>
                      <w:sz w:val="21"/>
                      <w:szCs w:val="21"/>
                    </w:rPr>
                    <w:t>1.44</w:t>
                  </w:r>
                </w:p>
              </w:tc>
            </w:tr>
            <w:tr w14:paraId="6FDD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36AB57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0E5E07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1A74D7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氮氧化物（t/a）</w:t>
                  </w:r>
                </w:p>
              </w:tc>
              <w:tc>
                <w:tcPr>
                  <w:tcW w:w="3583" w:type="dxa"/>
                  <w:noWrap w:val="0"/>
                  <w:vAlign w:val="center"/>
                </w:tcPr>
                <w:p w14:paraId="0430E79D">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4"/>
                      <w:sz w:val="21"/>
                      <w:szCs w:val="21"/>
                    </w:rPr>
                    <w:t>14.78</w:t>
                  </w:r>
                </w:p>
              </w:tc>
            </w:tr>
            <w:tr w14:paraId="7E1BC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273BF5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3B2795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1C2CB7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烟（粉）尘（t/a）</w:t>
                  </w:r>
                </w:p>
              </w:tc>
              <w:tc>
                <w:tcPr>
                  <w:tcW w:w="3583" w:type="dxa"/>
                  <w:noWrap w:val="0"/>
                  <w:vAlign w:val="center"/>
                </w:tcPr>
                <w:p w14:paraId="40C00554">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vertAlign w:val="baseline"/>
                      <w:lang w:val="en-US" w:eastAsia="zh-CN"/>
                    </w:rPr>
                    <w:t>104.36</w:t>
                  </w:r>
                </w:p>
              </w:tc>
            </w:tr>
            <w:tr w14:paraId="3AFE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4C76ED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918" w:type="pct"/>
                  <w:vMerge w:val="continue"/>
                  <w:noWrap w:val="0"/>
                  <w:vAlign w:val="center"/>
                </w:tcPr>
                <w:p w14:paraId="25A3BE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1587" w:type="pct"/>
                  <w:noWrap w:val="0"/>
                  <w:vAlign w:val="center"/>
                </w:tcPr>
                <w:p w14:paraId="73DCDD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非甲烷总烃（t/a）</w:t>
                  </w:r>
                </w:p>
              </w:tc>
              <w:tc>
                <w:tcPr>
                  <w:tcW w:w="3583" w:type="dxa"/>
                  <w:noWrap w:val="0"/>
                  <w:vAlign w:val="center"/>
                </w:tcPr>
                <w:p w14:paraId="5ECDE7E2">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pacing w:val="-1"/>
                      <w:sz w:val="21"/>
                      <w:szCs w:val="21"/>
                    </w:rPr>
                    <w:t>43.72</w:t>
                  </w:r>
                </w:p>
              </w:tc>
            </w:tr>
            <w:tr w14:paraId="732B4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restart"/>
                  <w:noWrap w:val="0"/>
                  <w:vAlign w:val="center"/>
                </w:tcPr>
                <w:p w14:paraId="0B6221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w:t>
                  </w:r>
                </w:p>
                <w:p w14:paraId="3355CE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废物</w:t>
                  </w:r>
                </w:p>
              </w:tc>
              <w:tc>
                <w:tcPr>
                  <w:tcW w:w="2506" w:type="pct"/>
                  <w:gridSpan w:val="2"/>
                  <w:noWrap w:val="0"/>
                  <w:vAlign w:val="center"/>
                </w:tcPr>
                <w:p w14:paraId="46C3C1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危险废物（t/a）</w:t>
                  </w:r>
                </w:p>
              </w:tc>
              <w:tc>
                <w:tcPr>
                  <w:tcW w:w="3583" w:type="dxa"/>
                  <w:noWrap w:val="0"/>
                  <w:vAlign w:val="center"/>
                </w:tcPr>
                <w:p w14:paraId="462DCDD2">
                  <w:pPr>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pacing w:val="-1"/>
                      <w:sz w:val="21"/>
                      <w:szCs w:val="21"/>
                    </w:rPr>
                    <w:t>2278.37</w:t>
                  </w:r>
                  <w:r>
                    <w:rPr>
                      <w:rFonts w:hint="eastAsia" w:ascii="Times New Roman" w:hAnsi="Times New Roman" w:eastAsia="宋体" w:cs="Times New Roman"/>
                      <w:color w:val="auto"/>
                      <w:spacing w:val="-1"/>
                      <w:sz w:val="21"/>
                      <w:szCs w:val="21"/>
                      <w:lang w:eastAsia="zh-CN"/>
                    </w:rPr>
                    <w:t>（</w:t>
                  </w:r>
                  <w:r>
                    <w:rPr>
                      <w:rFonts w:hint="eastAsia" w:ascii="Times New Roman" w:hAnsi="Times New Roman" w:eastAsia="宋体" w:cs="Times New Roman"/>
                      <w:color w:val="auto"/>
                      <w:spacing w:val="-1"/>
                      <w:sz w:val="21"/>
                      <w:szCs w:val="21"/>
                      <w:lang w:val="en-US" w:eastAsia="zh-CN"/>
                    </w:rPr>
                    <w:t>委外处置</w:t>
                  </w:r>
                  <w:r>
                    <w:rPr>
                      <w:rFonts w:hint="eastAsia" w:ascii="Times New Roman" w:hAnsi="Times New Roman" w:eastAsia="宋体" w:cs="Times New Roman"/>
                      <w:color w:val="auto"/>
                      <w:spacing w:val="-1"/>
                      <w:sz w:val="21"/>
                      <w:szCs w:val="21"/>
                      <w:lang w:eastAsia="zh-CN"/>
                    </w:rPr>
                    <w:t>）</w:t>
                  </w:r>
                </w:p>
              </w:tc>
            </w:tr>
            <w:tr w14:paraId="598D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02E42F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2506" w:type="pct"/>
                  <w:gridSpan w:val="2"/>
                  <w:noWrap w:val="0"/>
                  <w:vAlign w:val="center"/>
                </w:tcPr>
                <w:p w14:paraId="73B4302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一般固废（t/a）</w:t>
                  </w:r>
                </w:p>
              </w:tc>
              <w:tc>
                <w:tcPr>
                  <w:tcW w:w="3583" w:type="dxa"/>
                  <w:noWrap w:val="0"/>
                  <w:vAlign w:val="center"/>
                </w:tcPr>
                <w:p w14:paraId="1BB2A8DD">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rPr>
                    <w:t>174050.52</w:t>
                  </w:r>
                  <w:r>
                    <w:rPr>
                      <w:rFonts w:hint="default" w:ascii="Times New Roman" w:hAnsi="Times New Roman" w:eastAsia="宋体" w:cs="Times New Roman"/>
                      <w:i w:val="0"/>
                      <w:iCs w:val="0"/>
                      <w:color w:val="auto"/>
                      <w:kern w:val="0"/>
                      <w:sz w:val="21"/>
                      <w:szCs w:val="21"/>
                      <w:highlight w:val="none"/>
                      <w:u w:val="none"/>
                      <w:lang w:val="en-US" w:eastAsia="zh-CN"/>
                    </w:rPr>
                    <w:t>（综合利用，环卫清运）</w:t>
                  </w:r>
                </w:p>
              </w:tc>
            </w:tr>
            <w:tr w14:paraId="2FBE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72" w:type="pct"/>
                  <w:vMerge w:val="continue"/>
                  <w:noWrap w:val="0"/>
                  <w:vAlign w:val="center"/>
                </w:tcPr>
                <w:p w14:paraId="55B080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76" w:lineRule="auto"/>
                    <w:ind w:left="0" w:right="0"/>
                    <w:jc w:val="left"/>
                    <w:rPr>
                      <w:rFonts w:hint="default" w:ascii="Times New Roman" w:hAnsi="Times New Roman" w:eastAsia="宋体" w:cs="Times New Roman"/>
                      <w:color w:val="auto"/>
                      <w:sz w:val="21"/>
                      <w:szCs w:val="21"/>
                      <w:highlight w:val="none"/>
                    </w:rPr>
                  </w:pPr>
                </w:p>
              </w:tc>
              <w:tc>
                <w:tcPr>
                  <w:tcW w:w="2506" w:type="pct"/>
                  <w:gridSpan w:val="2"/>
                  <w:noWrap w:val="0"/>
                  <w:vAlign w:val="center"/>
                </w:tcPr>
                <w:p w14:paraId="01B07C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76" w:lineRule="auto"/>
                    <w:ind w:left="0" w:righ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生活垃圾（t/a）</w:t>
                  </w:r>
                </w:p>
              </w:tc>
              <w:tc>
                <w:tcPr>
                  <w:tcW w:w="3583" w:type="dxa"/>
                  <w:noWrap w:val="0"/>
                  <w:vAlign w:val="center"/>
                </w:tcPr>
                <w:p w14:paraId="502ACA9F">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rPr>
                    <w:t>3129.21</w:t>
                  </w:r>
                  <w:r>
                    <w:rPr>
                      <w:rFonts w:hint="default" w:ascii="Times New Roman" w:hAnsi="Times New Roman" w:eastAsia="宋体" w:cs="Times New Roman"/>
                      <w:i w:val="0"/>
                      <w:iCs w:val="0"/>
                      <w:color w:val="auto"/>
                      <w:kern w:val="0"/>
                      <w:sz w:val="21"/>
                      <w:szCs w:val="21"/>
                      <w:highlight w:val="none"/>
                      <w:u w:val="none"/>
                      <w:lang w:val="en-US" w:eastAsia="zh-CN"/>
                    </w:rPr>
                    <w:t>（环卫清运）</w:t>
                  </w:r>
                </w:p>
              </w:tc>
            </w:tr>
          </w:tbl>
          <w:p w14:paraId="5AF58E5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p>
          <w:p w14:paraId="084F804F">
            <w:pPr>
              <w:keepNext w:val="0"/>
              <w:keepLines w:val="0"/>
              <w:suppressLineNumbers w:val="0"/>
              <w:spacing w:before="0" w:beforeAutospacing="0" w:after="0" w:afterAutospacing="0" w:line="360" w:lineRule="auto"/>
              <w:ind w:left="0" w:right="0"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3、主要环境问题</w:t>
            </w:r>
          </w:p>
          <w:p w14:paraId="29D518ED">
            <w:pPr>
              <w:pageBreakBefore w:val="0"/>
              <w:wordWrap w:val="0"/>
              <w:overflowPunct/>
              <w:bidi w:val="0"/>
              <w:adjustRightInd w:val="0"/>
              <w:snapToGrid w:val="0"/>
              <w:spacing w:line="360" w:lineRule="auto"/>
              <w:ind w:firstLine="480" w:firstLineChars="200"/>
              <w:jc w:val="left"/>
              <w:rPr>
                <w:rFonts w:hint="default" w:ascii="Times New Roman" w:hAnsi="Times New Roman" w:cs="Times New Roman"/>
                <w:color w:val="auto"/>
                <w:szCs w:val="21"/>
                <w:highlight w:val="none"/>
              </w:rPr>
            </w:pPr>
            <w:r>
              <w:rPr>
                <w:rFonts w:hint="default" w:ascii="Times New Roman" w:hAnsi="Times New Roman" w:eastAsia="宋体" w:cs="Times New Roman"/>
                <w:color w:val="auto"/>
                <w:kern w:val="0"/>
                <w:sz w:val="24"/>
                <w:highlight w:val="none"/>
              </w:rPr>
              <w:t>环境质量现状监测数据表明，项目所在区域各类环境要素均能达到相应的环境规划要求，无突出环境问题。</w:t>
            </w:r>
          </w:p>
          <w:p w14:paraId="2DF748E8">
            <w:pPr>
              <w:pageBreakBefore w:val="0"/>
              <w:wordWrap w:val="0"/>
              <w:overflowPunct/>
              <w:bidi w:val="0"/>
              <w:adjustRightInd w:val="0"/>
              <w:snapToGrid w:val="0"/>
              <w:ind w:firstLine="420" w:firstLineChars="200"/>
              <w:jc w:val="center"/>
              <w:rPr>
                <w:rFonts w:hint="default" w:ascii="Times New Roman" w:hAnsi="Times New Roman" w:cs="Times New Roman"/>
                <w:color w:val="auto"/>
                <w:szCs w:val="21"/>
                <w:highlight w:val="none"/>
              </w:rPr>
            </w:pPr>
          </w:p>
          <w:p w14:paraId="350CE0D1">
            <w:pPr>
              <w:spacing w:line="360" w:lineRule="auto"/>
              <w:ind w:firstLine="720" w:firstLineChars="200"/>
              <w:jc w:val="left"/>
              <w:rPr>
                <w:rFonts w:hint="default" w:ascii="黑体" w:hAnsi="黑体" w:eastAsia="黑体"/>
                <w:snapToGrid w:val="0"/>
                <w:color w:val="auto"/>
                <w:sz w:val="36"/>
                <w:szCs w:val="36"/>
                <w:highlight w:val="none"/>
                <w:vertAlign w:val="baseline"/>
                <w:lang w:val="en-US"/>
              </w:rPr>
            </w:pPr>
          </w:p>
        </w:tc>
      </w:tr>
    </w:tbl>
    <w:p w14:paraId="3DE9FC39">
      <w:pPr>
        <w:pStyle w:val="45"/>
        <w:jc w:val="center"/>
        <w:rPr>
          <w:rFonts w:ascii="黑体" w:hAnsi="黑体" w:eastAsia="黑体"/>
          <w:snapToGrid w:val="0"/>
          <w:color w:val="auto"/>
          <w:sz w:val="36"/>
          <w:szCs w:val="36"/>
          <w:highlight w:val="none"/>
        </w:rPr>
        <w:sectPr>
          <w:pgSz w:w="11906" w:h="16838"/>
          <w:pgMar w:top="1644" w:right="1531" w:bottom="158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12ABF57D">
      <w:pPr>
        <w:pStyle w:val="45"/>
        <w:numPr>
          <w:ilvl w:val="0"/>
          <w:numId w:val="13"/>
        </w:numPr>
        <w:spacing w:line="240" w:lineRule="auto"/>
        <w:jc w:val="center"/>
        <w:outlineLvl w:val="0"/>
        <w:rPr>
          <w:rFonts w:hint="eastAsia" w:ascii="黑体" w:hAnsi="黑体" w:eastAsia="黑体"/>
          <w:snapToGrid w:val="0"/>
          <w:color w:val="auto"/>
          <w:sz w:val="30"/>
          <w:szCs w:val="30"/>
          <w:highlight w:val="none"/>
        </w:rPr>
      </w:pPr>
      <w:bookmarkStart w:id="13" w:name="_Toc6763"/>
      <w:bookmarkStart w:id="14" w:name="_Toc13496"/>
      <w:bookmarkStart w:id="15" w:name="_Toc1482"/>
      <w:bookmarkStart w:id="16" w:name="_Toc3175"/>
      <w:r>
        <w:rPr>
          <w:rFonts w:hint="eastAsia" w:ascii="黑体" w:hAnsi="黑体" w:eastAsia="黑体"/>
          <w:snapToGrid w:val="0"/>
          <w:color w:val="auto"/>
          <w:sz w:val="30"/>
          <w:szCs w:val="30"/>
          <w:highlight w:val="none"/>
        </w:rPr>
        <w:t>区域环境质量现状、环境保护目标及评价标准</w:t>
      </w:r>
      <w:bookmarkEnd w:id="13"/>
      <w:bookmarkEnd w:id="14"/>
      <w:bookmarkEnd w:id="15"/>
      <w:bookmarkEnd w:id="16"/>
    </w:p>
    <w:tbl>
      <w:tblPr>
        <w:tblStyle w:val="48"/>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04"/>
        <w:gridCol w:w="8557"/>
      </w:tblGrid>
      <w:tr w14:paraId="2C352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8" w:type="pct"/>
            <w:noWrap w:val="0"/>
            <w:vAlign w:val="center"/>
          </w:tcPr>
          <w:p w14:paraId="325AC857">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区域</w:t>
            </w:r>
          </w:p>
          <w:p w14:paraId="55213ACC">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环境</w:t>
            </w:r>
          </w:p>
          <w:p w14:paraId="072FABC9">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质量</w:t>
            </w:r>
          </w:p>
          <w:p w14:paraId="67096E25">
            <w:pPr>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 w:val="24"/>
                <w:highlight w:val="none"/>
              </w:rPr>
              <w:t>现状</w:t>
            </w:r>
          </w:p>
        </w:tc>
        <w:tc>
          <w:tcPr>
            <w:tcW w:w="4721" w:type="pct"/>
            <w:noWrap w:val="0"/>
            <w:vAlign w:val="center"/>
          </w:tcPr>
          <w:p w14:paraId="4B9A1DE3">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1</w:t>
            </w:r>
            <w:r>
              <w:rPr>
                <w:rFonts w:hint="default" w:ascii="Times New Roman" w:hAnsi="Times New Roman" w:cs="Times New Roman"/>
                <w:b/>
                <w:color w:val="auto"/>
                <w:sz w:val="24"/>
                <w:highlight w:val="none"/>
              </w:rPr>
              <w:t>、环境空气质量现状</w:t>
            </w:r>
          </w:p>
          <w:p w14:paraId="07126FD3">
            <w:pPr>
              <w:pStyle w:val="105"/>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根据《乐昌市人民政府办公室关于印发乐昌市生态环境保护“十四五”规划的通知》（乐府办〔2022〕16号）中</w:t>
            </w:r>
            <w:r>
              <w:rPr>
                <w:rFonts w:hint="eastAsia" w:ascii="Times New Roman" w:hAnsi="Times New Roman" w:cs="Times New Roman"/>
                <w:color w:val="auto"/>
                <w:highlight w:val="none"/>
                <w:lang w:val="en-US" w:eastAsia="zh-CN"/>
              </w:rPr>
              <w:t>的</w:t>
            </w:r>
            <w:r>
              <w:rPr>
                <w:rFonts w:hint="default" w:ascii="Times New Roman" w:hAnsi="Times New Roman" w:cs="Times New Roman"/>
                <w:color w:val="auto"/>
                <w:highlight w:val="none"/>
              </w:rPr>
              <w:t>大气环境功能区划图（详见附图6），项目所在区域为环境空气质量二类功能区，因此项目所在区域环境空气质量执行国家《环境空气质量标准》（GB3095-20</w:t>
            </w:r>
            <w:r>
              <w:rPr>
                <w:rFonts w:hint="eastAsia" w:ascii="Times New Roman" w:cs="Times New Roman"/>
                <w:color w:val="auto"/>
                <w:highlight w:val="none"/>
                <w:lang w:val="en-US" w:eastAsia="zh-CN"/>
              </w:rPr>
              <w:t>26</w:t>
            </w:r>
            <w:r>
              <w:rPr>
                <w:rFonts w:hint="default" w:ascii="Times New Roman" w:hAnsi="Times New Roman" w:cs="Times New Roman"/>
                <w:color w:val="auto"/>
                <w:highlight w:val="none"/>
              </w:rPr>
              <w:t>）</w:t>
            </w:r>
            <w:r>
              <w:rPr>
                <w:rFonts w:hint="eastAsia" w:ascii="Times New Roman" w:cs="Times New Roman"/>
                <w:color w:val="auto"/>
                <w:highlight w:val="none"/>
                <w:lang w:val="en-US" w:eastAsia="zh-CN"/>
              </w:rPr>
              <w:t>过渡阶段浓度限值二级标准</w:t>
            </w:r>
            <w:r>
              <w:rPr>
                <w:rFonts w:hint="default" w:ascii="Times New Roman" w:hAnsi="Times New Roman" w:cs="Times New Roman"/>
                <w:color w:val="auto"/>
                <w:highlight w:val="none"/>
              </w:rPr>
              <w:t>。</w:t>
            </w:r>
          </w:p>
          <w:p w14:paraId="6E69768F">
            <w:pPr>
              <w:pStyle w:val="105"/>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（1）项目所在区域环境质量达标情况</w:t>
            </w:r>
          </w:p>
          <w:p w14:paraId="151F13D0">
            <w:pPr>
              <w:adjustRightInd w:val="0"/>
              <w:snapToGri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为了解本项目所在城市环境空气质量现状，本报告引用</w:t>
            </w:r>
            <w:r>
              <w:rPr>
                <w:rFonts w:hint="eastAsia" w:ascii="Times New Roman" w:hAnsi="Times New Roman" w:cs="Times New Roman"/>
                <w:color w:val="auto"/>
                <w:sz w:val="24"/>
                <w:highlight w:val="none"/>
                <w:lang w:eastAsia="zh-CN"/>
              </w:rPr>
              <w:t>韶关市</w:t>
            </w:r>
            <w:r>
              <w:rPr>
                <w:rFonts w:hint="default" w:ascii="Times New Roman" w:hAnsi="Times New Roman" w:cs="Times New Roman"/>
                <w:color w:val="auto"/>
                <w:sz w:val="24"/>
                <w:highlight w:val="none"/>
              </w:rPr>
              <w:t>生态环境局官网发布的《2024年韶关市生态环境状况公报》中各县（市）城区空气质</w:t>
            </w:r>
            <w:r>
              <w:rPr>
                <w:rFonts w:hint="eastAsia" w:ascii="Times New Roman" w:hAnsi="Times New Roman" w:cs="Times New Roman"/>
                <w:color w:val="auto"/>
                <w:sz w:val="24"/>
                <w:highlight w:val="none"/>
                <w:lang w:eastAsia="zh-CN"/>
              </w:rPr>
              <w:t>量监</w:t>
            </w:r>
            <w:r>
              <w:rPr>
                <w:rFonts w:hint="default" w:ascii="Times New Roman" w:hAnsi="Times New Roman" w:cs="Times New Roman"/>
                <w:color w:val="auto"/>
                <w:sz w:val="24"/>
                <w:highlight w:val="none"/>
              </w:rPr>
              <w:t>测数据进行评价</w:t>
            </w:r>
            <w:r>
              <w:rPr>
                <w:rFonts w:hint="eastAsia" w:ascii="Times New Roman" w:hAnsi="Times New Roman" w:cs="Times New Roman"/>
                <w:color w:val="auto"/>
                <w:sz w:val="24"/>
                <w:highlight w:val="none"/>
                <w:lang w:eastAsia="zh-CN"/>
              </w:rPr>
              <w:t>，</w:t>
            </w:r>
            <w:r>
              <w:rPr>
                <w:rFonts w:hint="eastAsia" w:ascii="Times New Roman" w:hAnsi="Times New Roman" w:cs="Times New Roman"/>
                <w:color w:val="auto"/>
                <w:sz w:val="24"/>
                <w:highlight w:val="none"/>
                <w:lang w:val="en-US" w:eastAsia="zh-CN"/>
              </w:rPr>
              <w:t>其中</w:t>
            </w:r>
            <w:r>
              <w:rPr>
                <w:rFonts w:hint="default" w:ascii="Times New Roman" w:hAnsi="Times New Roman" w:cs="Times New Roman"/>
                <w:color w:val="auto"/>
                <w:sz w:val="24"/>
                <w:highlight w:val="none"/>
                <w:lang w:eastAsia="zh-CN"/>
              </w:rPr>
              <w:t>乐昌市空气质量各项污染物2024年平均浓度</w:t>
            </w:r>
            <w:r>
              <w:rPr>
                <w:rFonts w:hint="default" w:ascii="Times New Roman" w:hAnsi="Times New Roman" w:cs="Times New Roman"/>
                <w:color w:val="auto"/>
                <w:sz w:val="24"/>
                <w:highlight w:val="none"/>
              </w:rPr>
              <w:t>详见下表3-</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w:t>
            </w:r>
          </w:p>
          <w:p w14:paraId="16A702E1">
            <w:pPr>
              <w:numPr>
                <w:ilvl w:val="0"/>
                <w:numId w:val="14"/>
              </w:numPr>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 xml:space="preserve"> 乐昌市区域空气质量现状评价一览表</w:t>
            </w:r>
          </w:p>
          <w:tbl>
            <w:tblPr>
              <w:tblStyle w:val="48"/>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935"/>
              <w:gridCol w:w="1826"/>
              <w:gridCol w:w="1293"/>
              <w:gridCol w:w="1873"/>
              <w:gridCol w:w="1210"/>
              <w:gridCol w:w="1186"/>
            </w:tblGrid>
            <w:tr w14:paraId="71F10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5082D037">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1096" w:type="pct"/>
                  <w:tcBorders>
                    <w:tl2br w:val="nil"/>
                    <w:tr2bl w:val="nil"/>
                  </w:tcBorders>
                  <w:noWrap w:val="0"/>
                  <w:vAlign w:val="center"/>
                </w:tcPr>
                <w:p w14:paraId="1DB0CA7C">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年评价指标</w:t>
                  </w:r>
                </w:p>
              </w:tc>
              <w:tc>
                <w:tcPr>
                  <w:tcW w:w="776" w:type="pct"/>
                  <w:tcBorders>
                    <w:tl2br w:val="nil"/>
                    <w:tr2bl w:val="nil"/>
                  </w:tcBorders>
                  <w:noWrap w:val="0"/>
                  <w:vAlign w:val="center"/>
                </w:tcPr>
                <w:p w14:paraId="6560E7ED">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现状浓度（μg/m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c>
              <w:tc>
                <w:tcPr>
                  <w:tcW w:w="1124" w:type="pct"/>
                  <w:tcBorders>
                    <w:tl2br w:val="nil"/>
                    <w:tr2bl w:val="nil"/>
                  </w:tcBorders>
                  <w:noWrap w:val="0"/>
                  <w:vAlign w:val="center"/>
                </w:tcPr>
                <w:p w14:paraId="4F313C1B">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评价标准（μg/m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c>
              <w:tc>
                <w:tcPr>
                  <w:tcW w:w="726" w:type="pct"/>
                  <w:tcBorders>
                    <w:tl2br w:val="nil"/>
                    <w:tr2bl w:val="nil"/>
                  </w:tcBorders>
                  <w:noWrap w:val="0"/>
                  <w:vAlign w:val="center"/>
                </w:tcPr>
                <w:p w14:paraId="65D5C4DF">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占标率%</w:t>
                  </w:r>
                </w:p>
              </w:tc>
              <w:tc>
                <w:tcPr>
                  <w:tcW w:w="712" w:type="pct"/>
                  <w:tcBorders>
                    <w:tl2br w:val="nil"/>
                    <w:tr2bl w:val="nil"/>
                  </w:tcBorders>
                  <w:noWrap w:val="0"/>
                  <w:vAlign w:val="center"/>
                </w:tcPr>
                <w:p w14:paraId="36274F44">
                  <w:pPr>
                    <w:adjustRightInd w:val="0"/>
                    <w:snapToGrid w:val="0"/>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达标情况</w:t>
                  </w:r>
                </w:p>
              </w:tc>
            </w:tr>
            <w:tr w14:paraId="533BDE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44408AFE">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SO</w:t>
                  </w:r>
                  <w:r>
                    <w:rPr>
                      <w:rFonts w:hint="default" w:ascii="Times New Roman" w:hAnsi="Times New Roman" w:cs="Times New Roman"/>
                      <w:color w:val="auto"/>
                      <w:sz w:val="21"/>
                      <w:szCs w:val="21"/>
                      <w:highlight w:val="none"/>
                      <w:vertAlign w:val="subscript"/>
                    </w:rPr>
                    <w:t>2</w:t>
                  </w:r>
                </w:p>
              </w:tc>
              <w:tc>
                <w:tcPr>
                  <w:tcW w:w="1096" w:type="pct"/>
                  <w:tcBorders>
                    <w:tl2br w:val="nil"/>
                    <w:tr2bl w:val="nil"/>
                  </w:tcBorders>
                  <w:noWrap w:val="0"/>
                  <w:vAlign w:val="center"/>
                </w:tcPr>
                <w:p w14:paraId="0AC64BE8">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年平均质量浓度</w:t>
                  </w:r>
                </w:p>
              </w:tc>
              <w:tc>
                <w:tcPr>
                  <w:tcW w:w="1293" w:type="dxa"/>
                  <w:tcBorders>
                    <w:tl2br w:val="nil"/>
                    <w:tr2bl w:val="nil"/>
                  </w:tcBorders>
                  <w:noWrap w:val="0"/>
                  <w:vAlign w:val="center"/>
                </w:tcPr>
                <w:p w14:paraId="49964ED5">
                  <w:pPr>
                    <w:adjustRightInd w:val="0"/>
                    <w:snapToGrid w:val="0"/>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lang w:val="en-US" w:eastAsia="zh-CN"/>
                    </w:rPr>
                    <w:t>6</w:t>
                  </w:r>
                </w:p>
              </w:tc>
              <w:tc>
                <w:tcPr>
                  <w:tcW w:w="1873" w:type="dxa"/>
                  <w:tcBorders>
                    <w:tl2br w:val="nil"/>
                    <w:tr2bl w:val="nil"/>
                  </w:tcBorders>
                  <w:noWrap w:val="0"/>
                  <w:vAlign w:val="center"/>
                </w:tcPr>
                <w:p w14:paraId="648CE1D8">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rPr>
                    <w:t>60</w:t>
                  </w:r>
                </w:p>
              </w:tc>
              <w:tc>
                <w:tcPr>
                  <w:tcW w:w="1218" w:type="dxa"/>
                  <w:tcBorders>
                    <w:tl2br w:val="nil"/>
                    <w:tr2bl w:val="nil"/>
                  </w:tcBorders>
                  <w:noWrap w:val="0"/>
                  <w:vAlign w:val="center"/>
                </w:tcPr>
                <w:p w14:paraId="175EB614">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10.00</w:t>
                  </w:r>
                </w:p>
              </w:tc>
              <w:tc>
                <w:tcPr>
                  <w:tcW w:w="712" w:type="pct"/>
                  <w:tcBorders>
                    <w:tl2br w:val="nil"/>
                    <w:tr2bl w:val="nil"/>
                  </w:tcBorders>
                  <w:noWrap w:val="0"/>
                  <w:vAlign w:val="center"/>
                </w:tcPr>
                <w:p w14:paraId="41A85DA2">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达标</w:t>
                  </w:r>
                </w:p>
              </w:tc>
            </w:tr>
            <w:tr w14:paraId="3ABD2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5B112D46">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NO</w:t>
                  </w:r>
                  <w:r>
                    <w:rPr>
                      <w:rFonts w:hint="default" w:ascii="Times New Roman" w:hAnsi="Times New Roman" w:cs="Times New Roman"/>
                      <w:color w:val="auto"/>
                      <w:sz w:val="21"/>
                      <w:szCs w:val="21"/>
                      <w:highlight w:val="none"/>
                      <w:vertAlign w:val="subscript"/>
                    </w:rPr>
                    <w:t>2</w:t>
                  </w:r>
                </w:p>
              </w:tc>
              <w:tc>
                <w:tcPr>
                  <w:tcW w:w="1096" w:type="pct"/>
                  <w:tcBorders>
                    <w:tl2br w:val="nil"/>
                    <w:tr2bl w:val="nil"/>
                  </w:tcBorders>
                  <w:noWrap w:val="0"/>
                  <w:vAlign w:val="center"/>
                </w:tcPr>
                <w:p w14:paraId="31BF9A4A">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年平均质量浓度</w:t>
                  </w:r>
                </w:p>
              </w:tc>
              <w:tc>
                <w:tcPr>
                  <w:tcW w:w="1293" w:type="dxa"/>
                  <w:tcBorders>
                    <w:tl2br w:val="nil"/>
                    <w:tr2bl w:val="nil"/>
                  </w:tcBorders>
                  <w:noWrap w:val="0"/>
                  <w:vAlign w:val="center"/>
                </w:tcPr>
                <w:p w14:paraId="73B8E42A">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lang w:val="en-US" w:eastAsia="zh-CN"/>
                    </w:rPr>
                    <w:t>12</w:t>
                  </w:r>
                </w:p>
              </w:tc>
              <w:tc>
                <w:tcPr>
                  <w:tcW w:w="1873" w:type="dxa"/>
                  <w:tcBorders>
                    <w:tl2br w:val="nil"/>
                    <w:tr2bl w:val="nil"/>
                  </w:tcBorders>
                  <w:noWrap w:val="0"/>
                  <w:vAlign w:val="center"/>
                </w:tcPr>
                <w:p w14:paraId="36B61B60">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rPr>
                    <w:t>40</w:t>
                  </w:r>
                </w:p>
              </w:tc>
              <w:tc>
                <w:tcPr>
                  <w:tcW w:w="1218" w:type="dxa"/>
                  <w:tcBorders>
                    <w:tl2br w:val="nil"/>
                    <w:tr2bl w:val="nil"/>
                  </w:tcBorders>
                  <w:noWrap w:val="0"/>
                  <w:vAlign w:val="center"/>
                </w:tcPr>
                <w:p w14:paraId="216F37D5">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30.00</w:t>
                  </w:r>
                </w:p>
              </w:tc>
              <w:tc>
                <w:tcPr>
                  <w:tcW w:w="712" w:type="pct"/>
                  <w:tcBorders>
                    <w:tl2br w:val="nil"/>
                    <w:tr2bl w:val="nil"/>
                  </w:tcBorders>
                  <w:noWrap w:val="0"/>
                  <w:vAlign w:val="center"/>
                </w:tcPr>
                <w:p w14:paraId="45A3B8ED">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达标</w:t>
                  </w:r>
                </w:p>
              </w:tc>
            </w:tr>
            <w:tr w14:paraId="3E9BE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5B8AF9EB">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2.5</w:t>
                  </w:r>
                </w:p>
              </w:tc>
              <w:tc>
                <w:tcPr>
                  <w:tcW w:w="1096" w:type="pct"/>
                  <w:tcBorders>
                    <w:tl2br w:val="nil"/>
                    <w:tr2bl w:val="nil"/>
                  </w:tcBorders>
                  <w:noWrap w:val="0"/>
                  <w:vAlign w:val="center"/>
                </w:tcPr>
                <w:p w14:paraId="5A355C2C">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年平均质量浓度</w:t>
                  </w:r>
                </w:p>
              </w:tc>
              <w:tc>
                <w:tcPr>
                  <w:tcW w:w="1293" w:type="dxa"/>
                  <w:tcBorders>
                    <w:tl2br w:val="nil"/>
                    <w:tr2bl w:val="nil"/>
                  </w:tcBorders>
                  <w:noWrap w:val="0"/>
                  <w:vAlign w:val="center"/>
                </w:tcPr>
                <w:p w14:paraId="0AD0ACFB">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rPr>
                    <w:t>2</w:t>
                  </w:r>
                  <w:r>
                    <w:rPr>
                      <w:rFonts w:hint="eastAsia" w:ascii="Times New Roman" w:hAnsi="Times New Roman" w:cs="Times New Roman"/>
                      <w:color w:val="auto"/>
                      <w:sz w:val="21"/>
                      <w:szCs w:val="21"/>
                      <w:lang w:val="en-US" w:eastAsia="zh-CN"/>
                    </w:rPr>
                    <w:t>1</w:t>
                  </w:r>
                </w:p>
              </w:tc>
              <w:tc>
                <w:tcPr>
                  <w:tcW w:w="1873" w:type="dxa"/>
                  <w:tcBorders>
                    <w:tl2br w:val="nil"/>
                    <w:tr2bl w:val="nil"/>
                  </w:tcBorders>
                  <w:noWrap w:val="0"/>
                  <w:vAlign w:val="center"/>
                </w:tcPr>
                <w:p w14:paraId="40594A01">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lang w:val="en-US" w:eastAsia="zh-CN"/>
                    </w:rPr>
                    <w:t>30</w:t>
                  </w:r>
                </w:p>
              </w:tc>
              <w:tc>
                <w:tcPr>
                  <w:tcW w:w="1218" w:type="dxa"/>
                  <w:tcBorders>
                    <w:tl2br w:val="nil"/>
                    <w:tr2bl w:val="nil"/>
                  </w:tcBorders>
                  <w:noWrap w:val="0"/>
                  <w:vAlign w:val="center"/>
                </w:tcPr>
                <w:p w14:paraId="01FB107A">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7</w:t>
                  </w:r>
                  <w:r>
                    <w:rPr>
                      <w:rFonts w:hint="eastAsia" w:ascii="Times New Roman" w:hAnsi="Times New Roman" w:eastAsia="宋体" w:cs="Times New Roman"/>
                      <w:color w:val="auto"/>
                      <w:sz w:val="21"/>
                      <w:szCs w:val="21"/>
                      <w:lang w:val="en-US" w:eastAsia="zh-CN"/>
                    </w:rPr>
                    <w:t>0.00</w:t>
                  </w:r>
                </w:p>
              </w:tc>
              <w:tc>
                <w:tcPr>
                  <w:tcW w:w="712" w:type="pct"/>
                  <w:tcBorders>
                    <w:tl2br w:val="nil"/>
                    <w:tr2bl w:val="nil"/>
                  </w:tcBorders>
                  <w:noWrap w:val="0"/>
                  <w:vAlign w:val="center"/>
                </w:tcPr>
                <w:p w14:paraId="5FB15ABE">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达标</w:t>
                  </w:r>
                </w:p>
              </w:tc>
            </w:tr>
            <w:tr w14:paraId="6014E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627EC93C">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PM</w:t>
                  </w:r>
                  <w:r>
                    <w:rPr>
                      <w:rFonts w:hint="default" w:ascii="Times New Roman" w:hAnsi="Times New Roman" w:cs="Times New Roman"/>
                      <w:color w:val="auto"/>
                      <w:sz w:val="21"/>
                      <w:szCs w:val="21"/>
                      <w:highlight w:val="none"/>
                      <w:vertAlign w:val="subscript"/>
                    </w:rPr>
                    <w:t>10</w:t>
                  </w:r>
                </w:p>
              </w:tc>
              <w:tc>
                <w:tcPr>
                  <w:tcW w:w="1096" w:type="pct"/>
                  <w:tcBorders>
                    <w:tl2br w:val="nil"/>
                    <w:tr2bl w:val="nil"/>
                  </w:tcBorders>
                  <w:noWrap w:val="0"/>
                  <w:vAlign w:val="center"/>
                </w:tcPr>
                <w:p w14:paraId="70CBF6D2">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年平均质量浓度</w:t>
                  </w:r>
                </w:p>
              </w:tc>
              <w:tc>
                <w:tcPr>
                  <w:tcW w:w="1293" w:type="dxa"/>
                  <w:tcBorders>
                    <w:tl2br w:val="nil"/>
                    <w:tr2bl w:val="nil"/>
                  </w:tcBorders>
                  <w:noWrap w:val="0"/>
                  <w:vAlign w:val="center"/>
                </w:tcPr>
                <w:p w14:paraId="1E76A9C2">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lang w:val="en-US" w:eastAsia="zh-CN"/>
                    </w:rPr>
                    <w:t>3</w:t>
                  </w:r>
                  <w:r>
                    <w:rPr>
                      <w:rFonts w:hint="eastAsia" w:ascii="Times New Roman" w:hAnsi="Times New Roman" w:cs="Times New Roman"/>
                      <w:color w:val="auto"/>
                      <w:sz w:val="21"/>
                      <w:szCs w:val="21"/>
                      <w:lang w:val="en-US" w:eastAsia="zh-CN"/>
                    </w:rPr>
                    <w:t>1</w:t>
                  </w:r>
                </w:p>
              </w:tc>
              <w:tc>
                <w:tcPr>
                  <w:tcW w:w="1873" w:type="dxa"/>
                  <w:tcBorders>
                    <w:tl2br w:val="nil"/>
                    <w:tr2bl w:val="nil"/>
                  </w:tcBorders>
                  <w:noWrap w:val="0"/>
                  <w:vAlign w:val="center"/>
                </w:tcPr>
                <w:p w14:paraId="70F0547D">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lang w:val="en-US" w:eastAsia="zh-CN"/>
                    </w:rPr>
                    <w:t>60</w:t>
                  </w:r>
                </w:p>
              </w:tc>
              <w:tc>
                <w:tcPr>
                  <w:tcW w:w="1218" w:type="dxa"/>
                  <w:tcBorders>
                    <w:tl2br w:val="nil"/>
                    <w:tr2bl w:val="nil"/>
                  </w:tcBorders>
                  <w:noWrap w:val="0"/>
                  <w:vAlign w:val="center"/>
                </w:tcPr>
                <w:p w14:paraId="636C39AD">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51.7</w:t>
                  </w:r>
                </w:p>
              </w:tc>
              <w:tc>
                <w:tcPr>
                  <w:tcW w:w="712" w:type="pct"/>
                  <w:tcBorders>
                    <w:tl2br w:val="nil"/>
                    <w:tr2bl w:val="nil"/>
                  </w:tcBorders>
                  <w:noWrap w:val="0"/>
                  <w:vAlign w:val="center"/>
                </w:tcPr>
                <w:p w14:paraId="14B2B4D0">
                  <w:pPr>
                    <w:adjustRightInd w:val="0"/>
                    <w:snapToGrid w:val="0"/>
                    <w:spacing w:line="240" w:lineRule="auto"/>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达标</w:t>
                  </w:r>
                </w:p>
              </w:tc>
            </w:tr>
            <w:tr w14:paraId="69D2A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742D56B0">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CO</w:t>
                  </w:r>
                </w:p>
              </w:tc>
              <w:tc>
                <w:tcPr>
                  <w:tcW w:w="1096" w:type="pct"/>
                  <w:tcBorders>
                    <w:tl2br w:val="nil"/>
                    <w:tr2bl w:val="nil"/>
                  </w:tcBorders>
                  <w:noWrap w:val="0"/>
                  <w:vAlign w:val="center"/>
                </w:tcPr>
                <w:p w14:paraId="24E34FDD">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24小时平均值第95百分位数</w:t>
                  </w:r>
                </w:p>
              </w:tc>
              <w:tc>
                <w:tcPr>
                  <w:tcW w:w="1293" w:type="dxa"/>
                  <w:tcBorders>
                    <w:tl2br w:val="nil"/>
                    <w:tr2bl w:val="nil"/>
                  </w:tcBorders>
                  <w:noWrap w:val="0"/>
                  <w:vAlign w:val="center"/>
                </w:tcPr>
                <w:p w14:paraId="76DC0345">
                  <w:pPr>
                    <w:adjustRightInd w:val="0"/>
                    <w:snapToGrid w:val="0"/>
                    <w:spacing w:line="240" w:lineRule="auto"/>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lang w:val="en-US" w:eastAsia="zh-CN"/>
                    </w:rPr>
                    <w:t>10</w:t>
                  </w:r>
                  <w:r>
                    <w:rPr>
                      <w:rFonts w:hint="default" w:ascii="Times New Roman" w:hAnsi="Times New Roman" w:cs="Times New Roman"/>
                      <w:color w:val="auto"/>
                      <w:sz w:val="21"/>
                      <w:szCs w:val="21"/>
                    </w:rPr>
                    <w:t>00</w:t>
                  </w:r>
                </w:p>
              </w:tc>
              <w:tc>
                <w:tcPr>
                  <w:tcW w:w="1873" w:type="dxa"/>
                  <w:tcBorders>
                    <w:tl2br w:val="nil"/>
                    <w:tr2bl w:val="nil"/>
                  </w:tcBorders>
                  <w:noWrap w:val="0"/>
                  <w:vAlign w:val="center"/>
                </w:tcPr>
                <w:p w14:paraId="30CEB7BA">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4000</w:t>
                  </w:r>
                </w:p>
              </w:tc>
              <w:tc>
                <w:tcPr>
                  <w:tcW w:w="1218" w:type="dxa"/>
                  <w:tcBorders>
                    <w:tl2br w:val="nil"/>
                    <w:tr2bl w:val="nil"/>
                  </w:tcBorders>
                  <w:noWrap w:val="0"/>
                  <w:vAlign w:val="center"/>
                </w:tcPr>
                <w:p w14:paraId="642105C8">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lang w:val="en-US" w:eastAsia="zh-CN"/>
                    </w:rPr>
                    <w:t>25.00</w:t>
                  </w:r>
                </w:p>
              </w:tc>
              <w:tc>
                <w:tcPr>
                  <w:tcW w:w="712" w:type="pct"/>
                  <w:tcBorders>
                    <w:tl2br w:val="nil"/>
                    <w:tr2bl w:val="nil"/>
                  </w:tcBorders>
                  <w:noWrap w:val="0"/>
                  <w:vAlign w:val="center"/>
                </w:tcPr>
                <w:p w14:paraId="50112A2D">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r w14:paraId="154D8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561" w:type="pct"/>
                  <w:tcBorders>
                    <w:tl2br w:val="nil"/>
                    <w:tr2bl w:val="nil"/>
                  </w:tcBorders>
                  <w:noWrap w:val="0"/>
                  <w:vAlign w:val="center"/>
                </w:tcPr>
                <w:p w14:paraId="3D36A049">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O</w:t>
                  </w:r>
                  <w:r>
                    <w:rPr>
                      <w:rFonts w:hint="default" w:ascii="Times New Roman" w:hAnsi="Times New Roman" w:cs="Times New Roman"/>
                      <w:color w:val="auto"/>
                      <w:sz w:val="21"/>
                      <w:szCs w:val="21"/>
                      <w:highlight w:val="none"/>
                      <w:vertAlign w:val="subscript"/>
                    </w:rPr>
                    <w:t>3</w:t>
                  </w:r>
                </w:p>
              </w:tc>
              <w:tc>
                <w:tcPr>
                  <w:tcW w:w="1096" w:type="pct"/>
                  <w:tcBorders>
                    <w:tl2br w:val="nil"/>
                    <w:tr2bl w:val="nil"/>
                  </w:tcBorders>
                  <w:noWrap w:val="0"/>
                  <w:vAlign w:val="center"/>
                </w:tcPr>
                <w:p w14:paraId="6293E83C">
                  <w:pPr>
                    <w:adjustRightInd w:val="0"/>
                    <w:snapToGrid w:val="0"/>
                    <w:spacing w:line="240" w:lineRule="auto"/>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日</w:t>
                  </w:r>
                  <w:r>
                    <w:rPr>
                      <w:rFonts w:hint="default" w:ascii="Times New Roman" w:hAnsi="Times New Roman" w:cs="Times New Roman"/>
                      <w:color w:val="auto"/>
                      <w:sz w:val="21"/>
                      <w:szCs w:val="21"/>
                      <w:highlight w:val="none"/>
                    </w:rPr>
                    <w:t>最大8小时平均值第90百分位数</w:t>
                  </w:r>
                </w:p>
              </w:tc>
              <w:tc>
                <w:tcPr>
                  <w:tcW w:w="1293" w:type="dxa"/>
                  <w:tcBorders>
                    <w:tl2br w:val="nil"/>
                    <w:tr2bl w:val="nil"/>
                  </w:tcBorders>
                  <w:noWrap w:val="0"/>
                  <w:vAlign w:val="center"/>
                </w:tcPr>
                <w:p w14:paraId="095C0184">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rPr>
                    <w:t>1</w:t>
                  </w:r>
                  <w:r>
                    <w:rPr>
                      <w:rFonts w:hint="eastAsia" w:ascii="Times New Roman" w:hAnsi="Times New Roman" w:cs="Times New Roman"/>
                      <w:color w:val="auto"/>
                      <w:sz w:val="21"/>
                      <w:szCs w:val="21"/>
                      <w:lang w:val="en-US" w:eastAsia="zh-CN"/>
                    </w:rPr>
                    <w:t>08</w:t>
                  </w:r>
                </w:p>
              </w:tc>
              <w:tc>
                <w:tcPr>
                  <w:tcW w:w="1873" w:type="dxa"/>
                  <w:tcBorders>
                    <w:tl2br w:val="nil"/>
                    <w:tr2bl w:val="nil"/>
                  </w:tcBorders>
                  <w:noWrap w:val="0"/>
                  <w:vAlign w:val="center"/>
                </w:tcPr>
                <w:p w14:paraId="623B73CF">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rPr>
                    <w:t>160</w:t>
                  </w:r>
                </w:p>
              </w:tc>
              <w:tc>
                <w:tcPr>
                  <w:tcW w:w="1218" w:type="dxa"/>
                  <w:tcBorders>
                    <w:tl2br w:val="nil"/>
                    <w:tr2bl w:val="nil"/>
                  </w:tcBorders>
                  <w:noWrap w:val="0"/>
                  <w:vAlign w:val="center"/>
                </w:tcPr>
                <w:p w14:paraId="187F7B9A">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lang w:val="en-US" w:eastAsia="zh-CN"/>
                    </w:rPr>
                    <w:t>67.50</w:t>
                  </w:r>
                </w:p>
              </w:tc>
              <w:tc>
                <w:tcPr>
                  <w:tcW w:w="712" w:type="pct"/>
                  <w:tcBorders>
                    <w:tl2br w:val="nil"/>
                    <w:tr2bl w:val="nil"/>
                  </w:tcBorders>
                  <w:noWrap w:val="0"/>
                  <w:vAlign w:val="center"/>
                </w:tcPr>
                <w:p w14:paraId="3F9AEEE3">
                  <w:pPr>
                    <w:adjustRightInd w:val="0"/>
                    <w:snapToGrid w:val="0"/>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达标</w:t>
                  </w:r>
                </w:p>
              </w:tc>
            </w:tr>
          </w:tbl>
          <w:p w14:paraId="350A7BEB">
            <w:pPr>
              <w:spacing w:line="120" w:lineRule="auto"/>
              <w:ind w:firstLine="420" w:firstLineChars="200"/>
              <w:rPr>
                <w:rFonts w:hint="default" w:ascii="Times New Roman" w:hAnsi="Times New Roman" w:cs="Times New Roman"/>
                <w:color w:val="auto"/>
                <w:highlight w:val="none"/>
              </w:rPr>
            </w:pPr>
          </w:p>
          <w:p w14:paraId="1817CF36">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根据上表，202</w:t>
            </w:r>
            <w:r>
              <w:rPr>
                <w:rFonts w:hint="eastAsia"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rPr>
              <w:t>年</w:t>
            </w:r>
            <w:r>
              <w:rPr>
                <w:rFonts w:hint="eastAsia" w:ascii="Times New Roman" w:hAnsi="Times New Roman" w:cs="Times New Roman"/>
                <w:color w:val="auto"/>
                <w:sz w:val="24"/>
                <w:highlight w:val="none"/>
                <w:lang w:val="en-US" w:eastAsia="zh-CN"/>
              </w:rPr>
              <w:t>乐昌</w:t>
            </w:r>
            <w:r>
              <w:rPr>
                <w:rFonts w:hint="eastAsia" w:ascii="Times New Roman" w:hAnsi="Times New Roman" w:cs="Times New Roman"/>
                <w:color w:val="auto"/>
                <w:sz w:val="24"/>
                <w:highlight w:val="none"/>
                <w:lang w:eastAsia="zh-CN"/>
              </w:rPr>
              <w:t>市</w:t>
            </w:r>
            <w:r>
              <w:rPr>
                <w:rFonts w:hint="default" w:ascii="Times New Roman" w:hAnsi="Times New Roman" w:cs="Times New Roman"/>
                <w:color w:val="auto"/>
                <w:sz w:val="24"/>
                <w:highlight w:val="none"/>
              </w:rPr>
              <w:t>环境空气六项基本污染物均能达到《环境空气质量标准》（GB3095-2026）过渡阶段浓度限值二级标准，属环境空气质量达标区。</w:t>
            </w:r>
          </w:p>
          <w:p w14:paraId="7997FFA0">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2</w:t>
            </w:r>
            <w:r>
              <w:rPr>
                <w:rFonts w:hint="default" w:ascii="Times New Roman" w:hAnsi="Times New Roman" w:cs="Times New Roman"/>
                <w:color w:val="auto"/>
                <w:sz w:val="24"/>
                <w:highlight w:val="none"/>
              </w:rPr>
              <w:t>）补充监测</w:t>
            </w:r>
          </w:p>
          <w:p w14:paraId="5DC6FE9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根据《建设项目环境影响报告表编制技术指南（污染影响类）（试行）</w:t>
            </w:r>
            <w:bookmarkStart w:id="205" w:name="_GoBack"/>
            <w:bookmarkEnd w:id="205"/>
            <w:r>
              <w:rPr>
                <w:rFonts w:hint="default" w:ascii="Times New Roman" w:hAnsi="Times New Roman" w:cs="Times New Roman"/>
                <w:color w:val="auto"/>
                <w:sz w:val="24"/>
                <w:highlight w:val="none"/>
              </w:rPr>
              <w:t>》：排放国家、地方环境空气质量标准中有标准限值要求的特征污染物时，引用建设项目周边5千米范围内近3年的现有监测数据。本项目需补充监测的其他污染物为TSP</w:t>
            </w:r>
            <w:r>
              <w:rPr>
                <w:rFonts w:hint="eastAsia" w:cs="Times New Roman"/>
                <w:color w:val="auto"/>
                <w:sz w:val="24"/>
                <w:highlight w:val="none"/>
                <w:lang w:eastAsia="zh-CN"/>
              </w:rPr>
              <w:t>、</w:t>
            </w:r>
            <w:r>
              <w:rPr>
                <w:rFonts w:hint="eastAsia" w:cs="Times New Roman"/>
                <w:color w:val="auto"/>
                <w:sz w:val="24"/>
                <w:highlight w:val="none"/>
                <w:lang w:val="en-US" w:eastAsia="zh-CN"/>
              </w:rPr>
              <w:t>非甲烷总烃、苯系物、臭气浓度</w:t>
            </w:r>
            <w:r>
              <w:rPr>
                <w:rFonts w:hint="default" w:ascii="Times New Roman" w:hAnsi="Times New Roman" w:cs="Times New Roman"/>
                <w:color w:val="auto"/>
                <w:sz w:val="24"/>
                <w:highlight w:val="none"/>
              </w:rPr>
              <w:t>。</w:t>
            </w:r>
          </w:p>
          <w:p w14:paraId="63A9F18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本项目引用《乐昌产业转移工业园2023年度环境管理状况评估监测》（报告编号：QHT-202312271026</w:t>
            </w:r>
            <w:r>
              <w:rPr>
                <w:rFonts w:hint="eastAsia" w:cs="Times New Roman"/>
                <w:color w:val="auto"/>
                <w:sz w:val="24"/>
                <w:highlight w:val="none"/>
                <w:lang w:eastAsia="zh-CN"/>
              </w:rPr>
              <w:t>，</w:t>
            </w:r>
            <w:r>
              <w:rPr>
                <w:rFonts w:hint="eastAsia" w:cs="Times New Roman"/>
                <w:color w:val="auto"/>
                <w:sz w:val="24"/>
                <w:highlight w:val="none"/>
                <w:lang w:val="en-US" w:eastAsia="zh-CN"/>
              </w:rPr>
              <w:t>详见附件6</w:t>
            </w:r>
            <w:r>
              <w:rPr>
                <w:rFonts w:hint="default" w:ascii="Times New Roman" w:hAnsi="Times New Roman" w:cs="Times New Roman"/>
                <w:color w:val="auto"/>
                <w:sz w:val="24"/>
                <w:highlight w:val="none"/>
              </w:rPr>
              <w:t>）用于评价TSP、非甲烷总烃、二甲苯、臭气浓度环境质量现状。深圳市清华环科检测技术有限公司于2023年12月19日-2023年12月25日在本项目南侧</w:t>
            </w:r>
            <w:r>
              <w:rPr>
                <w:rFonts w:hint="eastAsia" w:cs="Times New Roman"/>
                <w:color w:val="auto"/>
                <w:sz w:val="24"/>
                <w:highlight w:val="none"/>
                <w:lang w:val="en-US" w:eastAsia="zh-CN"/>
              </w:rPr>
              <w:t>4472</w:t>
            </w:r>
            <w:r>
              <w:rPr>
                <w:rFonts w:hint="default" w:ascii="Times New Roman" w:hAnsi="Times New Roman" w:cs="Times New Roman"/>
                <w:color w:val="auto"/>
                <w:sz w:val="24"/>
                <w:highlight w:val="none"/>
              </w:rPr>
              <w:t>m处G1和村地进行采样监测的监测数据，连续监测7天。本项目其他污染物补充监测点位基本信息见表3-2，监测结果</w:t>
            </w:r>
            <w:r>
              <w:rPr>
                <w:rFonts w:hint="default" w:ascii="Times New Roman" w:hAnsi="Times New Roman" w:cs="Times New Roman"/>
                <w:color w:val="auto"/>
                <w:sz w:val="24"/>
                <w:highlight w:val="none"/>
                <w:lang w:val="en-US" w:eastAsia="zh-CN"/>
              </w:rPr>
              <w:t>见</w:t>
            </w:r>
            <w:r>
              <w:rPr>
                <w:rFonts w:hint="default" w:ascii="Times New Roman" w:hAnsi="Times New Roman" w:cs="Times New Roman"/>
                <w:color w:val="auto"/>
                <w:sz w:val="24"/>
                <w:highlight w:val="none"/>
              </w:rPr>
              <w:t>表3-3。</w:t>
            </w:r>
          </w:p>
          <w:p w14:paraId="197D7301">
            <w:pPr>
              <w:numPr>
                <w:ilvl w:val="0"/>
                <w:numId w:val="14"/>
              </w:numPr>
              <w:spacing w:line="240" w:lineRule="auto"/>
              <w:ind w:left="0" w:leftChars="0" w:firstLine="4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 xml:space="preserve"> 大气监测点位信息</w:t>
            </w:r>
          </w:p>
          <w:tbl>
            <w:tblPr>
              <w:tblStyle w:val="48"/>
              <w:tblW w:w="4994" w:type="pct"/>
              <w:tblInd w:w="-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148"/>
              <w:gridCol w:w="1120"/>
              <w:gridCol w:w="859"/>
              <w:gridCol w:w="1227"/>
              <w:gridCol w:w="1849"/>
              <w:gridCol w:w="1015"/>
              <w:gridCol w:w="1098"/>
            </w:tblGrid>
            <w:tr w14:paraId="1CBFAB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690" w:type="pct"/>
                  <w:vMerge w:val="restart"/>
                  <w:tcBorders>
                    <w:tl2br w:val="nil"/>
                    <w:tr2bl w:val="nil"/>
                  </w:tcBorders>
                  <w:noWrap w:val="0"/>
                  <w:vAlign w:val="center"/>
                </w:tcPr>
                <w:p w14:paraId="337A2DB2">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监测点名称</w:t>
                  </w:r>
                </w:p>
              </w:tc>
              <w:tc>
                <w:tcPr>
                  <w:tcW w:w="1189" w:type="pct"/>
                  <w:gridSpan w:val="2"/>
                  <w:tcBorders>
                    <w:tl2br w:val="nil"/>
                    <w:tr2bl w:val="nil"/>
                  </w:tcBorders>
                  <w:noWrap w:val="0"/>
                  <w:vAlign w:val="center"/>
                </w:tcPr>
                <w:p w14:paraId="22891898">
                  <w:pPr>
                    <w:pStyle w:val="112"/>
                    <w:spacing w:line="240" w:lineRule="auto"/>
                    <w:jc w:val="center"/>
                    <w:rPr>
                      <w:rFonts w:hint="default" w:ascii="Times New Roman" w:hAnsi="Times New Roman" w:cs="Times New Roman"/>
                      <w:b/>
                      <w:bCs/>
                      <w:color w:val="auto"/>
                      <w:kern w:val="2"/>
                      <w:sz w:val="21"/>
                      <w:szCs w:val="21"/>
                      <w:highlight w:val="none"/>
                      <w:lang w:val="en-US" w:eastAsia="zh-CN" w:bidi="zh-CN"/>
                    </w:rPr>
                  </w:pPr>
                  <w:r>
                    <w:rPr>
                      <w:rFonts w:hint="default" w:ascii="Times New Roman" w:hAnsi="Times New Roman" w:cs="Times New Roman"/>
                      <w:b/>
                      <w:bCs/>
                      <w:color w:val="auto"/>
                      <w:kern w:val="2"/>
                      <w:sz w:val="21"/>
                      <w:szCs w:val="21"/>
                      <w:highlight w:val="none"/>
                      <w:lang w:eastAsia="zh-CN" w:bidi="zh-CN"/>
                    </w:rPr>
                    <w:t>监测点坐标</w:t>
                  </w:r>
                </w:p>
              </w:tc>
              <w:tc>
                <w:tcPr>
                  <w:tcW w:w="737" w:type="pct"/>
                  <w:vMerge w:val="restart"/>
                  <w:tcBorders>
                    <w:tl2br w:val="nil"/>
                    <w:tr2bl w:val="nil"/>
                  </w:tcBorders>
                  <w:noWrap w:val="0"/>
                  <w:vAlign w:val="center"/>
                </w:tcPr>
                <w:p w14:paraId="6CFE058C">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监测因子</w:t>
                  </w:r>
                </w:p>
              </w:tc>
              <w:tc>
                <w:tcPr>
                  <w:tcW w:w="1111" w:type="pct"/>
                  <w:vMerge w:val="restart"/>
                  <w:tcBorders>
                    <w:tl2br w:val="nil"/>
                    <w:tr2bl w:val="nil"/>
                  </w:tcBorders>
                  <w:noWrap w:val="0"/>
                  <w:vAlign w:val="center"/>
                </w:tcPr>
                <w:p w14:paraId="018AF9FE">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监测时段</w:t>
                  </w:r>
                </w:p>
              </w:tc>
              <w:tc>
                <w:tcPr>
                  <w:tcW w:w="610" w:type="pct"/>
                  <w:vMerge w:val="restart"/>
                  <w:tcBorders>
                    <w:tl2br w:val="nil"/>
                    <w:tr2bl w:val="nil"/>
                  </w:tcBorders>
                  <w:noWrap w:val="0"/>
                  <w:vAlign w:val="center"/>
                </w:tcPr>
                <w:p w14:paraId="49EDD6E2">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相对厂址方位</w:t>
                  </w:r>
                </w:p>
              </w:tc>
              <w:tc>
                <w:tcPr>
                  <w:tcW w:w="660" w:type="pct"/>
                  <w:vMerge w:val="restart"/>
                  <w:tcBorders>
                    <w:tl2br w:val="nil"/>
                    <w:tr2bl w:val="nil"/>
                  </w:tcBorders>
                  <w:noWrap w:val="0"/>
                  <w:vAlign w:val="center"/>
                </w:tcPr>
                <w:p w14:paraId="1CF2A51F">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相对厂界距离/m</w:t>
                  </w:r>
                </w:p>
              </w:tc>
            </w:tr>
            <w:tr w14:paraId="5AE18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690" w:type="pct"/>
                  <w:vMerge w:val="continue"/>
                  <w:tcBorders>
                    <w:tl2br w:val="nil"/>
                    <w:tr2bl w:val="nil"/>
                  </w:tcBorders>
                  <w:noWrap w:val="0"/>
                  <w:vAlign w:val="center"/>
                </w:tcPr>
                <w:p w14:paraId="1DB87E4A">
                  <w:pPr>
                    <w:pStyle w:val="112"/>
                    <w:spacing w:line="240" w:lineRule="auto"/>
                    <w:jc w:val="center"/>
                    <w:rPr>
                      <w:rFonts w:hint="default" w:ascii="Times New Roman" w:hAnsi="Times New Roman" w:cs="Times New Roman"/>
                      <w:b/>
                      <w:bCs/>
                      <w:color w:val="auto"/>
                      <w:kern w:val="2"/>
                      <w:sz w:val="21"/>
                      <w:szCs w:val="21"/>
                      <w:highlight w:val="none"/>
                      <w:lang w:eastAsia="zh-CN" w:bidi="zh-CN"/>
                    </w:rPr>
                  </w:pPr>
                </w:p>
              </w:tc>
              <w:tc>
                <w:tcPr>
                  <w:tcW w:w="673" w:type="pct"/>
                  <w:tcBorders>
                    <w:tl2br w:val="nil"/>
                    <w:tr2bl w:val="nil"/>
                  </w:tcBorders>
                  <w:noWrap w:val="0"/>
                  <w:vAlign w:val="center"/>
                </w:tcPr>
                <w:p w14:paraId="2A20AB7A">
                  <w:pPr>
                    <w:pStyle w:val="112"/>
                    <w:spacing w:line="240" w:lineRule="auto"/>
                    <w:jc w:val="center"/>
                    <w:rPr>
                      <w:rFonts w:hint="default" w:ascii="Times New Roman" w:hAnsi="Times New Roman" w:cs="Times New Roman"/>
                      <w:b/>
                      <w:bCs/>
                      <w:color w:val="auto"/>
                      <w:kern w:val="2"/>
                      <w:sz w:val="21"/>
                      <w:szCs w:val="21"/>
                      <w:highlight w:val="none"/>
                      <w:lang w:val="en-US" w:eastAsia="zh-CN" w:bidi="zh-CN"/>
                    </w:rPr>
                  </w:pPr>
                  <w:r>
                    <w:rPr>
                      <w:rFonts w:hint="eastAsia" w:ascii="Times New Roman" w:hAnsi="Times New Roman" w:cs="Times New Roman"/>
                      <w:b/>
                      <w:bCs/>
                      <w:color w:val="auto"/>
                      <w:kern w:val="2"/>
                      <w:sz w:val="21"/>
                      <w:szCs w:val="21"/>
                      <w:highlight w:val="none"/>
                      <w:lang w:val="en-US" w:eastAsia="zh-CN" w:bidi="zh-CN"/>
                    </w:rPr>
                    <w:t>经度</w:t>
                  </w:r>
                </w:p>
              </w:tc>
              <w:tc>
                <w:tcPr>
                  <w:tcW w:w="515" w:type="pct"/>
                  <w:tcBorders>
                    <w:tl2br w:val="nil"/>
                    <w:tr2bl w:val="nil"/>
                  </w:tcBorders>
                  <w:noWrap w:val="0"/>
                  <w:vAlign w:val="center"/>
                </w:tcPr>
                <w:p w14:paraId="73CAD51C">
                  <w:pPr>
                    <w:pStyle w:val="112"/>
                    <w:spacing w:line="240" w:lineRule="auto"/>
                    <w:jc w:val="center"/>
                    <w:rPr>
                      <w:rFonts w:hint="default" w:ascii="Times New Roman" w:hAnsi="Times New Roman" w:cs="Times New Roman"/>
                      <w:b/>
                      <w:bCs/>
                      <w:color w:val="auto"/>
                      <w:kern w:val="2"/>
                      <w:sz w:val="21"/>
                      <w:szCs w:val="21"/>
                      <w:highlight w:val="none"/>
                      <w:lang w:val="en-US" w:eastAsia="zh-CN" w:bidi="zh-CN"/>
                    </w:rPr>
                  </w:pPr>
                  <w:r>
                    <w:rPr>
                      <w:rFonts w:hint="eastAsia" w:ascii="Times New Roman" w:hAnsi="Times New Roman" w:cs="Times New Roman"/>
                      <w:b/>
                      <w:bCs/>
                      <w:color w:val="auto"/>
                      <w:kern w:val="2"/>
                      <w:sz w:val="21"/>
                      <w:szCs w:val="21"/>
                      <w:highlight w:val="none"/>
                      <w:lang w:val="en-US" w:eastAsia="zh-CN" w:bidi="zh-CN"/>
                    </w:rPr>
                    <w:t>纬度</w:t>
                  </w:r>
                </w:p>
              </w:tc>
              <w:tc>
                <w:tcPr>
                  <w:tcW w:w="737" w:type="pct"/>
                  <w:vMerge w:val="continue"/>
                  <w:tcBorders>
                    <w:tl2br w:val="nil"/>
                    <w:tr2bl w:val="nil"/>
                  </w:tcBorders>
                  <w:noWrap w:val="0"/>
                  <w:vAlign w:val="center"/>
                </w:tcPr>
                <w:p w14:paraId="4A5FDB57">
                  <w:pPr>
                    <w:spacing w:line="240" w:lineRule="auto"/>
                    <w:jc w:val="center"/>
                    <w:rPr>
                      <w:rFonts w:hint="default" w:ascii="Times New Roman" w:hAnsi="Times New Roman" w:cs="Times New Roman"/>
                      <w:color w:val="auto"/>
                      <w:sz w:val="21"/>
                      <w:szCs w:val="21"/>
                      <w:highlight w:val="none"/>
                    </w:rPr>
                  </w:pPr>
                </w:p>
              </w:tc>
              <w:tc>
                <w:tcPr>
                  <w:tcW w:w="1111" w:type="pct"/>
                  <w:vMerge w:val="continue"/>
                  <w:tcBorders>
                    <w:tl2br w:val="nil"/>
                    <w:tr2bl w:val="nil"/>
                  </w:tcBorders>
                  <w:noWrap w:val="0"/>
                  <w:vAlign w:val="center"/>
                </w:tcPr>
                <w:p w14:paraId="6C978558">
                  <w:pPr>
                    <w:spacing w:line="240" w:lineRule="auto"/>
                    <w:jc w:val="center"/>
                    <w:rPr>
                      <w:rFonts w:hint="default" w:ascii="Times New Roman" w:hAnsi="Times New Roman" w:cs="Times New Roman"/>
                      <w:color w:val="auto"/>
                      <w:sz w:val="21"/>
                      <w:szCs w:val="21"/>
                      <w:highlight w:val="none"/>
                    </w:rPr>
                  </w:pPr>
                </w:p>
              </w:tc>
              <w:tc>
                <w:tcPr>
                  <w:tcW w:w="610" w:type="pct"/>
                  <w:vMerge w:val="continue"/>
                  <w:tcBorders>
                    <w:tl2br w:val="nil"/>
                    <w:tr2bl w:val="nil"/>
                  </w:tcBorders>
                  <w:noWrap w:val="0"/>
                  <w:vAlign w:val="center"/>
                </w:tcPr>
                <w:p w14:paraId="181BFB5E">
                  <w:pPr>
                    <w:spacing w:line="240" w:lineRule="auto"/>
                    <w:jc w:val="center"/>
                    <w:rPr>
                      <w:rFonts w:hint="default" w:ascii="Times New Roman" w:hAnsi="Times New Roman" w:cs="Times New Roman"/>
                      <w:color w:val="auto"/>
                      <w:sz w:val="21"/>
                      <w:szCs w:val="21"/>
                      <w:highlight w:val="none"/>
                    </w:rPr>
                  </w:pPr>
                </w:p>
              </w:tc>
              <w:tc>
                <w:tcPr>
                  <w:tcW w:w="660" w:type="pct"/>
                  <w:vMerge w:val="continue"/>
                  <w:tcBorders>
                    <w:tl2br w:val="nil"/>
                    <w:tr2bl w:val="nil"/>
                  </w:tcBorders>
                  <w:noWrap w:val="0"/>
                  <w:vAlign w:val="center"/>
                </w:tcPr>
                <w:p w14:paraId="7AC166C7">
                  <w:pPr>
                    <w:spacing w:line="240" w:lineRule="auto"/>
                    <w:jc w:val="center"/>
                    <w:rPr>
                      <w:rFonts w:hint="default" w:ascii="Times New Roman" w:hAnsi="Times New Roman" w:cs="Times New Roman"/>
                      <w:color w:val="auto"/>
                      <w:sz w:val="21"/>
                      <w:szCs w:val="21"/>
                      <w:highlight w:val="none"/>
                    </w:rPr>
                  </w:pPr>
                </w:p>
              </w:tc>
            </w:tr>
            <w:tr w14:paraId="6E90E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1148" w:type="dxa"/>
                  <w:tcBorders>
                    <w:tl2br w:val="nil"/>
                    <w:tr2bl w:val="nil"/>
                  </w:tcBorders>
                  <w:noWrap w:val="0"/>
                  <w:vAlign w:val="center"/>
                </w:tcPr>
                <w:p w14:paraId="6E74DC0C">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auto"/>
                      <w:kern w:val="2"/>
                      <w:sz w:val="21"/>
                      <w:szCs w:val="21"/>
                      <w:highlight w:val="none"/>
                      <w:lang w:eastAsia="zh-CN" w:bidi="zh-CN"/>
                    </w:rPr>
                  </w:pPr>
                  <w:r>
                    <w:rPr>
                      <w:rFonts w:hint="default" w:ascii="Times New Roman" w:hAnsi="Times New Roman" w:cs="Times New Roman"/>
                      <w:color w:val="auto"/>
                      <w:sz w:val="21"/>
                      <w:szCs w:val="21"/>
                      <w:highlight w:val="none"/>
                    </w:rPr>
                    <w:t>G1</w:t>
                  </w:r>
                  <w:r>
                    <w:rPr>
                      <w:rFonts w:hint="eastAsia" w:ascii="Times New Roman" w:cs="Times New Roman"/>
                      <w:color w:val="auto"/>
                      <w:sz w:val="21"/>
                      <w:szCs w:val="21"/>
                      <w:highlight w:val="none"/>
                      <w:lang w:val="en-US" w:eastAsia="zh-CN"/>
                    </w:rPr>
                    <w:t>和</w:t>
                  </w:r>
                  <w:r>
                    <w:rPr>
                      <w:rFonts w:hint="default" w:ascii="Times New Roman" w:hAnsi="Times New Roman" w:cs="Times New Roman"/>
                      <w:color w:val="auto"/>
                      <w:sz w:val="21"/>
                      <w:szCs w:val="21"/>
                      <w:highlight w:val="none"/>
                    </w:rPr>
                    <w:t>村</w:t>
                  </w:r>
                </w:p>
              </w:tc>
              <w:tc>
                <w:tcPr>
                  <w:tcW w:w="1120" w:type="dxa"/>
                  <w:tcBorders>
                    <w:tl2br w:val="nil"/>
                    <w:tr2bl w:val="nil"/>
                  </w:tcBorders>
                  <w:noWrap w:val="0"/>
                  <w:vAlign w:val="center"/>
                </w:tcPr>
                <w:p w14:paraId="240315D2">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kern w:val="2"/>
                      <w:sz w:val="21"/>
                      <w:szCs w:val="21"/>
                      <w:highlight w:val="none"/>
                      <w:lang w:eastAsia="zh-CN" w:bidi="zh-CN"/>
                    </w:rPr>
                  </w:pPr>
                  <w:r>
                    <w:rPr>
                      <w:rFonts w:hint="eastAsia" w:ascii="Times New Roman" w:cs="Times New Roman"/>
                      <w:color w:val="auto"/>
                      <w:sz w:val="21"/>
                      <w:szCs w:val="21"/>
                      <w:highlight w:val="none"/>
                      <w:lang w:val="en-US" w:eastAsia="zh-CN"/>
                    </w:rPr>
                    <w:t>113.242127448</w:t>
                  </w:r>
                </w:p>
              </w:tc>
              <w:tc>
                <w:tcPr>
                  <w:tcW w:w="859" w:type="dxa"/>
                  <w:tcBorders>
                    <w:tl2br w:val="nil"/>
                    <w:tr2bl w:val="nil"/>
                  </w:tcBorders>
                  <w:noWrap w:val="0"/>
                  <w:vAlign w:val="center"/>
                </w:tcPr>
                <w:p w14:paraId="0355B2A6">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kern w:val="2"/>
                      <w:sz w:val="21"/>
                      <w:szCs w:val="21"/>
                      <w:highlight w:val="none"/>
                      <w:lang w:eastAsia="zh-CN" w:bidi="zh-CN"/>
                    </w:rPr>
                  </w:pPr>
                  <w:r>
                    <w:rPr>
                      <w:rFonts w:hint="eastAsia" w:ascii="Times New Roman" w:cs="Times New Roman"/>
                      <w:color w:val="auto"/>
                      <w:sz w:val="21"/>
                      <w:szCs w:val="21"/>
                      <w:highlight w:val="none"/>
                      <w:lang w:val="en-US" w:eastAsia="zh-CN"/>
                    </w:rPr>
                    <w:t>25.064813306</w:t>
                  </w:r>
                </w:p>
              </w:tc>
              <w:tc>
                <w:tcPr>
                  <w:tcW w:w="1227" w:type="dxa"/>
                  <w:tcBorders>
                    <w:tl2br w:val="nil"/>
                    <w:tr2bl w:val="nil"/>
                  </w:tcBorders>
                  <w:noWrap w:val="0"/>
                  <w:vAlign w:val="center"/>
                </w:tcPr>
                <w:p w14:paraId="5BE0831C">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kern w:val="2"/>
                      <w:sz w:val="21"/>
                      <w:szCs w:val="21"/>
                      <w:highlight w:val="none"/>
                      <w:lang w:eastAsia="zh-CN" w:bidi="zh-CN"/>
                    </w:rPr>
                  </w:pPr>
                  <w:r>
                    <w:rPr>
                      <w:rFonts w:hint="default" w:ascii="Times New Roman" w:hAnsi="Times New Roman" w:cs="Times New Roman"/>
                      <w:color w:val="auto"/>
                      <w:sz w:val="21"/>
                      <w:szCs w:val="21"/>
                      <w:highlight w:val="none"/>
                    </w:rPr>
                    <w:t>TSP</w:t>
                  </w:r>
                  <w:r>
                    <w:rPr>
                      <w:rFonts w:hint="eastAsia" w:ascii="Times New Roman" w:cs="Times New Roman"/>
                      <w:color w:val="auto"/>
                      <w:sz w:val="21"/>
                      <w:szCs w:val="21"/>
                      <w:highlight w:val="none"/>
                      <w:lang w:eastAsia="zh-CN"/>
                    </w:rPr>
                    <w:t>、</w:t>
                  </w:r>
                  <w:r>
                    <w:rPr>
                      <w:rFonts w:hint="eastAsia" w:ascii="Times New Roman" w:cs="Times New Roman"/>
                      <w:color w:val="auto"/>
                      <w:sz w:val="21"/>
                      <w:szCs w:val="21"/>
                      <w:highlight w:val="none"/>
                      <w:lang w:val="en-US" w:eastAsia="zh-CN"/>
                    </w:rPr>
                    <w:t>非甲烷总烃、二甲苯、臭气浓度</w:t>
                  </w:r>
                </w:p>
              </w:tc>
              <w:tc>
                <w:tcPr>
                  <w:tcW w:w="1849" w:type="dxa"/>
                  <w:tcBorders>
                    <w:tl2br w:val="nil"/>
                    <w:tr2bl w:val="nil"/>
                  </w:tcBorders>
                  <w:noWrap w:val="0"/>
                  <w:vAlign w:val="center"/>
                </w:tcPr>
                <w:p w14:paraId="1497C203">
                  <w:pPr>
                    <w:pStyle w:val="2"/>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bCs/>
                      <w:color w:val="auto"/>
                      <w:sz w:val="21"/>
                      <w:szCs w:val="21"/>
                      <w:highlight w:val="none"/>
                    </w:rPr>
                    <w:t>202</w:t>
                  </w:r>
                  <w:r>
                    <w:rPr>
                      <w:rFonts w:hint="eastAsia" w:ascii="Times New Roman" w:cs="Times New Roman"/>
                      <w:bCs/>
                      <w:color w:val="auto"/>
                      <w:sz w:val="21"/>
                      <w:szCs w:val="21"/>
                      <w:highlight w:val="none"/>
                      <w:lang w:val="en-US" w:eastAsia="zh-CN"/>
                    </w:rPr>
                    <w:t>3</w:t>
                  </w:r>
                  <w:r>
                    <w:rPr>
                      <w:rFonts w:hint="default" w:ascii="Times New Roman" w:hAnsi="Times New Roman" w:cs="Times New Roman"/>
                      <w:bCs/>
                      <w:color w:val="auto"/>
                      <w:sz w:val="21"/>
                      <w:szCs w:val="21"/>
                      <w:highlight w:val="none"/>
                    </w:rPr>
                    <w:t>年12月</w:t>
                  </w:r>
                  <w:r>
                    <w:rPr>
                      <w:rFonts w:hint="eastAsia" w:ascii="Times New Roman" w:cs="Times New Roman"/>
                      <w:bCs/>
                      <w:color w:val="auto"/>
                      <w:sz w:val="21"/>
                      <w:szCs w:val="21"/>
                      <w:highlight w:val="none"/>
                      <w:lang w:val="en-US" w:eastAsia="zh-CN"/>
                    </w:rPr>
                    <w:t>19</w:t>
                  </w:r>
                  <w:r>
                    <w:rPr>
                      <w:rFonts w:hint="default" w:ascii="Times New Roman" w:hAnsi="Times New Roman" w:cs="Times New Roman"/>
                      <w:bCs/>
                      <w:color w:val="auto"/>
                      <w:sz w:val="21"/>
                      <w:szCs w:val="21"/>
                      <w:highlight w:val="none"/>
                    </w:rPr>
                    <w:t>日</w:t>
                  </w:r>
                  <w:r>
                    <w:rPr>
                      <w:rFonts w:hint="eastAsia" w:ascii="Times New Roman" w:cs="Times New Roman"/>
                      <w:bCs/>
                      <w:color w:val="auto"/>
                      <w:sz w:val="21"/>
                      <w:szCs w:val="21"/>
                      <w:highlight w:val="none"/>
                      <w:lang w:val="en-US" w:eastAsia="zh-CN"/>
                    </w:rPr>
                    <w:t>~</w:t>
                  </w:r>
                  <w:r>
                    <w:rPr>
                      <w:rFonts w:hint="default" w:ascii="Times New Roman" w:hAnsi="Times New Roman" w:cs="Times New Roman"/>
                      <w:bCs/>
                      <w:color w:val="auto"/>
                      <w:sz w:val="21"/>
                      <w:szCs w:val="21"/>
                      <w:highlight w:val="none"/>
                    </w:rPr>
                    <w:t>202</w:t>
                  </w:r>
                  <w:r>
                    <w:rPr>
                      <w:rFonts w:hint="eastAsia" w:ascii="Times New Roman" w:cs="Times New Roman"/>
                      <w:bCs/>
                      <w:color w:val="auto"/>
                      <w:sz w:val="21"/>
                      <w:szCs w:val="21"/>
                      <w:highlight w:val="none"/>
                      <w:lang w:val="en-US" w:eastAsia="zh-CN"/>
                    </w:rPr>
                    <w:t>3</w:t>
                  </w:r>
                  <w:r>
                    <w:rPr>
                      <w:rFonts w:hint="default" w:ascii="Times New Roman" w:hAnsi="Times New Roman" w:cs="Times New Roman"/>
                      <w:bCs/>
                      <w:color w:val="auto"/>
                      <w:sz w:val="21"/>
                      <w:szCs w:val="21"/>
                      <w:highlight w:val="none"/>
                    </w:rPr>
                    <w:t>年12月2</w:t>
                  </w:r>
                  <w:r>
                    <w:rPr>
                      <w:rFonts w:hint="eastAsia" w:ascii="Times New Roman" w:cs="Times New Roman"/>
                      <w:bCs/>
                      <w:color w:val="auto"/>
                      <w:sz w:val="21"/>
                      <w:szCs w:val="21"/>
                      <w:highlight w:val="none"/>
                      <w:lang w:val="en-US" w:eastAsia="zh-CN"/>
                    </w:rPr>
                    <w:t>5</w:t>
                  </w:r>
                  <w:r>
                    <w:rPr>
                      <w:rFonts w:hint="default" w:ascii="Times New Roman" w:hAnsi="Times New Roman" w:cs="Times New Roman"/>
                      <w:bCs/>
                      <w:color w:val="auto"/>
                      <w:sz w:val="21"/>
                      <w:szCs w:val="21"/>
                      <w:highlight w:val="none"/>
                    </w:rPr>
                    <w:t>日</w:t>
                  </w:r>
                </w:p>
              </w:tc>
              <w:tc>
                <w:tcPr>
                  <w:tcW w:w="1015" w:type="dxa"/>
                  <w:tcBorders>
                    <w:tl2br w:val="nil"/>
                    <w:tr2bl w:val="nil"/>
                  </w:tcBorders>
                  <w:noWrap w:val="0"/>
                  <w:vAlign w:val="center"/>
                </w:tcPr>
                <w:p w14:paraId="1463832A">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eastAsia="宋体....." w:cs="Times New Roman"/>
                      <w:color w:val="auto"/>
                      <w:sz w:val="21"/>
                      <w:szCs w:val="21"/>
                      <w:highlight w:val="none"/>
                      <w:lang w:val="en-US" w:eastAsia="zh-CN" w:bidi="zh-CN"/>
                    </w:rPr>
                  </w:pPr>
                  <w:r>
                    <w:rPr>
                      <w:rFonts w:hint="eastAsia" w:ascii="Times New Roman" w:cs="Times New Roman"/>
                      <w:color w:val="auto"/>
                      <w:sz w:val="21"/>
                      <w:szCs w:val="21"/>
                      <w:highlight w:val="none"/>
                      <w:lang w:val="en-US" w:eastAsia="zh-CN"/>
                    </w:rPr>
                    <w:t>西南</w:t>
                  </w:r>
                </w:p>
              </w:tc>
              <w:tc>
                <w:tcPr>
                  <w:tcW w:w="1098" w:type="dxa"/>
                  <w:tcBorders>
                    <w:tl2br w:val="nil"/>
                    <w:tr2bl w:val="nil"/>
                  </w:tcBorders>
                  <w:noWrap w:val="0"/>
                  <w:vAlign w:val="center"/>
                </w:tcPr>
                <w:p w14:paraId="4BB9EE29">
                  <w:pPr>
                    <w:pStyle w:val="2"/>
                    <w:pageBreakBefore w:val="0"/>
                    <w:widowControl w:val="0"/>
                    <w:kinsoku/>
                    <w:overflowPunct/>
                    <w:topLinePunct w:val="0"/>
                    <w:bidi w:val="0"/>
                    <w:snapToGrid w:val="0"/>
                    <w:spacing w:line="240" w:lineRule="auto"/>
                    <w:jc w:val="center"/>
                    <w:textAlignment w:val="auto"/>
                    <w:outlineLvl w:val="9"/>
                    <w:rPr>
                      <w:rFonts w:hint="default" w:ascii="Times New Roman" w:hAnsi="Times New Roman" w:cs="Times New Roman"/>
                      <w:color w:val="auto"/>
                      <w:sz w:val="21"/>
                      <w:szCs w:val="21"/>
                      <w:highlight w:val="none"/>
                      <w:lang w:val="en-US" w:bidi="zh-CN"/>
                    </w:rPr>
                  </w:pPr>
                  <w:r>
                    <w:rPr>
                      <w:rFonts w:hint="eastAsia" w:ascii="Times New Roman" w:cs="Times New Roman"/>
                      <w:color w:val="auto"/>
                      <w:sz w:val="21"/>
                      <w:szCs w:val="21"/>
                      <w:highlight w:val="none"/>
                      <w:lang w:val="en-US" w:eastAsia="zh-CN"/>
                    </w:rPr>
                    <w:t>4472</w:t>
                  </w:r>
                </w:p>
              </w:tc>
            </w:tr>
          </w:tbl>
          <w:p w14:paraId="1200B58B">
            <w:pPr>
              <w:keepNext w:val="0"/>
              <w:keepLines w:val="0"/>
              <w:pageBreakBefore w:val="0"/>
              <w:widowControl w:val="0"/>
              <w:tabs>
                <w:tab w:val="left" w:pos="1472"/>
              </w:tabs>
              <w:kinsoku/>
              <w:wordWrap/>
              <w:overflowPunct/>
              <w:topLinePunct w:val="0"/>
              <w:autoSpaceDE/>
              <w:autoSpaceDN/>
              <w:bidi w:val="0"/>
              <w:adjustRightInd/>
              <w:snapToGrid/>
              <w:spacing w:line="100" w:lineRule="exact"/>
              <w:ind w:left="771"/>
              <w:jc w:val="center"/>
              <w:textAlignment w:val="auto"/>
              <w:rPr>
                <w:rFonts w:hint="default" w:ascii="Times New Roman" w:hAnsi="Times New Roman" w:cs="Times New Roman"/>
                <w:color w:val="auto"/>
                <w:szCs w:val="21"/>
                <w:highlight w:val="none"/>
              </w:rPr>
            </w:pPr>
          </w:p>
          <w:p w14:paraId="02EDE957">
            <w:pPr>
              <w:numPr>
                <w:ilvl w:val="0"/>
                <w:numId w:val="14"/>
              </w:numPr>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 xml:space="preserve"> 其他污染物环境质量现状（监测结果）表</w:t>
            </w:r>
          </w:p>
          <w:tbl>
            <w:tblPr>
              <w:tblStyle w:val="48"/>
              <w:tblW w:w="4996" w:type="pct"/>
              <w:tblInd w:w="-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849"/>
              <w:gridCol w:w="924"/>
              <w:gridCol w:w="941"/>
              <w:gridCol w:w="1326"/>
              <w:gridCol w:w="1647"/>
              <w:gridCol w:w="1146"/>
              <w:gridCol w:w="674"/>
              <w:gridCol w:w="812"/>
            </w:tblGrid>
            <w:tr w14:paraId="2DD3D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tcBorders>
                    <w:tl2br w:val="nil"/>
                    <w:tr2bl w:val="nil"/>
                  </w:tcBorders>
                  <w:noWrap w:val="0"/>
                  <w:vAlign w:val="center"/>
                </w:tcPr>
                <w:p w14:paraId="398927D7">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点位名称</w:t>
                  </w:r>
                </w:p>
              </w:tc>
              <w:tc>
                <w:tcPr>
                  <w:tcW w:w="555" w:type="pct"/>
                  <w:tcBorders>
                    <w:tl2br w:val="nil"/>
                    <w:tr2bl w:val="nil"/>
                  </w:tcBorders>
                  <w:noWrap w:val="0"/>
                  <w:vAlign w:val="center"/>
                </w:tcPr>
                <w:p w14:paraId="1B42AEAE">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污染物</w:t>
                  </w:r>
                </w:p>
              </w:tc>
              <w:tc>
                <w:tcPr>
                  <w:tcW w:w="565" w:type="pct"/>
                  <w:tcBorders>
                    <w:tl2br w:val="nil"/>
                    <w:tr2bl w:val="nil"/>
                  </w:tcBorders>
                  <w:noWrap w:val="0"/>
                  <w:vAlign w:val="center"/>
                </w:tcPr>
                <w:p w14:paraId="6EF51787">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平均时间</w:t>
                  </w:r>
                </w:p>
              </w:tc>
              <w:tc>
                <w:tcPr>
                  <w:tcW w:w="796" w:type="pct"/>
                  <w:tcBorders>
                    <w:tl2br w:val="nil"/>
                    <w:tr2bl w:val="nil"/>
                  </w:tcBorders>
                  <w:noWrap w:val="0"/>
                  <w:vAlign w:val="center"/>
                </w:tcPr>
                <w:p w14:paraId="17BFFC57">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评价标准</w:t>
                  </w:r>
                </w:p>
                <w:p w14:paraId="03FFC0B3">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w:t>
                  </w:r>
                  <w:r>
                    <w:rPr>
                      <w:rFonts w:hint="default" w:ascii="Times New Roman" w:hAnsi="Times New Roman" w:cs="Times New Roman"/>
                      <w:b/>
                      <w:bCs/>
                      <w:color w:val="auto"/>
                      <w:kern w:val="2"/>
                      <w:sz w:val="21"/>
                      <w:szCs w:val="21"/>
                      <w:highlight w:val="none"/>
                      <w:lang w:val="en-US" w:eastAsia="zh-CN" w:bidi="zh-CN"/>
                    </w:rPr>
                    <w:t>μg</w:t>
                  </w:r>
                  <w:r>
                    <w:rPr>
                      <w:rFonts w:hint="default" w:ascii="Times New Roman" w:hAnsi="Times New Roman" w:cs="Times New Roman"/>
                      <w:b/>
                      <w:bCs/>
                      <w:color w:val="auto"/>
                      <w:kern w:val="2"/>
                      <w:sz w:val="21"/>
                      <w:szCs w:val="21"/>
                      <w:highlight w:val="none"/>
                      <w:lang w:eastAsia="zh-CN" w:bidi="zh-CN"/>
                    </w:rPr>
                    <w:t>/m</w:t>
                  </w:r>
                  <w:r>
                    <w:rPr>
                      <w:rFonts w:hint="default" w:ascii="Times New Roman" w:hAnsi="Times New Roman" w:cs="Times New Roman"/>
                      <w:b/>
                      <w:bCs/>
                      <w:color w:val="auto"/>
                      <w:kern w:val="2"/>
                      <w:sz w:val="21"/>
                      <w:szCs w:val="21"/>
                      <w:highlight w:val="none"/>
                      <w:vertAlign w:val="superscript"/>
                      <w:lang w:eastAsia="zh-CN" w:bidi="zh-CN"/>
                    </w:rPr>
                    <w:t>3)</w:t>
                  </w:r>
                </w:p>
              </w:tc>
              <w:tc>
                <w:tcPr>
                  <w:tcW w:w="989" w:type="pct"/>
                  <w:tcBorders>
                    <w:tl2br w:val="nil"/>
                    <w:tr2bl w:val="nil"/>
                  </w:tcBorders>
                  <w:noWrap w:val="0"/>
                  <w:vAlign w:val="center"/>
                </w:tcPr>
                <w:p w14:paraId="2FCA8483">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现状浓度范围</w:t>
                  </w:r>
                  <w:r>
                    <w:rPr>
                      <w:rFonts w:hint="default" w:ascii="Times New Roman" w:hAnsi="Times New Roman" w:cs="Times New Roman"/>
                      <w:b/>
                      <w:bCs/>
                      <w:color w:val="auto"/>
                      <w:kern w:val="2"/>
                      <w:sz w:val="21"/>
                      <w:szCs w:val="21"/>
                      <w:highlight w:val="none"/>
                      <w:lang w:val="en-US" w:eastAsia="zh-CN" w:bidi="zh-CN"/>
                    </w:rPr>
                    <w:t>μg</w:t>
                  </w:r>
                  <w:r>
                    <w:rPr>
                      <w:rFonts w:hint="default" w:ascii="Times New Roman" w:hAnsi="Times New Roman" w:cs="Times New Roman"/>
                      <w:b/>
                      <w:bCs/>
                      <w:color w:val="auto"/>
                      <w:kern w:val="2"/>
                      <w:sz w:val="21"/>
                      <w:szCs w:val="21"/>
                      <w:highlight w:val="none"/>
                      <w:lang w:eastAsia="zh-CN" w:bidi="zh-CN"/>
                    </w:rPr>
                    <w:t>/m</w:t>
                  </w:r>
                  <w:r>
                    <w:rPr>
                      <w:rFonts w:hint="default" w:ascii="Times New Roman" w:hAnsi="Times New Roman" w:cs="Times New Roman"/>
                      <w:b/>
                      <w:bCs/>
                      <w:color w:val="auto"/>
                      <w:kern w:val="2"/>
                      <w:sz w:val="21"/>
                      <w:szCs w:val="21"/>
                      <w:highlight w:val="none"/>
                      <w:vertAlign w:val="superscript"/>
                      <w:lang w:eastAsia="zh-CN" w:bidi="zh-CN"/>
                    </w:rPr>
                    <w:t>3</w:t>
                  </w:r>
                </w:p>
              </w:tc>
              <w:tc>
                <w:tcPr>
                  <w:tcW w:w="688" w:type="pct"/>
                  <w:tcBorders>
                    <w:tl2br w:val="nil"/>
                    <w:tr2bl w:val="nil"/>
                  </w:tcBorders>
                  <w:noWrap w:val="0"/>
                  <w:vAlign w:val="center"/>
                </w:tcPr>
                <w:p w14:paraId="6FB4E311">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最大浓度占标率/%</w:t>
                  </w:r>
                </w:p>
              </w:tc>
              <w:tc>
                <w:tcPr>
                  <w:tcW w:w="405" w:type="pct"/>
                  <w:tcBorders>
                    <w:tl2br w:val="nil"/>
                    <w:tr2bl w:val="nil"/>
                  </w:tcBorders>
                  <w:noWrap w:val="0"/>
                  <w:vAlign w:val="center"/>
                </w:tcPr>
                <w:p w14:paraId="60BECAA8">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超标</w:t>
                  </w:r>
                  <w:r>
                    <w:rPr>
                      <w:rFonts w:hint="default" w:ascii="Times New Roman" w:hAnsi="Times New Roman" w:cs="Times New Roman"/>
                      <w:b/>
                      <w:bCs/>
                      <w:color w:val="auto"/>
                      <w:kern w:val="2"/>
                      <w:sz w:val="21"/>
                      <w:szCs w:val="21"/>
                      <w:highlight w:val="none"/>
                      <w:lang w:val="en-US" w:eastAsia="zh-CN" w:bidi="zh-CN"/>
                    </w:rPr>
                    <w:t>倍数</w:t>
                  </w:r>
                </w:p>
              </w:tc>
              <w:tc>
                <w:tcPr>
                  <w:tcW w:w="487" w:type="pct"/>
                  <w:tcBorders>
                    <w:tl2br w:val="nil"/>
                    <w:tr2bl w:val="nil"/>
                  </w:tcBorders>
                  <w:noWrap w:val="0"/>
                  <w:vAlign w:val="center"/>
                </w:tcPr>
                <w:p w14:paraId="3920CF17">
                  <w:pPr>
                    <w:pStyle w:val="112"/>
                    <w:spacing w:line="240" w:lineRule="auto"/>
                    <w:jc w:val="center"/>
                    <w:rPr>
                      <w:rFonts w:hint="default" w:ascii="Times New Roman" w:hAnsi="Times New Roman" w:cs="Times New Roman"/>
                      <w:b/>
                      <w:bCs/>
                      <w:color w:val="auto"/>
                      <w:kern w:val="2"/>
                      <w:sz w:val="21"/>
                      <w:szCs w:val="21"/>
                      <w:highlight w:val="none"/>
                      <w:lang w:eastAsia="zh-CN" w:bidi="zh-CN"/>
                    </w:rPr>
                  </w:pPr>
                  <w:r>
                    <w:rPr>
                      <w:rFonts w:hint="default" w:ascii="Times New Roman" w:hAnsi="Times New Roman" w:cs="Times New Roman"/>
                      <w:b/>
                      <w:bCs/>
                      <w:color w:val="auto"/>
                      <w:kern w:val="2"/>
                      <w:sz w:val="21"/>
                      <w:szCs w:val="21"/>
                      <w:highlight w:val="none"/>
                      <w:lang w:eastAsia="zh-CN" w:bidi="zh-CN"/>
                    </w:rPr>
                    <w:t>达标情况</w:t>
                  </w:r>
                </w:p>
              </w:tc>
            </w:tr>
            <w:tr w14:paraId="44F41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vMerge w:val="restart"/>
                  <w:tcBorders>
                    <w:tl2br w:val="nil"/>
                    <w:tr2bl w:val="nil"/>
                  </w:tcBorders>
                  <w:noWrap w:val="0"/>
                  <w:vAlign w:val="center"/>
                </w:tcPr>
                <w:p w14:paraId="647DD99E">
                  <w:pPr>
                    <w:pStyle w:val="112"/>
                    <w:spacing w:line="240" w:lineRule="auto"/>
                    <w:jc w:val="center"/>
                    <w:rPr>
                      <w:rFonts w:hint="default" w:ascii="Times New Roman" w:hAnsi="Times New Roman" w:cs="Times New Roman"/>
                      <w:color w:val="auto"/>
                      <w:kern w:val="2"/>
                      <w:sz w:val="21"/>
                      <w:szCs w:val="21"/>
                      <w:highlight w:val="none"/>
                      <w:lang w:eastAsia="zh-CN" w:bidi="zh-CN"/>
                    </w:rPr>
                  </w:pPr>
                  <w:r>
                    <w:rPr>
                      <w:rFonts w:hint="default" w:ascii="Times New Roman" w:hAnsi="Times New Roman" w:cs="Times New Roman"/>
                      <w:color w:val="auto"/>
                      <w:sz w:val="21"/>
                      <w:szCs w:val="21"/>
                      <w:highlight w:val="none"/>
                    </w:rPr>
                    <w:t>G1</w:t>
                  </w:r>
                  <w:r>
                    <w:rPr>
                      <w:rFonts w:hint="eastAsia" w:ascii="Times New Roman" w:hAnsi="Times New Roman" w:cs="Times New Roman"/>
                      <w:color w:val="auto"/>
                      <w:sz w:val="21"/>
                      <w:szCs w:val="21"/>
                      <w:highlight w:val="none"/>
                      <w:lang w:val="en-US" w:eastAsia="zh-CN"/>
                    </w:rPr>
                    <w:t>和</w:t>
                  </w:r>
                  <w:r>
                    <w:rPr>
                      <w:rFonts w:hint="default" w:ascii="Times New Roman" w:hAnsi="Times New Roman" w:cs="Times New Roman"/>
                      <w:color w:val="auto"/>
                      <w:sz w:val="21"/>
                      <w:szCs w:val="21"/>
                      <w:highlight w:val="none"/>
                    </w:rPr>
                    <w:t>村</w:t>
                  </w:r>
                </w:p>
              </w:tc>
              <w:tc>
                <w:tcPr>
                  <w:tcW w:w="555" w:type="pct"/>
                  <w:tcBorders>
                    <w:tl2br w:val="nil"/>
                    <w:tr2bl w:val="nil"/>
                  </w:tcBorders>
                  <w:noWrap w:val="0"/>
                  <w:vAlign w:val="center"/>
                </w:tcPr>
                <w:p w14:paraId="7B791243">
                  <w:pPr>
                    <w:pStyle w:val="114"/>
                    <w:pageBreakBefore w:val="0"/>
                    <w:widowControl w:val="0"/>
                    <w:kinsoku/>
                    <w:overflowPunct/>
                    <w:topLinePunct w:val="0"/>
                    <w:bidi w:val="0"/>
                    <w:spacing w:before="46" w:after="46" w:line="240" w:lineRule="auto"/>
                    <w:textAlignment w:val="auto"/>
                    <w:outlineLvl w:val="9"/>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bCs/>
                      <w:color w:val="auto"/>
                      <w:sz w:val="21"/>
                      <w:highlight w:val="none"/>
                    </w:rPr>
                    <w:t>TSP</w:t>
                  </w:r>
                </w:p>
              </w:tc>
              <w:tc>
                <w:tcPr>
                  <w:tcW w:w="565" w:type="pct"/>
                  <w:tcBorders>
                    <w:tl2br w:val="nil"/>
                    <w:tr2bl w:val="nil"/>
                  </w:tcBorders>
                  <w:noWrap w:val="0"/>
                  <w:vAlign w:val="center"/>
                </w:tcPr>
                <w:p w14:paraId="472B4AE6">
                  <w:pPr>
                    <w:pStyle w:val="114"/>
                    <w:pageBreakBefore w:val="0"/>
                    <w:widowControl w:val="0"/>
                    <w:kinsoku/>
                    <w:overflowPunct/>
                    <w:topLinePunct w:val="0"/>
                    <w:bidi w:val="0"/>
                    <w:spacing w:before="46" w:after="46" w:line="240" w:lineRule="auto"/>
                    <w:textAlignment w:val="auto"/>
                    <w:outlineLvl w:val="9"/>
                    <w:rPr>
                      <w:rFonts w:hint="default" w:ascii="Times New Roman" w:hAnsi="Times New Roman" w:cs="Times New Roman"/>
                      <w:color w:val="auto"/>
                      <w:sz w:val="21"/>
                      <w:szCs w:val="21"/>
                      <w:highlight w:val="none"/>
                      <w:lang w:bidi="zh-CN"/>
                    </w:rPr>
                  </w:pPr>
                  <w:r>
                    <w:rPr>
                      <w:rFonts w:hint="default" w:ascii="Times New Roman" w:hAnsi="Times New Roman" w:cs="Times New Roman"/>
                      <w:bCs/>
                      <w:color w:val="auto"/>
                      <w:sz w:val="21"/>
                      <w:highlight w:val="none"/>
                    </w:rPr>
                    <w:t>日均值</w:t>
                  </w:r>
                </w:p>
              </w:tc>
              <w:tc>
                <w:tcPr>
                  <w:tcW w:w="796" w:type="pct"/>
                  <w:tcBorders>
                    <w:tl2br w:val="nil"/>
                    <w:tr2bl w:val="nil"/>
                  </w:tcBorders>
                  <w:noWrap w:val="0"/>
                  <w:vAlign w:val="center"/>
                </w:tcPr>
                <w:p w14:paraId="7D18D4F3">
                  <w:pPr>
                    <w:pStyle w:val="114"/>
                    <w:pageBreakBefore w:val="0"/>
                    <w:widowControl w:val="0"/>
                    <w:kinsoku/>
                    <w:overflowPunct/>
                    <w:topLinePunct w:val="0"/>
                    <w:bidi w:val="0"/>
                    <w:spacing w:before="46" w:after="46" w:line="240" w:lineRule="auto"/>
                    <w:textAlignment w:val="auto"/>
                    <w:outlineLvl w:val="9"/>
                    <w:rPr>
                      <w:rFonts w:hint="default"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0.3m</w:t>
                  </w:r>
                  <w:r>
                    <w:rPr>
                      <w:rFonts w:hint="default" w:ascii="Times New Roman" w:hAnsi="Times New Roman" w:cs="Times New Roman"/>
                      <w:b w:val="0"/>
                      <w:bCs/>
                      <w:color w:val="auto"/>
                      <w:kern w:val="0"/>
                      <w:sz w:val="21"/>
                      <w:szCs w:val="21"/>
                      <w:highlight w:val="none"/>
                    </w:rPr>
                    <w:t>g/m</w:t>
                  </w:r>
                  <w:r>
                    <w:rPr>
                      <w:rFonts w:hint="default" w:ascii="Times New Roman" w:hAnsi="Times New Roman" w:cs="Times New Roman"/>
                      <w:b w:val="0"/>
                      <w:bCs/>
                      <w:color w:val="auto"/>
                      <w:kern w:val="0"/>
                      <w:sz w:val="21"/>
                      <w:szCs w:val="21"/>
                      <w:highlight w:val="none"/>
                      <w:vertAlign w:val="superscript"/>
                    </w:rPr>
                    <w:t>3</w:t>
                  </w:r>
                </w:p>
              </w:tc>
              <w:tc>
                <w:tcPr>
                  <w:tcW w:w="989" w:type="pct"/>
                  <w:tcBorders>
                    <w:tl2br w:val="nil"/>
                    <w:tr2bl w:val="nil"/>
                  </w:tcBorders>
                  <w:noWrap w:val="0"/>
                  <w:vAlign w:val="center"/>
                </w:tcPr>
                <w:p w14:paraId="05650A89">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0"/>
                      <w:sz w:val="21"/>
                      <w:szCs w:val="21"/>
                      <w:highlight w:val="none"/>
                    </w:rPr>
                    <w:t>0.</w:t>
                  </w:r>
                  <w:r>
                    <w:rPr>
                      <w:rFonts w:hint="eastAsia" w:cs="Times New Roman"/>
                      <w:color w:val="auto"/>
                      <w:kern w:val="0"/>
                      <w:sz w:val="21"/>
                      <w:szCs w:val="21"/>
                      <w:highlight w:val="none"/>
                      <w:lang w:val="en-US" w:eastAsia="zh-CN"/>
                    </w:rPr>
                    <w:t>100</w:t>
                  </w:r>
                  <w:r>
                    <w:rPr>
                      <w:rFonts w:hint="default" w:ascii="Times New Roman" w:hAnsi="Times New Roman" w:cs="Times New Roman"/>
                      <w:color w:val="auto"/>
                      <w:kern w:val="0"/>
                      <w:sz w:val="21"/>
                      <w:szCs w:val="21"/>
                      <w:highlight w:val="none"/>
                    </w:rPr>
                    <w:t>~0.1</w:t>
                  </w:r>
                  <w:r>
                    <w:rPr>
                      <w:rFonts w:hint="eastAsia" w:cs="Times New Roman"/>
                      <w:color w:val="auto"/>
                      <w:kern w:val="0"/>
                      <w:sz w:val="21"/>
                      <w:szCs w:val="21"/>
                      <w:highlight w:val="none"/>
                      <w:lang w:val="en-US" w:eastAsia="zh-CN"/>
                    </w:rPr>
                    <w:t>11</w:t>
                  </w:r>
                </w:p>
              </w:tc>
              <w:tc>
                <w:tcPr>
                  <w:tcW w:w="688" w:type="pct"/>
                  <w:tcBorders>
                    <w:tl2br w:val="nil"/>
                    <w:tr2bl w:val="nil"/>
                  </w:tcBorders>
                  <w:noWrap w:val="0"/>
                  <w:vAlign w:val="center"/>
                </w:tcPr>
                <w:p w14:paraId="3F33736A">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2"/>
                      <w:sz w:val="21"/>
                      <w:szCs w:val="21"/>
                      <w:highlight w:val="none"/>
                      <w:lang w:val="en-US" w:eastAsia="zh-CN" w:bidi="zh-CN"/>
                    </w:rPr>
                  </w:pPr>
                  <w:r>
                    <w:rPr>
                      <w:rFonts w:hint="default" w:ascii="Times New Roman" w:hAnsi="Times New Roman" w:cs="Times New Roman"/>
                      <w:color w:val="auto"/>
                      <w:kern w:val="0"/>
                      <w:sz w:val="21"/>
                      <w:szCs w:val="21"/>
                      <w:highlight w:val="none"/>
                    </w:rPr>
                    <w:t>3</w:t>
                  </w:r>
                  <w:r>
                    <w:rPr>
                      <w:rFonts w:hint="eastAsia" w:cs="Times New Roman"/>
                      <w:color w:val="auto"/>
                      <w:kern w:val="0"/>
                      <w:sz w:val="21"/>
                      <w:szCs w:val="21"/>
                      <w:highlight w:val="none"/>
                      <w:lang w:val="en-US" w:eastAsia="zh-CN"/>
                    </w:rPr>
                    <w:t>7</w:t>
                  </w:r>
                </w:p>
              </w:tc>
              <w:tc>
                <w:tcPr>
                  <w:tcW w:w="405" w:type="pct"/>
                  <w:tcBorders>
                    <w:tl2br w:val="nil"/>
                    <w:tr2bl w:val="nil"/>
                  </w:tcBorders>
                  <w:noWrap w:val="0"/>
                  <w:vAlign w:val="center"/>
                </w:tcPr>
                <w:p w14:paraId="68A7D4E3">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kern w:val="2"/>
                      <w:sz w:val="21"/>
                      <w:szCs w:val="21"/>
                      <w:highlight w:val="none"/>
                      <w:lang w:eastAsia="zh-CN" w:bidi="zh-CN"/>
                    </w:rPr>
                  </w:pPr>
                  <w:r>
                    <w:rPr>
                      <w:rFonts w:hint="default" w:ascii="Times New Roman" w:hAnsi="Times New Roman" w:cs="Times New Roman"/>
                      <w:color w:val="auto"/>
                      <w:sz w:val="21"/>
                      <w:szCs w:val="21"/>
                      <w:highlight w:val="none"/>
                    </w:rPr>
                    <w:t>0</w:t>
                  </w:r>
                </w:p>
              </w:tc>
              <w:tc>
                <w:tcPr>
                  <w:tcW w:w="487" w:type="pct"/>
                  <w:tcBorders>
                    <w:tl2br w:val="nil"/>
                    <w:tr2bl w:val="nil"/>
                  </w:tcBorders>
                  <w:noWrap w:val="0"/>
                  <w:vAlign w:val="center"/>
                </w:tcPr>
                <w:p w14:paraId="56DD4A11">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kern w:val="2"/>
                      <w:sz w:val="21"/>
                      <w:szCs w:val="21"/>
                      <w:highlight w:val="none"/>
                      <w:lang w:eastAsia="zh-CN" w:bidi="zh-CN"/>
                    </w:rPr>
                  </w:pPr>
                  <w:r>
                    <w:rPr>
                      <w:rFonts w:hint="default" w:ascii="Times New Roman" w:hAnsi="Times New Roman" w:cs="Times New Roman"/>
                      <w:color w:val="auto"/>
                      <w:sz w:val="21"/>
                      <w:szCs w:val="21"/>
                      <w:highlight w:val="none"/>
                    </w:rPr>
                    <w:t>达标</w:t>
                  </w:r>
                </w:p>
              </w:tc>
            </w:tr>
            <w:tr w14:paraId="52EB7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vMerge w:val="continue"/>
                  <w:tcBorders>
                    <w:tl2br w:val="nil"/>
                    <w:tr2bl w:val="nil"/>
                  </w:tcBorders>
                  <w:noWrap w:val="0"/>
                  <w:vAlign w:val="center"/>
                </w:tcPr>
                <w:p w14:paraId="1F95BC33">
                  <w:pPr>
                    <w:pStyle w:val="112"/>
                    <w:spacing w:line="240" w:lineRule="auto"/>
                    <w:jc w:val="center"/>
                    <w:rPr>
                      <w:rFonts w:hint="default" w:ascii="Times New Roman" w:hAnsi="Times New Roman" w:cs="Times New Roman"/>
                      <w:color w:val="auto"/>
                      <w:sz w:val="21"/>
                      <w:szCs w:val="21"/>
                      <w:highlight w:val="none"/>
                    </w:rPr>
                  </w:pPr>
                </w:p>
              </w:tc>
              <w:tc>
                <w:tcPr>
                  <w:tcW w:w="555" w:type="pct"/>
                  <w:tcBorders>
                    <w:tl2br w:val="nil"/>
                    <w:tr2bl w:val="nil"/>
                  </w:tcBorders>
                  <w:noWrap w:val="0"/>
                  <w:vAlign w:val="center"/>
                </w:tcPr>
                <w:p w14:paraId="1C3634D6">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非甲烷总烃</w:t>
                  </w:r>
                </w:p>
              </w:tc>
              <w:tc>
                <w:tcPr>
                  <w:tcW w:w="565" w:type="pct"/>
                  <w:tcBorders>
                    <w:tl2br w:val="nil"/>
                    <w:tr2bl w:val="nil"/>
                  </w:tcBorders>
                  <w:noWrap w:val="0"/>
                  <w:vAlign w:val="center"/>
                </w:tcPr>
                <w:p w14:paraId="07114699">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sz w:val="21"/>
                      <w:szCs w:val="21"/>
                      <w:highlight w:val="none"/>
                      <w:lang w:val="en-US" w:bidi="zh-CN"/>
                    </w:rPr>
                  </w:pPr>
                  <w:r>
                    <w:rPr>
                      <w:rFonts w:hint="eastAsia" w:cs="Times New Roman"/>
                      <w:bCs/>
                      <w:color w:val="auto"/>
                      <w:sz w:val="21"/>
                      <w:highlight w:val="none"/>
                      <w:lang w:val="en-US" w:eastAsia="zh-CN"/>
                    </w:rPr>
                    <w:t>小时值</w:t>
                  </w:r>
                </w:p>
              </w:tc>
              <w:tc>
                <w:tcPr>
                  <w:tcW w:w="796" w:type="pct"/>
                  <w:tcBorders>
                    <w:tl2br w:val="nil"/>
                    <w:tr2bl w:val="nil"/>
                  </w:tcBorders>
                  <w:noWrap w:val="0"/>
                  <w:vAlign w:val="center"/>
                </w:tcPr>
                <w:p w14:paraId="2E403C22">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2.0mg/</w:t>
                  </w:r>
                  <w:r>
                    <w:rPr>
                      <w:rFonts w:hint="default" w:ascii="Times New Roman" w:hAnsi="Times New Roman" w:cs="Times New Roman"/>
                      <w:b w:val="0"/>
                      <w:bCs/>
                      <w:color w:val="auto"/>
                      <w:kern w:val="0"/>
                      <w:sz w:val="21"/>
                      <w:szCs w:val="21"/>
                      <w:highlight w:val="none"/>
                    </w:rPr>
                    <w:t>m</w:t>
                  </w:r>
                  <w:r>
                    <w:rPr>
                      <w:rFonts w:hint="default" w:ascii="Times New Roman" w:hAnsi="Times New Roman" w:cs="Times New Roman"/>
                      <w:b w:val="0"/>
                      <w:bCs/>
                      <w:color w:val="auto"/>
                      <w:kern w:val="0"/>
                      <w:sz w:val="21"/>
                      <w:szCs w:val="21"/>
                      <w:highlight w:val="none"/>
                      <w:vertAlign w:val="superscript"/>
                    </w:rPr>
                    <w:t>3</w:t>
                  </w:r>
                </w:p>
              </w:tc>
              <w:tc>
                <w:tcPr>
                  <w:tcW w:w="989" w:type="pct"/>
                  <w:tcBorders>
                    <w:tl2br w:val="nil"/>
                    <w:tr2bl w:val="nil"/>
                  </w:tcBorders>
                  <w:noWrap w:val="0"/>
                  <w:vAlign w:val="center"/>
                </w:tcPr>
                <w:p w14:paraId="4E0A1235">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0.812~0.972</w:t>
                  </w:r>
                </w:p>
              </w:tc>
              <w:tc>
                <w:tcPr>
                  <w:tcW w:w="688" w:type="pct"/>
                  <w:tcBorders>
                    <w:tl2br w:val="nil"/>
                    <w:tr2bl w:val="nil"/>
                  </w:tcBorders>
                  <w:noWrap w:val="0"/>
                  <w:vAlign w:val="center"/>
                </w:tcPr>
                <w:p w14:paraId="212C668C">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48.6</w:t>
                  </w:r>
                </w:p>
              </w:tc>
              <w:tc>
                <w:tcPr>
                  <w:tcW w:w="405" w:type="pct"/>
                  <w:tcBorders>
                    <w:tl2br w:val="nil"/>
                    <w:tr2bl w:val="nil"/>
                  </w:tcBorders>
                  <w:noWrap w:val="0"/>
                  <w:vAlign w:val="center"/>
                </w:tcPr>
                <w:p w14:paraId="0138BBEB">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0</w:t>
                  </w:r>
                </w:p>
              </w:tc>
              <w:tc>
                <w:tcPr>
                  <w:tcW w:w="487" w:type="pct"/>
                  <w:tcBorders>
                    <w:tl2br w:val="nil"/>
                    <w:tr2bl w:val="nil"/>
                  </w:tcBorders>
                  <w:noWrap w:val="0"/>
                  <w:vAlign w:val="center"/>
                </w:tcPr>
                <w:p w14:paraId="402AA2A1">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达标</w:t>
                  </w:r>
                </w:p>
              </w:tc>
            </w:tr>
            <w:tr w14:paraId="3BD67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vMerge w:val="continue"/>
                  <w:tcBorders>
                    <w:tl2br w:val="nil"/>
                    <w:tr2bl w:val="nil"/>
                  </w:tcBorders>
                  <w:noWrap w:val="0"/>
                  <w:vAlign w:val="center"/>
                </w:tcPr>
                <w:p w14:paraId="5DF935EB">
                  <w:pPr>
                    <w:pStyle w:val="112"/>
                    <w:spacing w:line="240" w:lineRule="auto"/>
                    <w:jc w:val="center"/>
                    <w:rPr>
                      <w:rFonts w:hint="default" w:ascii="Times New Roman" w:hAnsi="Times New Roman" w:cs="Times New Roman"/>
                      <w:color w:val="auto"/>
                      <w:sz w:val="21"/>
                      <w:szCs w:val="21"/>
                      <w:highlight w:val="none"/>
                    </w:rPr>
                  </w:pPr>
                </w:p>
              </w:tc>
              <w:tc>
                <w:tcPr>
                  <w:tcW w:w="555" w:type="pct"/>
                  <w:tcBorders>
                    <w:tl2br w:val="nil"/>
                    <w:tr2bl w:val="nil"/>
                  </w:tcBorders>
                  <w:noWrap w:val="0"/>
                  <w:vAlign w:val="center"/>
                </w:tcPr>
                <w:p w14:paraId="1AB86752">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二甲苯</w:t>
                  </w:r>
                </w:p>
              </w:tc>
              <w:tc>
                <w:tcPr>
                  <w:tcW w:w="565" w:type="pct"/>
                  <w:tcBorders>
                    <w:tl2br w:val="nil"/>
                    <w:tr2bl w:val="nil"/>
                  </w:tcBorders>
                  <w:noWrap w:val="0"/>
                  <w:vAlign w:val="center"/>
                </w:tcPr>
                <w:p w14:paraId="09EA8031">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sz w:val="21"/>
                      <w:szCs w:val="21"/>
                      <w:highlight w:val="none"/>
                      <w:lang w:val="en-US" w:bidi="zh-CN"/>
                    </w:rPr>
                  </w:pPr>
                  <w:r>
                    <w:rPr>
                      <w:rFonts w:hint="eastAsia" w:cs="Times New Roman"/>
                      <w:bCs/>
                      <w:color w:val="auto"/>
                      <w:sz w:val="21"/>
                      <w:highlight w:val="none"/>
                      <w:lang w:val="en-US" w:eastAsia="zh-CN"/>
                    </w:rPr>
                    <w:t>小时值</w:t>
                  </w:r>
                </w:p>
              </w:tc>
              <w:tc>
                <w:tcPr>
                  <w:tcW w:w="796" w:type="pct"/>
                  <w:tcBorders>
                    <w:tl2br w:val="nil"/>
                    <w:tr2bl w:val="nil"/>
                  </w:tcBorders>
                  <w:noWrap w:val="0"/>
                  <w:vAlign w:val="center"/>
                </w:tcPr>
                <w:p w14:paraId="4C09D457">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0.2m</w:t>
                  </w:r>
                  <w:r>
                    <w:rPr>
                      <w:rFonts w:hint="default" w:ascii="Times New Roman" w:hAnsi="Times New Roman" w:cs="Times New Roman"/>
                      <w:b w:val="0"/>
                      <w:bCs/>
                      <w:color w:val="auto"/>
                      <w:kern w:val="0"/>
                      <w:sz w:val="21"/>
                      <w:szCs w:val="21"/>
                      <w:highlight w:val="none"/>
                    </w:rPr>
                    <w:t>g/m</w:t>
                  </w:r>
                  <w:r>
                    <w:rPr>
                      <w:rFonts w:hint="default" w:ascii="Times New Roman" w:hAnsi="Times New Roman" w:cs="Times New Roman"/>
                      <w:b w:val="0"/>
                      <w:bCs/>
                      <w:color w:val="auto"/>
                      <w:kern w:val="0"/>
                      <w:sz w:val="21"/>
                      <w:szCs w:val="21"/>
                      <w:highlight w:val="none"/>
                      <w:vertAlign w:val="superscript"/>
                    </w:rPr>
                    <w:t>3</w:t>
                  </w:r>
                </w:p>
              </w:tc>
              <w:tc>
                <w:tcPr>
                  <w:tcW w:w="989" w:type="pct"/>
                  <w:tcBorders>
                    <w:tl2br w:val="nil"/>
                    <w:tr2bl w:val="nil"/>
                  </w:tcBorders>
                  <w:noWrap w:val="0"/>
                  <w:vAlign w:val="center"/>
                </w:tcPr>
                <w:p w14:paraId="5C3C09F5">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&lt;0.5×10</w:t>
                  </w:r>
                  <w:r>
                    <w:rPr>
                      <w:rFonts w:hint="eastAsia" w:cs="Times New Roman"/>
                      <w:color w:val="auto"/>
                      <w:kern w:val="0"/>
                      <w:sz w:val="21"/>
                      <w:szCs w:val="21"/>
                      <w:highlight w:val="none"/>
                      <w:vertAlign w:val="superscript"/>
                      <w:lang w:val="en-US" w:eastAsia="zh-CN"/>
                    </w:rPr>
                    <w:t>4</w:t>
                  </w:r>
                </w:p>
              </w:tc>
              <w:tc>
                <w:tcPr>
                  <w:tcW w:w="688" w:type="pct"/>
                  <w:tcBorders>
                    <w:tl2br w:val="nil"/>
                    <w:tr2bl w:val="nil"/>
                  </w:tcBorders>
                  <w:noWrap w:val="0"/>
                  <w:vAlign w:val="center"/>
                </w:tcPr>
                <w:p w14:paraId="2C2507C6">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0.0025</w:t>
                  </w:r>
                </w:p>
              </w:tc>
              <w:tc>
                <w:tcPr>
                  <w:tcW w:w="405" w:type="pct"/>
                  <w:tcBorders>
                    <w:tl2br w:val="nil"/>
                    <w:tr2bl w:val="nil"/>
                  </w:tcBorders>
                  <w:noWrap w:val="0"/>
                  <w:vAlign w:val="center"/>
                </w:tcPr>
                <w:p w14:paraId="2F3D06FA">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0</w:t>
                  </w:r>
                </w:p>
              </w:tc>
              <w:tc>
                <w:tcPr>
                  <w:tcW w:w="487" w:type="pct"/>
                  <w:tcBorders>
                    <w:tl2br w:val="nil"/>
                    <w:tr2bl w:val="nil"/>
                  </w:tcBorders>
                  <w:noWrap w:val="0"/>
                  <w:vAlign w:val="center"/>
                </w:tcPr>
                <w:p w14:paraId="7E71C05E">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达标</w:t>
                  </w:r>
                </w:p>
              </w:tc>
            </w:tr>
            <w:tr w14:paraId="65290D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510" w:type="pct"/>
                  <w:vMerge w:val="continue"/>
                  <w:tcBorders>
                    <w:tl2br w:val="nil"/>
                    <w:tr2bl w:val="nil"/>
                  </w:tcBorders>
                  <w:noWrap w:val="0"/>
                  <w:vAlign w:val="center"/>
                </w:tcPr>
                <w:p w14:paraId="0E189719">
                  <w:pPr>
                    <w:pStyle w:val="112"/>
                    <w:spacing w:line="240" w:lineRule="auto"/>
                    <w:jc w:val="center"/>
                    <w:rPr>
                      <w:rFonts w:hint="default" w:ascii="Times New Roman" w:hAnsi="Times New Roman" w:cs="Times New Roman"/>
                      <w:color w:val="auto"/>
                      <w:sz w:val="21"/>
                      <w:szCs w:val="21"/>
                      <w:highlight w:val="none"/>
                    </w:rPr>
                  </w:pPr>
                </w:p>
              </w:tc>
              <w:tc>
                <w:tcPr>
                  <w:tcW w:w="555" w:type="pct"/>
                  <w:tcBorders>
                    <w:tl2br w:val="nil"/>
                    <w:tr2bl w:val="nil"/>
                  </w:tcBorders>
                  <w:noWrap w:val="0"/>
                  <w:vAlign w:val="center"/>
                </w:tcPr>
                <w:p w14:paraId="5A59377C">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臭气浓度</w:t>
                  </w:r>
                </w:p>
              </w:tc>
              <w:tc>
                <w:tcPr>
                  <w:tcW w:w="565" w:type="pct"/>
                  <w:tcBorders>
                    <w:tl2br w:val="nil"/>
                    <w:tr2bl w:val="nil"/>
                  </w:tcBorders>
                  <w:noWrap w:val="0"/>
                  <w:vAlign w:val="center"/>
                </w:tcPr>
                <w:p w14:paraId="27898B8C">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sz w:val="21"/>
                      <w:szCs w:val="21"/>
                      <w:highlight w:val="none"/>
                      <w:lang w:val="en-US" w:bidi="zh-CN"/>
                    </w:rPr>
                  </w:pPr>
                  <w:r>
                    <w:rPr>
                      <w:rFonts w:hint="eastAsia" w:cs="Times New Roman"/>
                      <w:bCs/>
                      <w:color w:val="auto"/>
                      <w:sz w:val="21"/>
                      <w:highlight w:val="none"/>
                      <w:lang w:val="en-US" w:eastAsia="zh-CN"/>
                    </w:rPr>
                    <w:t>小时值</w:t>
                  </w:r>
                </w:p>
              </w:tc>
              <w:tc>
                <w:tcPr>
                  <w:tcW w:w="796" w:type="pct"/>
                  <w:tcBorders>
                    <w:tl2br w:val="nil"/>
                    <w:tr2bl w:val="nil"/>
                  </w:tcBorders>
                  <w:noWrap w:val="0"/>
                  <w:vAlign w:val="center"/>
                </w:tcPr>
                <w:p w14:paraId="35C24722">
                  <w:pPr>
                    <w:pStyle w:val="114"/>
                    <w:pageBreakBefore w:val="0"/>
                    <w:widowControl w:val="0"/>
                    <w:kinsoku/>
                    <w:overflowPunct/>
                    <w:topLinePunct w:val="0"/>
                    <w:bidi w:val="0"/>
                    <w:spacing w:before="46" w:after="46" w:line="240" w:lineRule="auto"/>
                    <w:textAlignment w:val="auto"/>
                    <w:outlineLvl w:val="9"/>
                    <w:rPr>
                      <w:rFonts w:hint="eastAsia" w:ascii="Times New Roman" w:hAnsi="Times New Roman" w:cs="Times New Roman"/>
                      <w:color w:val="auto"/>
                      <w:kern w:val="2"/>
                      <w:sz w:val="21"/>
                      <w:szCs w:val="21"/>
                      <w:highlight w:val="none"/>
                      <w:lang w:val="en-US" w:eastAsia="zh-CN" w:bidi="zh-CN"/>
                    </w:rPr>
                  </w:pPr>
                  <w:r>
                    <w:rPr>
                      <w:rFonts w:hint="eastAsia" w:cs="Times New Roman"/>
                      <w:bCs/>
                      <w:color w:val="auto"/>
                      <w:sz w:val="21"/>
                      <w:highlight w:val="none"/>
                      <w:lang w:val="en-US" w:eastAsia="zh-CN"/>
                    </w:rPr>
                    <w:t>/</w:t>
                  </w:r>
                </w:p>
              </w:tc>
              <w:tc>
                <w:tcPr>
                  <w:tcW w:w="989" w:type="pct"/>
                  <w:tcBorders>
                    <w:tl2br w:val="nil"/>
                    <w:tr2bl w:val="nil"/>
                  </w:tcBorders>
                  <w:noWrap w:val="0"/>
                  <w:vAlign w:val="center"/>
                </w:tcPr>
                <w:p w14:paraId="6D892ABB">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＜10</w:t>
                  </w:r>
                </w:p>
              </w:tc>
              <w:tc>
                <w:tcPr>
                  <w:tcW w:w="688" w:type="pct"/>
                  <w:tcBorders>
                    <w:tl2br w:val="nil"/>
                    <w:tr2bl w:val="nil"/>
                  </w:tcBorders>
                  <w:noWrap w:val="0"/>
                  <w:vAlign w:val="center"/>
                </w:tcPr>
                <w:p w14:paraId="78C8D963">
                  <w:pPr>
                    <w:pStyle w:val="27"/>
                    <w:pageBreakBefore w:val="0"/>
                    <w:widowControl w:val="0"/>
                    <w:kinsoku/>
                    <w:overflowPunct/>
                    <w:topLinePunct w:val="0"/>
                    <w:bidi w:val="0"/>
                    <w:spacing w:line="240" w:lineRule="auto"/>
                    <w:ind w:right="113" w:rightChars="0" w:firstLine="0" w:firstLineChars="0"/>
                    <w:jc w:val="center"/>
                    <w:textAlignment w:val="auto"/>
                    <w:outlineLvl w:val="9"/>
                    <w:rPr>
                      <w:rFonts w:hint="default" w:ascii="Times New Roman" w:hAnsi="Times New Roman" w:cs="Times New Roman"/>
                      <w:color w:val="auto"/>
                      <w:kern w:val="0"/>
                      <w:sz w:val="21"/>
                      <w:szCs w:val="21"/>
                      <w:highlight w:val="none"/>
                    </w:rPr>
                  </w:pPr>
                  <w:r>
                    <w:rPr>
                      <w:rFonts w:hint="eastAsia" w:cs="Times New Roman"/>
                      <w:color w:val="auto"/>
                      <w:kern w:val="0"/>
                      <w:sz w:val="21"/>
                      <w:szCs w:val="21"/>
                      <w:highlight w:val="none"/>
                      <w:lang w:val="en-US" w:eastAsia="zh-CN"/>
                    </w:rPr>
                    <w:t>/</w:t>
                  </w:r>
                </w:p>
              </w:tc>
              <w:tc>
                <w:tcPr>
                  <w:tcW w:w="405" w:type="pct"/>
                  <w:tcBorders>
                    <w:tl2br w:val="nil"/>
                    <w:tr2bl w:val="nil"/>
                  </w:tcBorders>
                  <w:noWrap w:val="0"/>
                  <w:vAlign w:val="center"/>
                </w:tcPr>
                <w:p w14:paraId="5C6D2D20">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c>
                <w:tcPr>
                  <w:tcW w:w="487" w:type="pct"/>
                  <w:tcBorders>
                    <w:tl2br w:val="nil"/>
                    <w:tr2bl w:val="nil"/>
                  </w:tcBorders>
                  <w:noWrap w:val="0"/>
                  <w:vAlign w:val="center"/>
                </w:tcPr>
                <w:p w14:paraId="6A6423D9">
                  <w:pPr>
                    <w:pageBreakBefore w:val="0"/>
                    <w:widowControl w:val="0"/>
                    <w:kinsoku/>
                    <w:overflowPunct/>
                    <w:topLinePunct w:val="0"/>
                    <w:bidi w:val="0"/>
                    <w:spacing w:line="240" w:lineRule="auto"/>
                    <w:jc w:val="center"/>
                    <w:textAlignment w:val="auto"/>
                    <w:outlineLvl w:val="9"/>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r>
          </w:tbl>
          <w:p w14:paraId="07ABFCBF">
            <w:pPr>
              <w:keepNext w:val="0"/>
              <w:keepLines w:val="0"/>
              <w:pageBreakBefore w:val="0"/>
              <w:widowControl w:val="0"/>
              <w:tabs>
                <w:tab w:val="left" w:pos="1472"/>
              </w:tabs>
              <w:kinsoku/>
              <w:wordWrap/>
              <w:overflowPunct/>
              <w:topLinePunct w:val="0"/>
              <w:autoSpaceDE/>
              <w:autoSpaceDN/>
              <w:bidi w:val="0"/>
              <w:adjustRightInd/>
              <w:snapToGrid/>
              <w:spacing w:line="100" w:lineRule="exact"/>
              <w:ind w:left="771"/>
              <w:jc w:val="center"/>
              <w:textAlignment w:val="auto"/>
              <w:rPr>
                <w:rFonts w:hint="default" w:ascii="Times New Roman" w:hAnsi="Times New Roman" w:cs="Times New Roman"/>
                <w:color w:val="auto"/>
                <w:szCs w:val="21"/>
                <w:highlight w:val="none"/>
              </w:rPr>
            </w:pPr>
          </w:p>
          <w:p w14:paraId="6035585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监测结果表明，项目周围区域空气中，特征污染物TSP相应浓度可达到《环境空气质量标准》（GB3095-2026）过渡阶段浓度限值二级标准要求。非甲烷总烃可达到《大气污染物综合排放标准详解》（1997）要求。二甲苯（苯系物）监测浓度可满足《环境影响评价技术导则 大气环境》(HJ2.2-2018)附录D 表D.1其它污染物空气质量浓度参考限值。</w:t>
            </w:r>
          </w:p>
          <w:p w14:paraId="66183169">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总体来说，项目</w:t>
            </w:r>
            <w:r>
              <w:rPr>
                <w:rFonts w:hint="default" w:ascii="Times New Roman" w:hAnsi="Times New Roman" w:cs="Times New Roman"/>
                <w:color w:val="auto"/>
                <w:sz w:val="24"/>
                <w:highlight w:val="none"/>
                <w:lang w:val="en-US" w:eastAsia="zh-CN"/>
              </w:rPr>
              <w:t>周边环境空气质量良好</w:t>
            </w:r>
            <w:r>
              <w:rPr>
                <w:rFonts w:hint="default" w:ascii="Times New Roman" w:hAnsi="Times New Roman" w:cs="Times New Roman"/>
                <w:color w:val="auto"/>
                <w:sz w:val="24"/>
                <w:highlight w:val="none"/>
              </w:rPr>
              <w:t>。</w:t>
            </w:r>
          </w:p>
          <w:p w14:paraId="3D8452B9">
            <w:pPr>
              <w:pStyle w:val="43"/>
              <w:spacing w:after="0" w:line="360" w:lineRule="auto"/>
              <w:ind w:left="420" w:left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lang w:val="en-US" w:eastAsia="zh-CN"/>
              </w:rPr>
              <w:t>2</w:t>
            </w:r>
            <w:r>
              <w:rPr>
                <w:rFonts w:hint="default" w:ascii="Times New Roman" w:hAnsi="Times New Roman" w:cs="Times New Roman"/>
                <w:b/>
                <w:color w:val="auto"/>
                <w:sz w:val="24"/>
                <w:highlight w:val="none"/>
              </w:rPr>
              <w:t>、地表水质量现状</w:t>
            </w:r>
          </w:p>
          <w:p w14:paraId="006F1407">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根据《乐昌市人民政府办公室关于印发乐昌市生态环境保护“十四五”规划的通知》（乐府办〔2022〕16号）中</w:t>
            </w:r>
            <w:r>
              <w:rPr>
                <w:rFonts w:hint="default" w:ascii="Times New Roman" w:hAnsi="Times New Roman" w:eastAsia="宋体" w:cs="Times New Roman"/>
                <w:color w:val="auto"/>
                <w:sz w:val="24"/>
                <w:highlight w:val="none"/>
                <w:lang w:val="en-US" w:eastAsia="zh-CN"/>
              </w:rPr>
              <w:t>的</w:t>
            </w:r>
            <w:r>
              <w:rPr>
                <w:rFonts w:hint="eastAsia" w:ascii="Times New Roman" w:hAnsi="Times New Roman" w:eastAsia="宋体" w:cs="Times New Roman"/>
                <w:color w:val="auto"/>
                <w:sz w:val="24"/>
                <w:highlight w:val="none"/>
                <w:lang w:val="en-US" w:eastAsia="zh-CN"/>
              </w:rPr>
              <w:t>地表水</w:t>
            </w:r>
            <w:r>
              <w:rPr>
                <w:rFonts w:hint="default" w:ascii="Times New Roman" w:hAnsi="Times New Roman" w:eastAsia="宋体" w:cs="Times New Roman"/>
                <w:color w:val="auto"/>
                <w:sz w:val="24"/>
                <w:highlight w:val="none"/>
              </w:rPr>
              <w:t>环境功能区划图（详见附图</w:t>
            </w:r>
            <w:r>
              <w:rPr>
                <w:rFonts w:hint="eastAsia" w:ascii="Times New Roman" w:hAnsi="Times New Roman" w:eastAsia="宋体" w:cs="Times New Roman"/>
                <w:color w:val="auto"/>
                <w:sz w:val="24"/>
                <w:highlight w:val="none"/>
                <w:lang w:val="en-US" w:eastAsia="zh-CN"/>
              </w:rPr>
              <w:t>8</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及</w:t>
            </w:r>
            <w:r>
              <w:rPr>
                <w:rFonts w:hint="default" w:ascii="Times New Roman" w:hAnsi="Times New Roman" w:eastAsia="宋体" w:cs="Times New Roman"/>
                <w:color w:val="auto"/>
                <w:sz w:val="24"/>
                <w:highlight w:val="none"/>
              </w:rPr>
              <w:t>《广东省地表水环境功能区划》（粤环</w:t>
            </w:r>
            <w:r>
              <w:rPr>
                <w:rFonts w:hint="eastAsia" w:ascii="Times New Roman" w:hAnsi="Times New Roman" w:eastAsia="宋体" w:cs="Times New Roman"/>
                <w:color w:val="auto"/>
                <w:sz w:val="24"/>
                <w:highlight w:val="none"/>
                <w:lang w:eastAsia="zh-CN"/>
              </w:rPr>
              <w:t>〔2011〕14号</w:t>
            </w:r>
            <w:r>
              <w:rPr>
                <w:rFonts w:hint="default" w:ascii="Times New Roman" w:hAnsi="Times New Roman" w:eastAsia="宋体" w:cs="Times New Roman"/>
                <w:color w:val="auto"/>
                <w:sz w:val="24"/>
                <w:highlight w:val="none"/>
              </w:rPr>
              <w:t>），本项目所在区域主要地表水及纳污水体为武江（乐昌城-犁市），为</w:t>
            </w:r>
            <w:r>
              <w:rPr>
                <w:rFonts w:hint="eastAsia" w:ascii="Times New Roman" w:hAnsi="Times New Roman" w:eastAsia="宋体" w:cs="Times New Roman"/>
                <w:color w:val="auto"/>
                <w:sz w:val="24"/>
                <w:highlight w:val="none"/>
                <w:lang w:eastAsia="zh-CN"/>
              </w:rPr>
              <w:t>Ⅲ</w:t>
            </w:r>
            <w:r>
              <w:rPr>
                <w:rFonts w:hint="default" w:ascii="Times New Roman" w:hAnsi="Times New Roman" w:eastAsia="宋体" w:cs="Times New Roman"/>
                <w:color w:val="auto"/>
                <w:sz w:val="24"/>
                <w:highlight w:val="none"/>
              </w:rPr>
              <w:t>类水质功能区，执行《地表水环境质量标准》（GB3838-2002）中的</w:t>
            </w:r>
            <w:r>
              <w:rPr>
                <w:rFonts w:hint="eastAsia" w:ascii="Times New Roman" w:hAnsi="Times New Roman" w:eastAsia="宋体" w:cs="Times New Roman"/>
                <w:color w:val="auto"/>
                <w:sz w:val="24"/>
                <w:highlight w:val="none"/>
                <w:lang w:eastAsia="zh-CN"/>
              </w:rPr>
              <w:t>Ⅲ</w:t>
            </w:r>
            <w:r>
              <w:rPr>
                <w:rFonts w:hint="default" w:ascii="Times New Roman" w:hAnsi="Times New Roman" w:eastAsia="宋体" w:cs="Times New Roman"/>
                <w:color w:val="auto"/>
                <w:sz w:val="24"/>
                <w:highlight w:val="none"/>
              </w:rPr>
              <w:t>类标准。</w:t>
            </w:r>
          </w:p>
          <w:p w14:paraId="0B9A0C4F">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根据《202</w:t>
            </w:r>
            <w:r>
              <w:rPr>
                <w:rFonts w:hint="eastAsia"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年韶关市生态环境状况公报》，2024年，韶关市11条主要江河（北江、武江、浈江、南水河、墨江、锦江、马坝河、滃江、新丰江、横石水和大潭河）34个市考以上手工监测断面水质优良率为100%，与2023年持平，其中Ⅰ类比例为2.9%、Ⅱ类比例为88.2%、Ⅲ类比例为8.8%。故项目所在地地表水环境质量现状良好。</w:t>
            </w:r>
          </w:p>
          <w:p w14:paraId="2EF2056B">
            <w:pPr>
              <w:spacing w:line="360" w:lineRule="auto"/>
              <w:ind w:firstLine="480" w:firstLineChars="200"/>
              <w:rPr>
                <w:rFonts w:hint="default" w:ascii="Times New Roman" w:hAnsi="Times New Roman" w:eastAsia="宋体" w:cs="Times New Roman"/>
                <w:b/>
                <w:bCs w:val="0"/>
                <w:color w:val="auto"/>
                <w:kern w:val="2"/>
                <w:sz w:val="21"/>
                <w:szCs w:val="21"/>
                <w:highlight w:val="none"/>
                <w:lang w:val="en-US" w:eastAsia="zh-CN" w:bidi="ar-SA"/>
              </w:rPr>
            </w:pPr>
            <w:r>
              <w:rPr>
                <w:rFonts w:hint="eastAsia" w:ascii="Times New Roman" w:hAnsi="Times New Roman" w:eastAsia="宋体" w:cs="Times New Roman"/>
                <w:color w:val="auto"/>
                <w:sz w:val="24"/>
                <w:highlight w:val="none"/>
                <w:lang w:val="en-US" w:eastAsia="zh-CN"/>
              </w:rPr>
              <w:t>为了进一步了解项目纳污水体武江中钛的污染状况，引用广东省韶关生态环境监测中心站于2024年11月18日对张滩闸坝上游780米处监测断面进行的地表水环境质量现状监测数据（报告编号：（韶）环境监测（水）字（2024）第095号）来评价钛的污染现状。监测报告详见附件7。</w:t>
            </w:r>
          </w:p>
          <w:p w14:paraId="3DB65E29">
            <w:pPr>
              <w:numPr>
                <w:ilvl w:val="0"/>
                <w:numId w:val="14"/>
              </w:numPr>
              <w:spacing w:line="240" w:lineRule="auto"/>
              <w:ind w:left="0" w:leftChars="0" w:firstLine="40" w:firstLineChars="0"/>
              <w:jc w:val="center"/>
              <w:rPr>
                <w:rFonts w:hint="default" w:ascii="Times New Roman" w:hAnsi="Times New Roman" w:eastAsia="宋体" w:cs="Times New Roman"/>
                <w:b/>
                <w:bCs w:val="0"/>
                <w:color w:val="auto"/>
                <w:kern w:val="2"/>
                <w:sz w:val="21"/>
                <w:szCs w:val="21"/>
                <w:highlight w:val="none"/>
                <w:lang w:val="en-US" w:eastAsia="zh-CN" w:bidi="ar-SA"/>
              </w:rPr>
            </w:pPr>
            <w:r>
              <w:rPr>
                <w:rFonts w:hint="default" w:ascii="Times New Roman" w:hAnsi="Times New Roman" w:eastAsia="宋体" w:cs="Times New Roman"/>
                <w:b/>
                <w:bCs w:val="0"/>
                <w:color w:val="auto"/>
                <w:kern w:val="2"/>
                <w:sz w:val="21"/>
                <w:szCs w:val="21"/>
                <w:highlight w:val="none"/>
                <w:lang w:val="en-US" w:eastAsia="zh-CN" w:bidi="ar-SA"/>
              </w:rPr>
              <w:t xml:space="preserve"> </w:t>
            </w:r>
            <w:r>
              <w:rPr>
                <w:rFonts w:hint="eastAsia" w:ascii="Times New Roman" w:hAnsi="Times New Roman" w:eastAsia="宋体" w:cs="Times New Roman"/>
                <w:b/>
                <w:bCs w:val="0"/>
                <w:color w:val="auto"/>
                <w:kern w:val="2"/>
                <w:sz w:val="21"/>
                <w:szCs w:val="21"/>
                <w:highlight w:val="none"/>
                <w:lang w:val="en-US" w:eastAsia="zh-CN" w:bidi="ar-SA"/>
              </w:rPr>
              <w:t xml:space="preserve"> </w:t>
            </w:r>
            <w:r>
              <w:rPr>
                <w:rFonts w:hint="default" w:ascii="Times New Roman" w:hAnsi="Times New Roman" w:eastAsia="宋体" w:cs="Times New Roman"/>
                <w:b/>
                <w:bCs w:val="0"/>
                <w:color w:val="auto"/>
                <w:kern w:val="2"/>
                <w:sz w:val="21"/>
                <w:szCs w:val="21"/>
                <w:highlight w:val="none"/>
                <w:lang w:val="en-US" w:eastAsia="zh-CN" w:bidi="ar-SA"/>
              </w:rPr>
              <w:t>武江中钛的监测结果及统计分析一览表</w:t>
            </w:r>
          </w:p>
          <w:tbl>
            <w:tblPr>
              <w:tblStyle w:val="4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751"/>
              <w:gridCol w:w="989"/>
              <w:gridCol w:w="1354"/>
              <w:gridCol w:w="989"/>
              <w:gridCol w:w="1257"/>
              <w:gridCol w:w="1214"/>
              <w:gridCol w:w="1234"/>
            </w:tblGrid>
            <w:tr w14:paraId="41F7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vMerge w:val="restart"/>
                  <w:noWrap w:val="0"/>
                  <w:vAlign w:val="center"/>
                </w:tcPr>
                <w:p w14:paraId="6BD60E47">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序号</w:t>
                  </w:r>
                </w:p>
              </w:tc>
              <w:tc>
                <w:tcPr>
                  <w:tcW w:w="451" w:type="pct"/>
                  <w:vMerge w:val="restart"/>
                  <w:noWrap w:val="0"/>
                  <w:vAlign w:val="center"/>
                </w:tcPr>
                <w:p w14:paraId="45093043">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河流名称</w:t>
                  </w:r>
                </w:p>
              </w:tc>
              <w:tc>
                <w:tcPr>
                  <w:tcW w:w="594" w:type="pct"/>
                  <w:vMerge w:val="restart"/>
                  <w:noWrap w:val="0"/>
                  <w:vAlign w:val="center"/>
                </w:tcPr>
                <w:p w14:paraId="141B31D0">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所在</w:t>
                  </w:r>
                </w:p>
                <w:p w14:paraId="54C5FE34">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县区</w:t>
                  </w:r>
                </w:p>
              </w:tc>
              <w:tc>
                <w:tcPr>
                  <w:tcW w:w="813" w:type="pct"/>
                  <w:vMerge w:val="restart"/>
                  <w:noWrap w:val="0"/>
                  <w:vAlign w:val="center"/>
                </w:tcPr>
                <w:p w14:paraId="636CCAD2">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kern w:val="2"/>
                      <w:sz w:val="21"/>
                      <w:szCs w:val="21"/>
                      <w:highlight w:val="none"/>
                      <w:lang w:val="en-US" w:eastAsia="zh-CN" w:bidi="ar-SA"/>
                    </w:rPr>
                    <w:t>监测断面</w:t>
                  </w:r>
                </w:p>
              </w:tc>
              <w:tc>
                <w:tcPr>
                  <w:tcW w:w="594" w:type="pct"/>
                  <w:vMerge w:val="restart"/>
                  <w:noWrap w:val="0"/>
                  <w:vAlign w:val="center"/>
                </w:tcPr>
                <w:p w14:paraId="5DD0E73D">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eastAsia="宋体" w:cs="Times New Roman"/>
                      <w:b/>
                      <w:color w:val="auto"/>
                      <w:kern w:val="2"/>
                      <w:sz w:val="21"/>
                      <w:szCs w:val="21"/>
                      <w:highlight w:val="none"/>
                      <w:lang w:val="en-US" w:eastAsia="zh-CN" w:bidi="ar-SA"/>
                    </w:rPr>
                    <w:t>监测因子</w:t>
                  </w:r>
                </w:p>
              </w:tc>
              <w:tc>
                <w:tcPr>
                  <w:tcW w:w="755" w:type="pct"/>
                  <w:vMerge w:val="restart"/>
                  <w:noWrap w:val="0"/>
                  <w:vAlign w:val="center"/>
                </w:tcPr>
                <w:p w14:paraId="61383F08">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eastAsia="宋体" w:cs="Times New Roman"/>
                      <w:b/>
                      <w:color w:val="auto"/>
                      <w:kern w:val="2"/>
                      <w:sz w:val="21"/>
                      <w:szCs w:val="21"/>
                      <w:highlight w:val="none"/>
                      <w:lang w:val="en-US" w:eastAsia="zh-CN" w:bidi="ar-SA"/>
                    </w:rPr>
                    <w:t>监测结果(mg/L)</w:t>
                  </w:r>
                </w:p>
              </w:tc>
              <w:tc>
                <w:tcPr>
                  <w:tcW w:w="729" w:type="pct"/>
                  <w:vMerge w:val="restart"/>
                  <w:noWrap w:val="0"/>
                  <w:vAlign w:val="center"/>
                </w:tcPr>
                <w:p w14:paraId="08743C55">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eastAsia="宋体" w:cs="Times New Roman"/>
                      <w:b/>
                      <w:color w:val="auto"/>
                      <w:kern w:val="2"/>
                      <w:sz w:val="21"/>
                      <w:szCs w:val="21"/>
                      <w:highlight w:val="none"/>
                      <w:lang w:val="en-US" w:eastAsia="zh-CN" w:bidi="ar-SA"/>
                    </w:rPr>
                    <w:t>标准限值</w:t>
                  </w:r>
                  <w:r>
                    <w:rPr>
                      <w:rFonts w:hint="default" w:ascii="Times New Roman" w:hAnsi="Times New Roman" w:eastAsia="宋体" w:cs="Times New Roman"/>
                      <w:b/>
                      <w:color w:val="auto"/>
                      <w:kern w:val="2"/>
                      <w:sz w:val="21"/>
                      <w:szCs w:val="21"/>
                      <w:highlight w:val="none"/>
                      <w:lang w:val="en-US" w:eastAsia="zh-CN" w:bidi="ar-SA"/>
                    </w:rPr>
                    <w:t>(mg/L)</w:t>
                  </w:r>
                </w:p>
              </w:tc>
              <w:tc>
                <w:tcPr>
                  <w:tcW w:w="737" w:type="pct"/>
                  <w:vMerge w:val="restart"/>
                  <w:noWrap w:val="0"/>
                  <w:vAlign w:val="center"/>
                </w:tcPr>
                <w:p w14:paraId="14F99E0F">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eastAsia="宋体" w:cs="Times New Roman"/>
                      <w:b/>
                      <w:color w:val="auto"/>
                      <w:kern w:val="2"/>
                      <w:sz w:val="21"/>
                      <w:szCs w:val="21"/>
                      <w:highlight w:val="none"/>
                      <w:lang w:val="en-US" w:eastAsia="zh-CN" w:bidi="ar-SA"/>
                    </w:rPr>
                    <w:t>达标情况</w:t>
                  </w:r>
                </w:p>
              </w:tc>
            </w:tr>
            <w:tr w14:paraId="1D08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23" w:type="pct"/>
                  <w:vMerge w:val="continue"/>
                  <w:noWrap w:val="0"/>
                  <w:vAlign w:val="center"/>
                </w:tcPr>
                <w:p w14:paraId="0EAF9BDD">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451" w:type="pct"/>
                  <w:vMerge w:val="continue"/>
                  <w:noWrap w:val="0"/>
                  <w:vAlign w:val="center"/>
                </w:tcPr>
                <w:p w14:paraId="6051FC9F">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594" w:type="pct"/>
                  <w:vMerge w:val="continue"/>
                  <w:noWrap w:val="0"/>
                  <w:vAlign w:val="center"/>
                </w:tcPr>
                <w:p w14:paraId="63D78E4F">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813" w:type="pct"/>
                  <w:vMerge w:val="continue"/>
                  <w:noWrap w:val="0"/>
                  <w:vAlign w:val="center"/>
                </w:tcPr>
                <w:p w14:paraId="442864D4">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594" w:type="pct"/>
                  <w:vMerge w:val="continue"/>
                  <w:noWrap w:val="0"/>
                  <w:vAlign w:val="center"/>
                </w:tcPr>
                <w:p w14:paraId="69F6122D">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755" w:type="pct"/>
                  <w:vMerge w:val="continue"/>
                  <w:noWrap w:val="0"/>
                  <w:vAlign w:val="center"/>
                </w:tcPr>
                <w:p w14:paraId="3EA6F0D7">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729" w:type="pct"/>
                  <w:vMerge w:val="continue"/>
                  <w:noWrap w:val="0"/>
                  <w:vAlign w:val="center"/>
                </w:tcPr>
                <w:p w14:paraId="2E70FE5A">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c>
                <w:tcPr>
                  <w:tcW w:w="737" w:type="pct"/>
                  <w:vMerge w:val="continue"/>
                  <w:noWrap w:val="0"/>
                  <w:vAlign w:val="center"/>
                </w:tcPr>
                <w:p w14:paraId="3ABC69CF">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color w:val="auto"/>
                      <w:kern w:val="2"/>
                      <w:sz w:val="21"/>
                      <w:szCs w:val="21"/>
                      <w:highlight w:val="none"/>
                      <w:lang w:val="en-US" w:eastAsia="zh-CN" w:bidi="ar-SA"/>
                    </w:rPr>
                  </w:pPr>
                </w:p>
              </w:tc>
            </w:tr>
            <w:tr w14:paraId="22A2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23" w:type="pct"/>
                  <w:noWrap w:val="0"/>
                  <w:vAlign w:val="center"/>
                </w:tcPr>
                <w:p w14:paraId="0C28DB89">
                  <w:pPr>
                    <w:keepNext w:val="0"/>
                    <w:keepLines w:val="0"/>
                    <w:widowControl w:val="0"/>
                    <w:suppressLineNumbers w:val="0"/>
                    <w:wordWrap/>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1</w:t>
                  </w:r>
                </w:p>
              </w:tc>
              <w:tc>
                <w:tcPr>
                  <w:tcW w:w="451" w:type="pct"/>
                  <w:noWrap w:val="0"/>
                  <w:vAlign w:val="center"/>
                </w:tcPr>
                <w:p w14:paraId="6F74DC4B">
                  <w:pPr>
                    <w:keepNext w:val="0"/>
                    <w:keepLines w:val="0"/>
                    <w:widowControl w:val="0"/>
                    <w:suppressLineNumbers w:val="0"/>
                    <w:adjustRightInd w:val="0"/>
                    <w:snapToGrid w:val="0"/>
                    <w:spacing w:before="46" w:beforeLines="15" w:beforeAutospacing="0" w:after="46" w:afterAutospacing="0" w:line="240" w:lineRule="auto"/>
                    <w:ind w:left="0" w:right="0"/>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武江</w:t>
                  </w:r>
                </w:p>
              </w:tc>
              <w:tc>
                <w:tcPr>
                  <w:tcW w:w="594" w:type="pct"/>
                  <w:noWrap w:val="0"/>
                  <w:vAlign w:val="center"/>
                </w:tcPr>
                <w:p w14:paraId="47E6C0F3">
                  <w:pPr>
                    <w:keepNext w:val="0"/>
                    <w:keepLines w:val="0"/>
                    <w:widowControl w:val="0"/>
                    <w:suppressLineNumbers w:val="0"/>
                    <w:adjustRightInd w:val="0"/>
                    <w:snapToGrid w:val="0"/>
                    <w:spacing w:before="46" w:beforeLines="15" w:beforeAutospacing="0" w:after="46" w:afterAutospacing="0" w:line="240" w:lineRule="auto"/>
                    <w:ind w:left="0" w:right="0"/>
                    <w:jc w:val="center"/>
                    <w:rPr>
                      <w:rFonts w:hint="default" w:ascii="Times New Roman" w:hAnsi="Times New Roman" w:eastAsia="宋体" w:cs="Times New Roman"/>
                      <w:bCs/>
                      <w:color w:val="auto"/>
                      <w:kern w:val="0"/>
                      <w:sz w:val="21"/>
                      <w:szCs w:val="21"/>
                      <w:highlight w:val="none"/>
                      <w:lang w:val="en-US" w:eastAsia="zh-CN" w:bidi="ar-SA"/>
                    </w:rPr>
                  </w:pPr>
                  <w:r>
                    <w:rPr>
                      <w:rFonts w:hint="eastAsia" w:ascii="Times New Roman" w:hAnsi="Times New Roman" w:eastAsia="宋体" w:cs="Times New Roman"/>
                      <w:bCs/>
                      <w:color w:val="auto"/>
                      <w:kern w:val="0"/>
                      <w:sz w:val="21"/>
                      <w:szCs w:val="21"/>
                      <w:highlight w:val="none"/>
                      <w:lang w:val="en-US" w:eastAsia="zh-CN" w:bidi="ar-SA"/>
                    </w:rPr>
                    <w:t>乐昌市</w:t>
                  </w:r>
                </w:p>
              </w:tc>
              <w:tc>
                <w:tcPr>
                  <w:tcW w:w="813" w:type="pct"/>
                  <w:noWrap w:val="0"/>
                  <w:vAlign w:val="center"/>
                </w:tcPr>
                <w:p w14:paraId="3204F728">
                  <w:pPr>
                    <w:keepNext w:val="0"/>
                    <w:keepLines w:val="0"/>
                    <w:widowControl w:val="0"/>
                    <w:suppressLineNumbers w:val="0"/>
                    <w:adjustRightInd w:val="0"/>
                    <w:snapToGrid w:val="0"/>
                    <w:spacing w:before="46" w:beforeLines="15" w:beforeAutospacing="0" w:after="46" w:afterAutospacing="0" w:line="240" w:lineRule="auto"/>
                    <w:ind w:left="0" w:right="0"/>
                    <w:jc w:val="center"/>
                    <w:rPr>
                      <w:rFonts w:hint="default" w:ascii="Times New Roman" w:hAnsi="Times New Roman" w:eastAsia="宋体" w:cs="Times New Roman"/>
                      <w:bCs/>
                      <w:color w:val="auto"/>
                      <w:kern w:val="0"/>
                      <w:sz w:val="21"/>
                      <w:szCs w:val="21"/>
                      <w:highlight w:val="none"/>
                      <w:lang w:val="en-US" w:eastAsia="zh-CN" w:bidi="ar-SA"/>
                    </w:rPr>
                  </w:pPr>
                  <w:r>
                    <w:rPr>
                      <w:rFonts w:hint="default" w:ascii="Times New Roman" w:hAnsi="Times New Roman" w:eastAsia="宋体" w:cs="Times New Roman"/>
                      <w:bCs/>
                      <w:color w:val="auto"/>
                      <w:kern w:val="0"/>
                      <w:sz w:val="21"/>
                      <w:szCs w:val="21"/>
                      <w:highlight w:val="none"/>
                      <w:lang w:val="en-US" w:eastAsia="zh-CN" w:bidi="ar-SA"/>
                    </w:rPr>
                    <w:t>张滩闸坝上游780米处</w:t>
                  </w:r>
                </w:p>
              </w:tc>
              <w:tc>
                <w:tcPr>
                  <w:tcW w:w="594" w:type="pct"/>
                  <w:noWrap w:val="0"/>
                  <w:vAlign w:val="center"/>
                </w:tcPr>
                <w:p w14:paraId="266E056A">
                  <w:pPr>
                    <w:keepNext w:val="0"/>
                    <w:keepLines w:val="0"/>
                    <w:widowControl w:val="0"/>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钛</w:t>
                  </w:r>
                </w:p>
              </w:tc>
              <w:tc>
                <w:tcPr>
                  <w:tcW w:w="755" w:type="pct"/>
                  <w:noWrap w:val="0"/>
                  <w:vAlign w:val="center"/>
                </w:tcPr>
                <w:p w14:paraId="2DD68D91">
                  <w:pPr>
                    <w:keepNext w:val="0"/>
                    <w:keepLines w:val="0"/>
                    <w:widowControl w:val="0"/>
                    <w:suppressLineNumbers w:val="0"/>
                    <w:wordWrap/>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ND</w:t>
                  </w:r>
                </w:p>
              </w:tc>
              <w:tc>
                <w:tcPr>
                  <w:tcW w:w="729" w:type="pct"/>
                  <w:noWrap w:val="0"/>
                  <w:vAlign w:val="center"/>
                </w:tcPr>
                <w:p w14:paraId="72E327B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Cs/>
                      <w:color w:val="auto"/>
                      <w:kern w:val="0"/>
                      <w:sz w:val="21"/>
                      <w:szCs w:val="21"/>
                      <w:highlight w:val="none"/>
                      <w:lang w:val="en-US" w:eastAsia="zh-CN"/>
                    </w:rPr>
                  </w:pPr>
                  <w:r>
                    <w:rPr>
                      <w:rFonts w:hint="eastAsia" w:ascii="Times New Roman" w:hAnsi="Times New Roman" w:eastAsia="宋体" w:cs="Times New Roman"/>
                      <w:bCs/>
                      <w:color w:val="auto"/>
                      <w:kern w:val="0"/>
                      <w:sz w:val="21"/>
                      <w:szCs w:val="21"/>
                      <w:highlight w:val="none"/>
                      <w:lang w:val="en-US" w:eastAsia="zh-CN"/>
                    </w:rPr>
                    <w:t>0.1</w:t>
                  </w:r>
                </w:p>
              </w:tc>
              <w:tc>
                <w:tcPr>
                  <w:tcW w:w="737" w:type="pct"/>
                  <w:noWrap w:val="0"/>
                  <w:vAlign w:val="center"/>
                </w:tcPr>
                <w:p w14:paraId="0EAE39BB">
                  <w:pPr>
                    <w:keepNext w:val="0"/>
                    <w:keepLines w:val="0"/>
                    <w:widowControl w:val="0"/>
                    <w:suppressLineNumbers w:val="0"/>
                    <w:wordWrap/>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达标</w:t>
                  </w:r>
                </w:p>
              </w:tc>
            </w:tr>
            <w:tr w14:paraId="393B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8"/>
                  <w:noWrap w:val="0"/>
                  <w:vAlign w:val="center"/>
                </w:tcPr>
                <w:p w14:paraId="65661949">
                  <w:pPr>
                    <w:keepNext w:val="0"/>
                    <w:keepLines w:val="0"/>
                    <w:widowControl w:val="0"/>
                    <w:suppressLineNumbers w:val="0"/>
                    <w:wordWrap/>
                    <w:spacing w:before="0" w:beforeAutospacing="0" w:after="0" w:afterAutospacing="0" w:line="240" w:lineRule="auto"/>
                    <w:ind w:left="0" w:leftChars="0" w:right="0" w:rightChars="0" w:firstLine="0" w:firstLineChars="0"/>
                    <w:jc w:val="left"/>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注：ND为低于检出限</w:t>
                  </w:r>
                </w:p>
              </w:tc>
            </w:tr>
          </w:tbl>
          <w:p w14:paraId="7C9168B1">
            <w:pPr>
              <w:keepNext w:val="0"/>
              <w:keepLines w:val="0"/>
              <w:pageBreakBefore w:val="0"/>
              <w:widowControl w:val="0"/>
              <w:tabs>
                <w:tab w:val="left" w:pos="1472"/>
              </w:tabs>
              <w:kinsoku/>
              <w:wordWrap/>
              <w:overflowPunct/>
              <w:topLinePunct w:val="0"/>
              <w:autoSpaceDE/>
              <w:autoSpaceDN/>
              <w:bidi w:val="0"/>
              <w:adjustRightInd/>
              <w:snapToGrid/>
              <w:spacing w:line="100" w:lineRule="exact"/>
              <w:ind w:left="771"/>
              <w:jc w:val="center"/>
              <w:textAlignment w:val="auto"/>
              <w:rPr>
                <w:rFonts w:hint="default" w:ascii="Times New Roman" w:hAnsi="Times New Roman" w:cs="Times New Roman"/>
                <w:color w:val="auto"/>
                <w:szCs w:val="21"/>
                <w:highlight w:val="none"/>
              </w:rPr>
            </w:pPr>
          </w:p>
          <w:p w14:paraId="3340EB94">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highlight w:val="none"/>
                <w:lang w:val="en-US" w:eastAsia="zh-CN"/>
              </w:rPr>
              <w:t>根据监测结果显示，武江张滩闸坝上游780米处监测断面</w:t>
            </w:r>
            <w:r>
              <w:rPr>
                <w:rFonts w:hint="eastAsia" w:ascii="Times New Roman" w:hAnsi="Times New Roman" w:eastAsia="宋体" w:cs="Times New Roman"/>
                <w:color w:val="auto"/>
                <w:sz w:val="24"/>
                <w:highlight w:val="none"/>
                <w:lang w:val="en-US" w:eastAsia="zh-CN"/>
              </w:rPr>
              <w:t>中钛的监测结果为低于检出限，浓度</w:t>
            </w:r>
            <w:r>
              <w:rPr>
                <w:rFonts w:hint="default" w:ascii="Times New Roman" w:hAnsi="Times New Roman" w:eastAsia="宋体" w:cs="Times New Roman"/>
                <w:color w:val="auto"/>
                <w:sz w:val="24"/>
                <w:highlight w:val="none"/>
                <w:lang w:val="en-US" w:eastAsia="zh-CN"/>
              </w:rPr>
              <w:t>满足《地表水环境质量标准》(GB3838-2002)表3集中式生活饮用水地表水源地特定项目标准限值，表明项目附近地表水体武江水环境</w:t>
            </w:r>
            <w:r>
              <w:rPr>
                <w:rFonts w:hint="eastAsia" w:ascii="Times New Roman" w:hAnsi="Times New Roman" w:eastAsia="宋体" w:cs="Times New Roman"/>
                <w:color w:val="auto"/>
                <w:sz w:val="24"/>
                <w:highlight w:val="none"/>
                <w:lang w:val="en-US" w:eastAsia="zh-CN"/>
              </w:rPr>
              <w:t>中钛的浓度较低，</w:t>
            </w:r>
            <w:r>
              <w:rPr>
                <w:rFonts w:hint="default" w:ascii="Times New Roman" w:hAnsi="Times New Roman" w:eastAsia="宋体" w:cs="Times New Roman"/>
                <w:color w:val="auto"/>
                <w:sz w:val="24"/>
                <w:highlight w:val="none"/>
                <w:lang w:val="en-US" w:eastAsia="zh-CN"/>
              </w:rPr>
              <w:t>水环境质量现状良好。</w:t>
            </w:r>
          </w:p>
          <w:p w14:paraId="6D559E89">
            <w:pPr>
              <w:pStyle w:val="43"/>
              <w:spacing w:after="0" w:line="360" w:lineRule="auto"/>
              <w:ind w:firstLine="48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3、声环境质量现状</w:t>
            </w:r>
          </w:p>
          <w:p w14:paraId="7641BCA1">
            <w:pPr>
              <w:pStyle w:val="25"/>
              <w:spacing w:line="360" w:lineRule="auto"/>
              <w:ind w:firstLine="480" w:firstLineChars="200"/>
              <w:rPr>
                <w:rFonts w:hint="default" w:ascii="Times New Roman" w:hAnsi="Times New Roman" w:cs="Times New Roman"/>
                <w:color w:val="auto"/>
                <w:szCs w:val="24"/>
                <w:highlight w:val="none"/>
              </w:rPr>
            </w:pPr>
            <w:r>
              <w:rPr>
                <w:rFonts w:hint="default" w:ascii="Times New Roman" w:hAnsi="Times New Roman" w:eastAsia="宋体" w:cs="Times New Roman"/>
                <w:color w:val="auto"/>
                <w:sz w:val="24"/>
                <w:szCs w:val="24"/>
                <w:highlight w:val="none"/>
                <w:lang w:val="en-US" w:eastAsia="zh-CN"/>
              </w:rPr>
              <w:t>根据</w:t>
            </w:r>
            <w:r>
              <w:rPr>
                <w:rFonts w:hint="eastAsia" w:cs="Times New Roman"/>
                <w:color w:val="auto"/>
                <w:sz w:val="24"/>
                <w:szCs w:val="24"/>
                <w:highlight w:val="none"/>
                <w:lang w:val="en-US" w:eastAsia="zh-CN"/>
              </w:rPr>
              <w:t>声功能区划图</w:t>
            </w:r>
            <w:r>
              <w:rPr>
                <w:rFonts w:hint="default" w:ascii="Times New Roman" w:hAnsi="Times New Roman" w:eastAsia="宋体" w:cs="Times New Roman"/>
                <w:color w:val="auto"/>
                <w:sz w:val="24"/>
                <w:szCs w:val="24"/>
                <w:highlight w:val="none"/>
                <w:lang w:val="en-US" w:eastAsia="zh-CN"/>
              </w:rPr>
              <w:t>（见附图</w:t>
            </w:r>
            <w:r>
              <w:rPr>
                <w:rFonts w:hint="eastAsia" w:ascii="Times New Roman" w:hAnsi="Times New Roman" w:eastAsia="宋体" w:cs="Times New Roman"/>
                <w:color w:val="auto"/>
                <w:sz w:val="24"/>
                <w:szCs w:val="24"/>
                <w:highlight w:val="none"/>
                <w:lang w:val="en-US" w:eastAsia="zh-CN"/>
              </w:rPr>
              <w:t>9</w:t>
            </w:r>
            <w:r>
              <w:rPr>
                <w:rFonts w:hint="default" w:ascii="Times New Roman" w:hAnsi="Times New Roman" w:eastAsia="宋体" w:cs="Times New Roman"/>
                <w:color w:val="auto"/>
                <w:sz w:val="24"/>
                <w:szCs w:val="24"/>
                <w:highlight w:val="none"/>
                <w:lang w:val="en-US" w:eastAsia="zh-CN"/>
              </w:rPr>
              <w:t>），本项目所在</w:t>
            </w:r>
            <w:r>
              <w:rPr>
                <w:rFonts w:hint="eastAsia" w:ascii="Times New Roman" w:hAnsi="Times New Roman" w:eastAsia="宋体" w:cs="Times New Roman"/>
                <w:color w:val="auto"/>
                <w:sz w:val="24"/>
                <w:szCs w:val="24"/>
                <w:highlight w:val="none"/>
                <w:lang w:val="en-US" w:eastAsia="zh-CN"/>
              </w:rPr>
              <w:t>区域</w:t>
            </w:r>
            <w:r>
              <w:rPr>
                <w:rFonts w:hint="default" w:ascii="Times New Roman" w:hAnsi="Times New Roman" w:cs="Times New Roman"/>
                <w:color w:val="auto"/>
                <w:szCs w:val="24"/>
                <w:highlight w:val="none"/>
              </w:rPr>
              <w:t>属</w:t>
            </w:r>
            <w:r>
              <w:rPr>
                <w:rFonts w:hint="eastAsia" w:ascii="Times New Roman" w:hAnsi="Times New Roman" w:cs="Times New Roman"/>
                <w:color w:val="auto"/>
                <w:szCs w:val="24"/>
                <w:highlight w:val="none"/>
                <w:lang w:val="en-US" w:eastAsia="zh-CN"/>
              </w:rPr>
              <w:t>3</w:t>
            </w:r>
            <w:r>
              <w:rPr>
                <w:rFonts w:hint="default" w:ascii="Times New Roman" w:hAnsi="Times New Roman" w:cs="Times New Roman"/>
                <w:color w:val="auto"/>
                <w:szCs w:val="24"/>
                <w:highlight w:val="none"/>
              </w:rPr>
              <w:t>类</w:t>
            </w:r>
            <w:r>
              <w:rPr>
                <w:rFonts w:hint="eastAsia" w:ascii="Times New Roman" w:hAnsi="Times New Roman" w:cs="Times New Roman"/>
                <w:color w:val="auto"/>
                <w:szCs w:val="24"/>
                <w:highlight w:val="none"/>
                <w:lang w:val="en-US" w:eastAsia="zh-CN"/>
              </w:rPr>
              <w:t>、4a类</w:t>
            </w:r>
            <w:r>
              <w:rPr>
                <w:rFonts w:hint="default" w:ascii="Times New Roman" w:hAnsi="Times New Roman" w:cs="Times New Roman"/>
                <w:color w:val="auto"/>
                <w:szCs w:val="24"/>
                <w:highlight w:val="none"/>
              </w:rPr>
              <w:t>声环境功能区，</w:t>
            </w:r>
            <w:r>
              <w:rPr>
                <w:rFonts w:hint="eastAsia" w:cs="Times New Roman"/>
                <w:color w:val="auto"/>
                <w:szCs w:val="24"/>
                <w:highlight w:val="none"/>
                <w:lang w:val="en-US" w:eastAsia="zh-CN"/>
              </w:rPr>
              <w:t>项目东面、南</w:t>
            </w:r>
            <w:r>
              <w:rPr>
                <w:rFonts w:hint="eastAsia" w:ascii="Times New Roman" w:hAnsi="Times New Roman" w:cs="Times New Roman"/>
                <w:color w:val="auto"/>
                <w:szCs w:val="24"/>
                <w:highlight w:val="none"/>
                <w:lang w:val="en-US" w:eastAsia="zh-CN"/>
              </w:rPr>
              <w:t>面</w:t>
            </w:r>
            <w:r>
              <w:rPr>
                <w:rFonts w:hint="eastAsia" w:cs="Times New Roman"/>
                <w:color w:val="auto"/>
                <w:szCs w:val="24"/>
                <w:highlight w:val="none"/>
                <w:lang w:val="en-US" w:eastAsia="zh-CN"/>
              </w:rPr>
              <w:t>红线距离道路边界小于20m，</w:t>
            </w:r>
            <w:r>
              <w:rPr>
                <w:rFonts w:hint="default" w:ascii="Times New Roman" w:hAnsi="Times New Roman" w:cs="Times New Roman"/>
                <w:color w:val="auto"/>
                <w:szCs w:val="24"/>
                <w:highlight w:val="none"/>
              </w:rPr>
              <w:t>执行《声环境质量标准》（GB3096-2008）</w:t>
            </w:r>
            <w:r>
              <w:rPr>
                <w:rFonts w:hint="eastAsia" w:ascii="Times New Roman" w:hAnsi="Times New Roman" w:cs="Times New Roman"/>
                <w:color w:val="auto"/>
                <w:szCs w:val="24"/>
                <w:highlight w:val="none"/>
                <w:lang w:val="en-US" w:eastAsia="zh-CN"/>
              </w:rPr>
              <w:t>4a</w:t>
            </w:r>
            <w:r>
              <w:rPr>
                <w:rFonts w:hint="default" w:ascii="Times New Roman" w:hAnsi="Times New Roman" w:cs="Times New Roman"/>
                <w:color w:val="auto"/>
                <w:szCs w:val="24"/>
                <w:highlight w:val="none"/>
              </w:rPr>
              <w:t>类标准的要求，即昼间≤</w:t>
            </w:r>
            <w:r>
              <w:rPr>
                <w:rFonts w:hint="eastAsia" w:ascii="Times New Roman" w:hAnsi="Times New Roman" w:cs="Times New Roman"/>
                <w:color w:val="auto"/>
                <w:szCs w:val="24"/>
                <w:highlight w:val="none"/>
                <w:lang w:val="en-US" w:eastAsia="zh-CN"/>
              </w:rPr>
              <w:t>70</w:t>
            </w:r>
            <w:r>
              <w:rPr>
                <w:rFonts w:hint="default" w:ascii="Times New Roman" w:hAnsi="Times New Roman" w:cs="Times New Roman"/>
                <w:color w:val="auto"/>
                <w:szCs w:val="24"/>
                <w:highlight w:val="none"/>
              </w:rPr>
              <w:t>dB(A)，夜间≤5</w:t>
            </w:r>
            <w:r>
              <w:rPr>
                <w:rFonts w:hint="eastAsia" w:ascii="Times New Roman" w:hAnsi="Times New Roman" w:cs="Times New Roman"/>
                <w:color w:val="auto"/>
                <w:szCs w:val="24"/>
                <w:highlight w:val="none"/>
                <w:lang w:val="en-US" w:eastAsia="zh-CN"/>
              </w:rPr>
              <w:t>5</w:t>
            </w:r>
            <w:r>
              <w:rPr>
                <w:rFonts w:hint="default" w:ascii="Times New Roman" w:hAnsi="Times New Roman" w:cs="Times New Roman"/>
                <w:color w:val="auto"/>
                <w:szCs w:val="24"/>
                <w:highlight w:val="none"/>
              </w:rPr>
              <w:t>dB(A)</w:t>
            </w:r>
            <w:r>
              <w:rPr>
                <w:rFonts w:hint="eastAsia" w:ascii="Times New Roman" w:hAnsi="Times New Roman" w:cs="Times New Roman"/>
                <w:color w:val="auto"/>
                <w:szCs w:val="24"/>
                <w:highlight w:val="none"/>
                <w:lang w:eastAsia="zh-CN"/>
              </w:rPr>
              <w:t>；</w:t>
            </w:r>
            <w:r>
              <w:rPr>
                <w:rFonts w:hint="eastAsia" w:ascii="Times New Roman" w:hAnsi="Times New Roman" w:cs="Times New Roman"/>
                <w:color w:val="auto"/>
                <w:szCs w:val="24"/>
                <w:highlight w:val="none"/>
                <w:lang w:val="en-US" w:eastAsia="zh-CN"/>
              </w:rPr>
              <w:t>其他边界</w:t>
            </w:r>
            <w:r>
              <w:rPr>
                <w:rFonts w:hint="default" w:ascii="Times New Roman" w:hAnsi="Times New Roman" w:cs="Times New Roman"/>
                <w:color w:val="auto"/>
                <w:szCs w:val="24"/>
                <w:highlight w:val="none"/>
              </w:rPr>
              <w:t>执行《声环境质量标准》（GB3096-2008）</w:t>
            </w:r>
            <w:r>
              <w:rPr>
                <w:rFonts w:hint="eastAsia" w:ascii="Times New Roman" w:hAnsi="Times New Roman" w:cs="Times New Roman"/>
                <w:color w:val="auto"/>
                <w:szCs w:val="24"/>
                <w:highlight w:val="none"/>
                <w:lang w:val="en-US" w:eastAsia="zh-CN"/>
              </w:rPr>
              <w:t>3</w:t>
            </w:r>
            <w:r>
              <w:rPr>
                <w:rFonts w:hint="default" w:ascii="Times New Roman" w:hAnsi="Times New Roman" w:cs="Times New Roman"/>
                <w:color w:val="auto"/>
                <w:szCs w:val="24"/>
                <w:highlight w:val="none"/>
              </w:rPr>
              <w:t>类标准的要求，即昼间≤6</w:t>
            </w:r>
            <w:r>
              <w:rPr>
                <w:rFonts w:hint="eastAsia" w:ascii="Times New Roman" w:hAnsi="Times New Roman" w:cs="Times New Roman"/>
                <w:color w:val="auto"/>
                <w:szCs w:val="24"/>
                <w:highlight w:val="none"/>
                <w:lang w:val="en-US" w:eastAsia="zh-CN"/>
              </w:rPr>
              <w:t>5</w:t>
            </w:r>
            <w:r>
              <w:rPr>
                <w:rFonts w:hint="default" w:ascii="Times New Roman" w:hAnsi="Times New Roman" w:cs="Times New Roman"/>
                <w:color w:val="auto"/>
                <w:szCs w:val="24"/>
                <w:highlight w:val="none"/>
              </w:rPr>
              <w:t>dB(A)，夜间≤5</w:t>
            </w:r>
            <w:r>
              <w:rPr>
                <w:rFonts w:hint="eastAsia" w:ascii="Times New Roman" w:hAnsi="Times New Roman" w:cs="Times New Roman"/>
                <w:color w:val="auto"/>
                <w:szCs w:val="24"/>
                <w:highlight w:val="none"/>
                <w:lang w:val="en-US" w:eastAsia="zh-CN"/>
              </w:rPr>
              <w:t>5</w:t>
            </w:r>
            <w:r>
              <w:rPr>
                <w:rFonts w:hint="default" w:ascii="Times New Roman" w:hAnsi="Times New Roman" w:cs="Times New Roman"/>
                <w:color w:val="auto"/>
                <w:szCs w:val="24"/>
                <w:highlight w:val="none"/>
              </w:rPr>
              <w:t>dB(A)。</w:t>
            </w:r>
          </w:p>
          <w:p w14:paraId="1409CF9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本项目厂界外50m范围内无声环境保护目标，根据《建设项目环境影响报告表编制技术指南（污染影响类）（试行）》，无需进行声环境质量现状调查。</w:t>
            </w:r>
          </w:p>
          <w:p w14:paraId="0EF10DA5">
            <w:pPr>
              <w:pStyle w:val="43"/>
              <w:spacing w:after="0" w:line="360" w:lineRule="auto"/>
              <w:ind w:firstLine="48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4、生态环境质量现状</w:t>
            </w:r>
          </w:p>
          <w:p w14:paraId="09D6D560">
            <w:pPr>
              <w:pStyle w:val="43"/>
              <w:spacing w:after="0" w:line="360" w:lineRule="auto"/>
              <w:ind w:firstLine="480"/>
              <w:rPr>
                <w:rFonts w:hint="default" w:ascii="Times New Roman" w:hAnsi="Times New Roman" w:cs="Times New Roman"/>
                <w:b w:val="0"/>
                <w:bCs w:val="0"/>
                <w:color w:val="auto"/>
                <w:sz w:val="24"/>
                <w:highlight w:val="none"/>
              </w:rPr>
            </w:pPr>
            <w:r>
              <w:rPr>
                <w:rFonts w:hint="default" w:ascii="Times New Roman" w:hAnsi="Times New Roman" w:cs="Times New Roman"/>
                <w:b w:val="0"/>
                <w:bCs w:val="0"/>
                <w:color w:val="auto"/>
                <w:sz w:val="24"/>
                <w:highlight w:val="none"/>
              </w:rPr>
              <w:t>本项目位于乐昌市乐昌产业转移工业园内，根据现场勘踏和调查，项目用地范围内不含生态环境保护目标，不需进行生态环境调查。</w:t>
            </w:r>
          </w:p>
          <w:p w14:paraId="27B87A7D">
            <w:pPr>
              <w:pStyle w:val="43"/>
              <w:spacing w:after="0" w:line="360" w:lineRule="auto"/>
              <w:ind w:firstLine="48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5、电磁辐射</w:t>
            </w:r>
          </w:p>
          <w:p w14:paraId="0B73E93A">
            <w:pPr>
              <w:pStyle w:val="43"/>
              <w:spacing w:after="0"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项目类别不属于广播电台、差转台、电视塔台卫星地球上行站、雷达等电磁辐射类项目，因此无需开展项目电磁辐射现状监测与评价。</w:t>
            </w:r>
          </w:p>
          <w:p w14:paraId="14EFC43C">
            <w:pPr>
              <w:pStyle w:val="43"/>
              <w:spacing w:after="0" w:line="360" w:lineRule="auto"/>
              <w:ind w:firstLine="48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6、地下水、土壤环境质量现状</w:t>
            </w:r>
          </w:p>
          <w:p w14:paraId="3CE1F751">
            <w:pPr>
              <w:pStyle w:val="25"/>
              <w:spacing w:line="360" w:lineRule="auto"/>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bCs/>
                <w:color w:val="auto"/>
                <w:kern w:val="28"/>
                <w:sz w:val="24"/>
                <w:highlight w:val="none"/>
              </w:rPr>
              <w:t>本项目</w:t>
            </w:r>
            <w:r>
              <w:rPr>
                <w:rFonts w:hint="default" w:ascii="Times New Roman" w:hAnsi="Times New Roman" w:cs="Times New Roman"/>
                <w:bCs/>
                <w:color w:val="auto"/>
                <w:kern w:val="28"/>
                <w:sz w:val="24"/>
                <w:highlight w:val="none"/>
                <w:lang w:eastAsia="zh-CN"/>
              </w:rPr>
              <w:t>生产车间</w:t>
            </w:r>
            <w:r>
              <w:rPr>
                <w:rFonts w:hint="default" w:ascii="Times New Roman" w:hAnsi="Times New Roman" w:cs="Times New Roman"/>
                <w:bCs/>
                <w:color w:val="auto"/>
                <w:kern w:val="28"/>
                <w:sz w:val="24"/>
                <w:highlight w:val="none"/>
              </w:rPr>
              <w:t>厂区内均已进行地面硬化，</w:t>
            </w:r>
            <w:r>
              <w:rPr>
                <w:rFonts w:hint="eastAsia" w:cs="Times New Roman"/>
                <w:bCs/>
                <w:color w:val="auto"/>
                <w:kern w:val="28"/>
                <w:sz w:val="24"/>
                <w:highlight w:val="none"/>
                <w:lang w:val="en-US" w:eastAsia="zh-CN"/>
              </w:rPr>
              <w:t>工件表面预处理</w:t>
            </w:r>
            <w:r>
              <w:rPr>
                <w:rFonts w:hint="default" w:ascii="Times New Roman" w:hAnsi="Times New Roman" w:cs="Times New Roman"/>
                <w:bCs/>
                <w:color w:val="auto"/>
                <w:kern w:val="28"/>
                <w:sz w:val="24"/>
                <w:highlight w:val="none"/>
                <w:lang w:val="en-US" w:eastAsia="zh-CN"/>
              </w:rPr>
              <w:t>生产车间、</w:t>
            </w:r>
            <w:r>
              <w:rPr>
                <w:rFonts w:hint="eastAsia" w:cs="Times New Roman"/>
                <w:bCs/>
                <w:color w:val="auto"/>
                <w:kern w:val="28"/>
                <w:sz w:val="24"/>
                <w:highlight w:val="none"/>
                <w:lang w:eastAsia="zh-CN"/>
              </w:rPr>
              <w:t>危险废物贮存间</w:t>
            </w:r>
            <w:r>
              <w:rPr>
                <w:rFonts w:hint="default" w:ascii="Times New Roman" w:hAnsi="Times New Roman" w:cs="Times New Roman"/>
                <w:bCs/>
                <w:color w:val="auto"/>
                <w:kern w:val="28"/>
                <w:sz w:val="24"/>
                <w:highlight w:val="none"/>
                <w:lang w:eastAsia="zh-CN"/>
              </w:rPr>
              <w:t>、自建污水处理站</w:t>
            </w:r>
            <w:r>
              <w:rPr>
                <w:rFonts w:hint="default" w:ascii="Times New Roman" w:hAnsi="Times New Roman" w:cs="Times New Roman"/>
                <w:bCs/>
                <w:color w:val="auto"/>
                <w:kern w:val="28"/>
                <w:sz w:val="24"/>
                <w:highlight w:val="none"/>
              </w:rPr>
              <w:t>作基础防渗，防渗层为至少lm厚粘土层（渗透系数≤10</w:t>
            </w:r>
            <w:r>
              <w:rPr>
                <w:rFonts w:hint="default" w:ascii="Times New Roman" w:hAnsi="Times New Roman" w:cs="Times New Roman"/>
                <w:bCs/>
                <w:color w:val="auto"/>
                <w:kern w:val="28"/>
                <w:sz w:val="24"/>
                <w:highlight w:val="none"/>
                <w:vertAlign w:val="superscript"/>
              </w:rPr>
              <w:t>-7</w:t>
            </w:r>
            <w:r>
              <w:rPr>
                <w:rFonts w:hint="default" w:ascii="Times New Roman" w:hAnsi="Times New Roman" w:cs="Times New Roman"/>
                <w:bCs/>
                <w:color w:val="auto"/>
                <w:kern w:val="28"/>
                <w:sz w:val="24"/>
                <w:highlight w:val="none"/>
              </w:rPr>
              <w:t>cm/s），或2mm厚高密度聚乙烯，或至少2mm厚的其他人工材料，渗透系数≤10</w:t>
            </w:r>
            <w:r>
              <w:rPr>
                <w:rFonts w:hint="default" w:ascii="Times New Roman" w:hAnsi="Times New Roman" w:cs="Times New Roman"/>
                <w:bCs/>
                <w:color w:val="auto"/>
                <w:kern w:val="28"/>
                <w:sz w:val="24"/>
                <w:highlight w:val="none"/>
                <w:vertAlign w:val="superscript"/>
              </w:rPr>
              <w:t>-10</w:t>
            </w:r>
            <w:r>
              <w:rPr>
                <w:rFonts w:hint="default" w:ascii="Times New Roman" w:hAnsi="Times New Roman" w:cs="Times New Roman"/>
                <w:bCs/>
                <w:color w:val="auto"/>
                <w:kern w:val="28"/>
                <w:sz w:val="24"/>
                <w:highlight w:val="none"/>
              </w:rPr>
              <w:t>cm/s；本项目液态</w:t>
            </w:r>
            <w:r>
              <w:rPr>
                <w:rFonts w:hint="default" w:ascii="Times New Roman" w:hAnsi="Times New Roman" w:cs="Times New Roman"/>
                <w:bCs/>
                <w:color w:val="auto"/>
                <w:kern w:val="28"/>
                <w:sz w:val="24"/>
                <w:highlight w:val="none"/>
                <w:lang w:eastAsia="zh-CN"/>
              </w:rPr>
              <w:t>原辅料</w:t>
            </w:r>
            <w:r>
              <w:rPr>
                <w:rFonts w:hint="default" w:ascii="Times New Roman" w:hAnsi="Times New Roman" w:cs="Times New Roman"/>
                <w:bCs/>
                <w:color w:val="auto"/>
                <w:kern w:val="28"/>
                <w:sz w:val="24"/>
                <w:highlight w:val="none"/>
              </w:rPr>
              <w:t>均储存在</w:t>
            </w:r>
            <w:r>
              <w:rPr>
                <w:rFonts w:hint="eastAsia" w:ascii="Times New Roman" w:hAnsi="Times New Roman" w:cs="Times New Roman"/>
                <w:bCs/>
                <w:color w:val="auto"/>
                <w:kern w:val="28"/>
                <w:sz w:val="24"/>
                <w:highlight w:val="none"/>
                <w:lang w:val="en-US" w:eastAsia="zh-CN"/>
              </w:rPr>
              <w:t>5#</w:t>
            </w:r>
            <w:r>
              <w:rPr>
                <w:rFonts w:hint="default" w:ascii="Times New Roman" w:hAnsi="Times New Roman" w:cs="Times New Roman"/>
                <w:bCs/>
                <w:color w:val="auto"/>
                <w:kern w:val="28"/>
                <w:sz w:val="24"/>
                <w:highlight w:val="none"/>
              </w:rPr>
              <w:t>厂房设置的化学品仓内，且出入口处设置围堰围挡，物料随用随取，不使用时密闭封存，厂界四周设置围墙围挡，仅保留</w:t>
            </w:r>
            <w:r>
              <w:rPr>
                <w:rFonts w:hint="default" w:ascii="Times New Roman" w:hAnsi="Times New Roman" w:cs="Times New Roman"/>
                <w:bCs/>
                <w:color w:val="auto"/>
                <w:kern w:val="28"/>
                <w:sz w:val="24"/>
                <w:highlight w:val="none"/>
                <w:lang w:val="en-US" w:eastAsia="zh-CN"/>
              </w:rPr>
              <w:t>东南</w:t>
            </w:r>
            <w:r>
              <w:rPr>
                <w:rFonts w:hint="default" w:ascii="Times New Roman" w:hAnsi="Times New Roman" w:cs="Times New Roman"/>
                <w:bCs/>
                <w:color w:val="auto"/>
                <w:kern w:val="28"/>
                <w:sz w:val="24"/>
                <w:highlight w:val="none"/>
              </w:rPr>
              <w:t>侧厂区出入口，可防止地表径流直接进入本项目</w:t>
            </w:r>
            <w:r>
              <w:rPr>
                <w:rFonts w:hint="default" w:ascii="Times New Roman" w:hAnsi="Times New Roman" w:cs="Times New Roman"/>
                <w:bCs/>
                <w:color w:val="auto"/>
                <w:kern w:val="28"/>
                <w:sz w:val="24"/>
                <w:highlight w:val="none"/>
                <w:lang w:val="en-US" w:eastAsia="zh-CN"/>
              </w:rPr>
              <w:t>周边水体</w:t>
            </w:r>
            <w:r>
              <w:rPr>
                <w:rFonts w:hint="default" w:ascii="Times New Roman" w:hAnsi="Times New Roman" w:cs="Times New Roman"/>
                <w:bCs/>
                <w:color w:val="auto"/>
                <w:kern w:val="28"/>
                <w:sz w:val="24"/>
                <w:highlight w:val="none"/>
              </w:rPr>
              <w:t>。因此不存在地</w:t>
            </w:r>
            <w:r>
              <w:rPr>
                <w:rFonts w:hint="default" w:ascii="Times New Roman" w:hAnsi="Times New Roman" w:cs="Times New Roman"/>
                <w:bCs/>
                <w:color w:val="auto"/>
                <w:kern w:val="28"/>
                <w:sz w:val="24"/>
                <w:highlight w:val="none"/>
                <w:lang w:eastAsia="zh-CN"/>
              </w:rPr>
              <w:t>下</w:t>
            </w:r>
            <w:r>
              <w:rPr>
                <w:rFonts w:hint="default" w:ascii="Times New Roman" w:hAnsi="Times New Roman" w:cs="Times New Roman"/>
                <w:bCs/>
                <w:color w:val="auto"/>
                <w:kern w:val="28"/>
                <w:sz w:val="24"/>
                <w:highlight w:val="none"/>
              </w:rPr>
              <w:t>水、</w:t>
            </w:r>
            <w:r>
              <w:rPr>
                <w:rFonts w:hint="default" w:ascii="Times New Roman" w:hAnsi="Times New Roman" w:cs="Times New Roman"/>
                <w:bCs/>
                <w:color w:val="auto"/>
                <w:kern w:val="28"/>
                <w:sz w:val="24"/>
                <w:highlight w:val="none"/>
                <w:lang w:eastAsia="zh-CN"/>
              </w:rPr>
              <w:t>土壤</w:t>
            </w:r>
            <w:r>
              <w:rPr>
                <w:rFonts w:hint="default" w:ascii="Times New Roman" w:hAnsi="Times New Roman" w:cs="Times New Roman"/>
                <w:bCs/>
                <w:color w:val="auto"/>
                <w:kern w:val="28"/>
                <w:sz w:val="24"/>
                <w:highlight w:val="none"/>
              </w:rPr>
              <w:t>环境污染途径。其他区域均进行水泥地面硬底化。项目生产经营范围内具有一定的防腐防渗作用，可有效阻断污染物入渗土壤的途径，正常工况下不会对地下水、土壤环境造成显著不良影响，且占地范围内不具备监测条件。因此</w:t>
            </w:r>
            <w:r>
              <w:rPr>
                <w:rFonts w:hint="eastAsia" w:cs="Times New Roman"/>
                <w:bCs/>
                <w:color w:val="auto"/>
                <w:kern w:val="28"/>
                <w:sz w:val="24"/>
                <w:highlight w:val="none"/>
                <w:lang w:val="en-US" w:eastAsia="zh-CN"/>
              </w:rPr>
              <w:t>本项目不对地下水、土壤环境质量现状监测</w:t>
            </w:r>
            <w:r>
              <w:rPr>
                <w:rFonts w:hint="default" w:ascii="Times New Roman" w:hAnsi="Times New Roman" w:cs="Times New Roman"/>
                <w:bCs/>
                <w:color w:val="auto"/>
                <w:kern w:val="28"/>
                <w:sz w:val="24"/>
                <w:highlight w:val="none"/>
                <w:lang w:eastAsia="zh-CN"/>
              </w:rPr>
              <w:t>。</w:t>
            </w:r>
          </w:p>
        </w:tc>
      </w:tr>
      <w:tr w14:paraId="2C227D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11" w:hRule="atLeast"/>
          <w:jc w:val="center"/>
        </w:trPr>
        <w:tc>
          <w:tcPr>
            <w:tcW w:w="278" w:type="pct"/>
            <w:noWrap w:val="0"/>
            <w:vAlign w:val="center"/>
          </w:tcPr>
          <w:p w14:paraId="044F2BD2">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环境</w:t>
            </w:r>
          </w:p>
          <w:p w14:paraId="46A3D136">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保护</w:t>
            </w:r>
          </w:p>
          <w:p w14:paraId="037D47D5">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目标</w:t>
            </w:r>
          </w:p>
        </w:tc>
        <w:tc>
          <w:tcPr>
            <w:tcW w:w="4721" w:type="pct"/>
            <w:noWrap w:val="0"/>
            <w:vAlign w:val="center"/>
          </w:tcPr>
          <w:p w14:paraId="3943FEF8">
            <w:pPr>
              <w:keepNext w:val="0"/>
              <w:keepLines w:val="0"/>
              <w:pageBreakBefore w:val="0"/>
              <w:widowControl w:val="0"/>
              <w:tabs>
                <w:tab w:val="left" w:pos="1472"/>
              </w:tabs>
              <w:kinsoku/>
              <w:wordWrap/>
              <w:overflowPunct/>
              <w:topLinePunct w:val="0"/>
              <w:autoSpaceDE/>
              <w:autoSpaceDN/>
              <w:bidi w:val="0"/>
              <w:adjustRightInd/>
              <w:snapToGrid/>
              <w:spacing w:line="120" w:lineRule="exact"/>
              <w:ind w:left="771"/>
              <w:jc w:val="center"/>
              <w:textAlignment w:val="auto"/>
              <w:rPr>
                <w:rFonts w:hint="default" w:ascii="Times New Roman" w:hAnsi="Times New Roman" w:cs="Times New Roman"/>
                <w:color w:val="auto"/>
                <w:szCs w:val="21"/>
                <w:highlight w:val="none"/>
              </w:rPr>
            </w:pPr>
          </w:p>
          <w:p w14:paraId="69F1679B">
            <w:pPr>
              <w:pStyle w:val="43"/>
              <w:spacing w:after="0" w:line="360" w:lineRule="auto"/>
              <w:ind w:firstLine="480"/>
              <w:rPr>
                <w:rFonts w:hint="default" w:ascii="Times New Roman" w:hAnsi="Times New Roman" w:cs="Times New Roman"/>
                <w:b w:val="0"/>
                <w:bCs/>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w:t>
            </w:r>
            <w:r>
              <w:rPr>
                <w:rFonts w:hint="default" w:ascii="Times New Roman" w:hAnsi="Times New Roman" w:eastAsia="宋体" w:cs="Times New Roman"/>
                <w:b w:val="0"/>
                <w:bCs/>
                <w:color w:val="auto"/>
                <w:sz w:val="24"/>
                <w:szCs w:val="24"/>
                <w:highlight w:val="none"/>
                <w:lang w:val="en-US" w:eastAsia="zh-CN"/>
              </w:rPr>
              <w:t>现场调查及结合卫星地图，绘制了</w:t>
            </w:r>
            <w:r>
              <w:rPr>
                <w:rFonts w:hint="default" w:ascii="Times New Roman" w:hAnsi="Times New Roman" w:eastAsia="宋体" w:cs="Times New Roman"/>
                <w:b w:val="0"/>
                <w:bCs/>
                <w:color w:val="auto"/>
                <w:sz w:val="24"/>
                <w:szCs w:val="24"/>
                <w:highlight w:val="none"/>
              </w:rPr>
              <w:t>项目</w:t>
            </w:r>
            <w:r>
              <w:rPr>
                <w:rFonts w:hint="default" w:ascii="Times New Roman" w:hAnsi="Times New Roman" w:cs="Times New Roman"/>
                <w:b w:val="0"/>
                <w:bCs/>
                <w:color w:val="auto"/>
                <w:sz w:val="24"/>
                <w:highlight w:val="none"/>
              </w:rPr>
              <w:t>周边环境保护目标</w:t>
            </w:r>
            <w:r>
              <w:rPr>
                <w:rFonts w:hint="default" w:ascii="Times New Roman" w:hAnsi="Times New Roman" w:cs="Times New Roman"/>
                <w:b w:val="0"/>
                <w:bCs/>
                <w:color w:val="auto"/>
                <w:sz w:val="24"/>
                <w:highlight w:val="none"/>
                <w:lang w:val="en-US" w:eastAsia="zh-CN"/>
              </w:rPr>
              <w:t>分布</w:t>
            </w:r>
            <w:r>
              <w:rPr>
                <w:rFonts w:hint="default" w:ascii="Times New Roman" w:hAnsi="Times New Roman" w:cs="Times New Roman"/>
                <w:b w:val="0"/>
                <w:bCs/>
                <w:color w:val="auto"/>
                <w:sz w:val="24"/>
                <w:highlight w:val="none"/>
              </w:rPr>
              <w:t>图</w:t>
            </w:r>
            <w:r>
              <w:rPr>
                <w:rFonts w:hint="default" w:ascii="Times New Roman" w:hAnsi="Times New Roman" w:cs="Times New Roman"/>
                <w:b w:val="0"/>
                <w:bCs/>
                <w:color w:val="auto"/>
                <w:sz w:val="24"/>
                <w:highlight w:val="none"/>
                <w:lang w:eastAsia="zh-CN"/>
              </w:rPr>
              <w:t>（</w:t>
            </w:r>
            <w:r>
              <w:rPr>
                <w:rFonts w:hint="default" w:ascii="Times New Roman" w:hAnsi="Times New Roman" w:cs="Times New Roman"/>
                <w:b w:val="0"/>
                <w:bCs/>
                <w:color w:val="auto"/>
                <w:sz w:val="24"/>
                <w:highlight w:val="none"/>
                <w:lang w:val="en-US" w:eastAsia="zh-CN"/>
              </w:rPr>
              <w:t>详见附图</w:t>
            </w:r>
            <w:r>
              <w:rPr>
                <w:rFonts w:hint="eastAsia" w:ascii="Times New Roman" w:hAnsi="Times New Roman" w:cs="Times New Roman"/>
                <w:b w:val="0"/>
                <w:bCs/>
                <w:color w:val="auto"/>
                <w:sz w:val="24"/>
                <w:highlight w:val="none"/>
                <w:lang w:val="en-US" w:eastAsia="zh-CN"/>
              </w:rPr>
              <w:t>11</w:t>
            </w:r>
            <w:r>
              <w:rPr>
                <w:rFonts w:hint="default" w:ascii="Times New Roman" w:hAnsi="Times New Roman" w:cs="Times New Roman"/>
                <w:b w:val="0"/>
                <w:bCs/>
                <w:color w:val="auto"/>
                <w:sz w:val="24"/>
                <w:highlight w:val="none"/>
                <w:lang w:eastAsia="zh-CN"/>
              </w:rPr>
              <w:t>），</w:t>
            </w:r>
            <w:r>
              <w:rPr>
                <w:rFonts w:hint="default" w:ascii="Times New Roman" w:hAnsi="Times New Roman" w:eastAsia="宋体" w:cs="Times New Roman"/>
                <w:color w:val="auto"/>
                <w:sz w:val="24"/>
                <w:highlight w:val="none"/>
                <w:lang w:val="en-US" w:eastAsia="zh-CN"/>
              </w:rPr>
              <w:t>由此可知</w:t>
            </w:r>
            <w:r>
              <w:rPr>
                <w:rFonts w:hint="default" w:ascii="Times New Roman" w:hAnsi="Times New Roman" w:cs="Times New Roman"/>
                <w:b w:val="0"/>
                <w:bCs/>
                <w:color w:val="auto"/>
                <w:sz w:val="24"/>
                <w:highlight w:val="none"/>
                <w:lang w:val="en-US" w:eastAsia="zh-CN"/>
              </w:rPr>
              <w:t>：</w:t>
            </w:r>
          </w:p>
          <w:p w14:paraId="27E105F0">
            <w:pPr>
              <w:pStyle w:val="43"/>
              <w:spacing w:after="0" w:line="360" w:lineRule="auto"/>
              <w:ind w:firstLine="48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1、环境空气保护目标</w:t>
            </w:r>
          </w:p>
          <w:p w14:paraId="620DDB3F">
            <w:pPr>
              <w:pStyle w:val="43"/>
              <w:spacing w:after="0"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根据现场调查，项目厂界外500米范围内大气环境保护目标</w:t>
            </w:r>
            <w:r>
              <w:rPr>
                <w:rFonts w:hint="default" w:ascii="Times New Roman" w:hAnsi="Times New Roman" w:cs="Times New Roman"/>
                <w:color w:val="auto"/>
                <w:sz w:val="24"/>
                <w:highlight w:val="none"/>
                <w:lang w:val="en-US" w:eastAsia="zh-CN"/>
              </w:rPr>
              <w:t>分布情况见下表</w:t>
            </w:r>
            <w:r>
              <w:rPr>
                <w:rFonts w:hint="default" w:ascii="Times New Roman" w:hAnsi="Times New Roman" w:cs="Times New Roman"/>
                <w:color w:val="auto"/>
                <w:sz w:val="24"/>
                <w:highlight w:val="none"/>
              </w:rPr>
              <w:t>。</w:t>
            </w:r>
          </w:p>
          <w:p w14:paraId="44DBF511">
            <w:pPr>
              <w:numPr>
                <w:ilvl w:val="0"/>
                <w:numId w:val="14"/>
              </w:numPr>
              <w:spacing w:line="240" w:lineRule="auto"/>
              <w:ind w:left="0" w:leftChars="0" w:firstLine="4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 xml:space="preserve">  项目大气环境保护目标</w:t>
            </w:r>
            <w:r>
              <w:rPr>
                <w:rFonts w:hint="default" w:ascii="Times New Roman" w:hAnsi="Times New Roman" w:eastAsia="宋体" w:cs="Times New Roman"/>
                <w:b/>
                <w:bCs/>
                <w:color w:val="auto"/>
                <w:sz w:val="21"/>
                <w:szCs w:val="21"/>
                <w:highlight w:val="none"/>
              </w:rPr>
              <w:t>分布</w:t>
            </w:r>
            <w:r>
              <w:rPr>
                <w:rFonts w:hint="default" w:ascii="Times New Roman" w:hAnsi="Times New Roman" w:eastAsia="宋体" w:cs="Times New Roman"/>
                <w:b/>
                <w:bCs/>
                <w:color w:val="auto"/>
                <w:sz w:val="21"/>
                <w:szCs w:val="21"/>
                <w:highlight w:val="none"/>
                <w:lang w:val="en-US" w:eastAsia="zh-CN"/>
              </w:rPr>
              <w:t>一览表</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911"/>
              <w:gridCol w:w="983"/>
              <w:gridCol w:w="1103"/>
              <w:gridCol w:w="1105"/>
              <w:gridCol w:w="858"/>
              <w:gridCol w:w="955"/>
              <w:gridCol w:w="1320"/>
            </w:tblGrid>
            <w:tr w14:paraId="01E1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vMerge w:val="restart"/>
                  <w:tcBorders>
                    <w:tl2br w:val="nil"/>
                    <w:tr2bl w:val="nil"/>
                  </w:tcBorders>
                  <w:noWrap/>
                  <w:vAlign w:val="center"/>
                </w:tcPr>
                <w:p w14:paraId="10634577">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1137" w:type="pct"/>
                  <w:gridSpan w:val="2"/>
                  <w:tcBorders>
                    <w:tl2br w:val="nil"/>
                    <w:tr2bl w:val="nil"/>
                  </w:tcBorders>
                  <w:noWrap/>
                  <w:vAlign w:val="center"/>
                </w:tcPr>
                <w:p w14:paraId="040E0316">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坐标/m</w:t>
                  </w:r>
                </w:p>
              </w:tc>
              <w:tc>
                <w:tcPr>
                  <w:tcW w:w="662" w:type="pct"/>
                  <w:vMerge w:val="restart"/>
                  <w:tcBorders>
                    <w:tl2br w:val="nil"/>
                    <w:tr2bl w:val="nil"/>
                  </w:tcBorders>
                  <w:noWrap/>
                  <w:vAlign w:val="center"/>
                </w:tcPr>
                <w:p w14:paraId="0A1CE87A">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保护对象</w:t>
                  </w:r>
                </w:p>
              </w:tc>
              <w:tc>
                <w:tcPr>
                  <w:tcW w:w="663" w:type="pct"/>
                  <w:vMerge w:val="restart"/>
                  <w:tcBorders>
                    <w:tl2br w:val="nil"/>
                    <w:tr2bl w:val="nil"/>
                  </w:tcBorders>
                  <w:noWrap/>
                  <w:vAlign w:val="center"/>
                </w:tcPr>
                <w:p w14:paraId="58F8D990">
                  <w:pPr>
                    <w:pStyle w:val="114"/>
                    <w:spacing w:line="240" w:lineRule="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rPr>
                    <w:t>保护</w:t>
                  </w:r>
                  <w:r>
                    <w:rPr>
                      <w:rFonts w:hint="default" w:ascii="Times New Roman" w:hAnsi="Times New Roman" w:eastAsia="宋体" w:cs="Times New Roman"/>
                      <w:b/>
                      <w:bCs/>
                      <w:color w:val="auto"/>
                      <w:sz w:val="21"/>
                      <w:szCs w:val="21"/>
                      <w:highlight w:val="none"/>
                      <w:lang w:val="en-US" w:eastAsia="zh-CN"/>
                    </w:rPr>
                    <w:t>内容</w:t>
                  </w:r>
                </w:p>
              </w:tc>
              <w:tc>
                <w:tcPr>
                  <w:tcW w:w="515" w:type="pct"/>
                  <w:vMerge w:val="restart"/>
                  <w:tcBorders>
                    <w:tl2br w:val="nil"/>
                    <w:tr2bl w:val="nil"/>
                  </w:tcBorders>
                  <w:noWrap/>
                  <w:vAlign w:val="center"/>
                </w:tcPr>
                <w:p w14:paraId="7E1285D7">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环境功能区</w:t>
                  </w:r>
                </w:p>
              </w:tc>
              <w:tc>
                <w:tcPr>
                  <w:tcW w:w="573" w:type="pct"/>
                  <w:vMerge w:val="restart"/>
                  <w:tcBorders>
                    <w:tl2br w:val="nil"/>
                    <w:tr2bl w:val="nil"/>
                  </w:tcBorders>
                  <w:noWrap/>
                  <w:vAlign w:val="center"/>
                </w:tcPr>
                <w:p w14:paraId="0805A775">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相对厂址方位</w:t>
                  </w:r>
                </w:p>
              </w:tc>
              <w:tc>
                <w:tcPr>
                  <w:tcW w:w="789" w:type="pct"/>
                  <w:vMerge w:val="restart"/>
                  <w:tcBorders>
                    <w:tl2br w:val="nil"/>
                    <w:tr2bl w:val="nil"/>
                  </w:tcBorders>
                  <w:noWrap/>
                  <w:vAlign w:val="center"/>
                </w:tcPr>
                <w:p w14:paraId="194B46CD">
                  <w:pPr>
                    <w:pStyle w:val="114"/>
                    <w:spacing w:line="240" w:lineRule="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相对</w:t>
                  </w:r>
                  <w:r>
                    <w:rPr>
                      <w:rFonts w:hint="default" w:ascii="Times New Roman" w:hAnsi="Times New Roman" w:eastAsia="宋体" w:cs="Times New Roman"/>
                      <w:b/>
                      <w:bCs/>
                      <w:color w:val="auto"/>
                      <w:sz w:val="21"/>
                      <w:szCs w:val="21"/>
                      <w:highlight w:val="none"/>
                      <w:lang w:val="en-US" w:eastAsia="zh-CN"/>
                    </w:rPr>
                    <w:t>厂界</w:t>
                  </w:r>
                  <w:r>
                    <w:rPr>
                      <w:rFonts w:hint="default" w:ascii="Times New Roman" w:hAnsi="Times New Roman" w:eastAsia="宋体" w:cs="Times New Roman"/>
                      <w:b/>
                      <w:bCs/>
                      <w:color w:val="auto"/>
                      <w:sz w:val="21"/>
                      <w:szCs w:val="21"/>
                      <w:highlight w:val="none"/>
                    </w:rPr>
                    <w:t>距离</w:t>
                  </w:r>
                  <w:r>
                    <w:rPr>
                      <w:rFonts w:hint="default" w:ascii="Times New Roman" w:hAnsi="Times New Roman" w:eastAsia="宋体" w:cs="Times New Roman"/>
                      <w:b/>
                      <w:bCs/>
                      <w:color w:val="auto"/>
                      <w:sz w:val="21"/>
                      <w:szCs w:val="21"/>
                      <w:highlight w:val="none"/>
                      <w:lang w:val="en-US" w:eastAsia="zh-CN"/>
                    </w:rPr>
                    <w:t>/m</w:t>
                  </w:r>
                </w:p>
              </w:tc>
            </w:tr>
            <w:tr w14:paraId="76BF0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vMerge w:val="continue"/>
                  <w:tcBorders>
                    <w:tl2br w:val="nil"/>
                    <w:tr2bl w:val="nil"/>
                  </w:tcBorders>
                  <w:noWrap/>
                  <w:vAlign w:val="center"/>
                </w:tcPr>
                <w:p w14:paraId="3898EE71">
                  <w:pPr>
                    <w:pStyle w:val="114"/>
                    <w:spacing w:line="240" w:lineRule="auto"/>
                    <w:rPr>
                      <w:rFonts w:hint="default" w:ascii="Times New Roman" w:hAnsi="Times New Roman" w:eastAsia="宋体" w:cs="Times New Roman"/>
                      <w:bCs/>
                      <w:color w:val="auto"/>
                      <w:sz w:val="21"/>
                      <w:szCs w:val="21"/>
                      <w:highlight w:val="none"/>
                    </w:rPr>
                  </w:pPr>
                </w:p>
              </w:tc>
              <w:tc>
                <w:tcPr>
                  <w:tcW w:w="547" w:type="pct"/>
                  <w:tcBorders>
                    <w:tl2br w:val="nil"/>
                    <w:tr2bl w:val="nil"/>
                  </w:tcBorders>
                  <w:noWrap/>
                  <w:vAlign w:val="center"/>
                </w:tcPr>
                <w:p w14:paraId="2D7D5CFF">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X</w:t>
                  </w:r>
                </w:p>
              </w:tc>
              <w:tc>
                <w:tcPr>
                  <w:tcW w:w="590" w:type="pct"/>
                  <w:tcBorders>
                    <w:tl2br w:val="nil"/>
                    <w:tr2bl w:val="nil"/>
                  </w:tcBorders>
                  <w:noWrap/>
                  <w:vAlign w:val="center"/>
                </w:tcPr>
                <w:p w14:paraId="50FC6816">
                  <w:pPr>
                    <w:pStyle w:val="11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Y</w:t>
                  </w:r>
                </w:p>
              </w:tc>
              <w:tc>
                <w:tcPr>
                  <w:tcW w:w="662" w:type="pct"/>
                  <w:vMerge w:val="continue"/>
                  <w:tcBorders>
                    <w:tl2br w:val="nil"/>
                    <w:tr2bl w:val="nil"/>
                  </w:tcBorders>
                  <w:noWrap/>
                  <w:vAlign w:val="center"/>
                </w:tcPr>
                <w:p w14:paraId="6003EFBD">
                  <w:pPr>
                    <w:pStyle w:val="114"/>
                    <w:spacing w:line="240" w:lineRule="auto"/>
                    <w:rPr>
                      <w:rFonts w:hint="default" w:ascii="Times New Roman" w:hAnsi="Times New Roman" w:eastAsia="宋体" w:cs="Times New Roman"/>
                      <w:bCs/>
                      <w:color w:val="auto"/>
                      <w:sz w:val="21"/>
                      <w:szCs w:val="21"/>
                      <w:highlight w:val="none"/>
                    </w:rPr>
                  </w:pPr>
                </w:p>
              </w:tc>
              <w:tc>
                <w:tcPr>
                  <w:tcW w:w="663" w:type="pct"/>
                  <w:vMerge w:val="continue"/>
                  <w:tcBorders>
                    <w:tl2br w:val="nil"/>
                    <w:tr2bl w:val="nil"/>
                  </w:tcBorders>
                  <w:noWrap/>
                  <w:vAlign w:val="center"/>
                </w:tcPr>
                <w:p w14:paraId="13C4F349">
                  <w:pPr>
                    <w:pStyle w:val="114"/>
                    <w:spacing w:line="240" w:lineRule="auto"/>
                    <w:rPr>
                      <w:rFonts w:hint="default" w:ascii="Times New Roman" w:hAnsi="Times New Roman" w:eastAsia="宋体" w:cs="Times New Roman"/>
                      <w:bCs/>
                      <w:color w:val="auto"/>
                      <w:sz w:val="21"/>
                      <w:szCs w:val="21"/>
                      <w:highlight w:val="none"/>
                    </w:rPr>
                  </w:pPr>
                </w:p>
              </w:tc>
              <w:tc>
                <w:tcPr>
                  <w:tcW w:w="515" w:type="pct"/>
                  <w:vMerge w:val="continue"/>
                  <w:tcBorders>
                    <w:tl2br w:val="nil"/>
                    <w:tr2bl w:val="nil"/>
                  </w:tcBorders>
                  <w:noWrap/>
                  <w:vAlign w:val="center"/>
                </w:tcPr>
                <w:p w14:paraId="0C118E26">
                  <w:pPr>
                    <w:pStyle w:val="114"/>
                    <w:spacing w:line="240" w:lineRule="auto"/>
                    <w:rPr>
                      <w:rFonts w:hint="default" w:ascii="Times New Roman" w:hAnsi="Times New Roman" w:eastAsia="宋体" w:cs="Times New Roman"/>
                      <w:bCs/>
                      <w:color w:val="auto"/>
                      <w:sz w:val="21"/>
                      <w:szCs w:val="21"/>
                      <w:highlight w:val="none"/>
                    </w:rPr>
                  </w:pPr>
                </w:p>
              </w:tc>
              <w:tc>
                <w:tcPr>
                  <w:tcW w:w="573" w:type="pct"/>
                  <w:vMerge w:val="continue"/>
                  <w:tcBorders>
                    <w:tl2br w:val="nil"/>
                    <w:tr2bl w:val="nil"/>
                  </w:tcBorders>
                  <w:noWrap/>
                  <w:vAlign w:val="center"/>
                </w:tcPr>
                <w:p w14:paraId="6DC8A1DE">
                  <w:pPr>
                    <w:pStyle w:val="114"/>
                    <w:spacing w:line="240" w:lineRule="auto"/>
                    <w:rPr>
                      <w:rFonts w:hint="default" w:ascii="Times New Roman" w:hAnsi="Times New Roman" w:eastAsia="宋体" w:cs="Times New Roman"/>
                      <w:bCs/>
                      <w:color w:val="auto"/>
                      <w:sz w:val="21"/>
                      <w:szCs w:val="21"/>
                      <w:highlight w:val="none"/>
                    </w:rPr>
                  </w:pPr>
                </w:p>
              </w:tc>
              <w:tc>
                <w:tcPr>
                  <w:tcW w:w="789" w:type="pct"/>
                  <w:vMerge w:val="continue"/>
                  <w:tcBorders>
                    <w:tl2br w:val="nil"/>
                    <w:tr2bl w:val="nil"/>
                  </w:tcBorders>
                  <w:noWrap/>
                  <w:vAlign w:val="center"/>
                </w:tcPr>
                <w:p w14:paraId="6C965ADD">
                  <w:pPr>
                    <w:pStyle w:val="114"/>
                    <w:spacing w:line="240" w:lineRule="auto"/>
                    <w:rPr>
                      <w:rFonts w:hint="default" w:ascii="Times New Roman" w:hAnsi="Times New Roman" w:eastAsia="宋体" w:cs="Times New Roman"/>
                      <w:bCs/>
                      <w:color w:val="auto"/>
                      <w:sz w:val="21"/>
                      <w:szCs w:val="21"/>
                      <w:highlight w:val="none"/>
                    </w:rPr>
                  </w:pPr>
                </w:p>
              </w:tc>
            </w:tr>
            <w:tr w14:paraId="68DF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tcBorders>
                    <w:tl2br w:val="nil"/>
                    <w:tr2bl w:val="nil"/>
                  </w:tcBorders>
                  <w:noWrap/>
                  <w:vAlign w:val="center"/>
                </w:tcPr>
                <w:p w14:paraId="5D9F0AFA">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王屋小学</w:t>
                  </w:r>
                </w:p>
              </w:tc>
              <w:tc>
                <w:tcPr>
                  <w:tcW w:w="547" w:type="pct"/>
                  <w:tcBorders>
                    <w:tl2br w:val="nil"/>
                    <w:tr2bl w:val="nil"/>
                  </w:tcBorders>
                  <w:noWrap/>
                  <w:vAlign w:val="center"/>
                </w:tcPr>
                <w:p w14:paraId="5BB94E4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466.13</w:t>
                  </w:r>
                </w:p>
              </w:tc>
              <w:tc>
                <w:tcPr>
                  <w:tcW w:w="590" w:type="pct"/>
                  <w:tcBorders>
                    <w:tl2br w:val="nil"/>
                    <w:tr2bl w:val="nil"/>
                  </w:tcBorders>
                  <w:noWrap/>
                  <w:vAlign w:val="center"/>
                </w:tcPr>
                <w:p w14:paraId="46D8D6B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418.82</w:t>
                  </w:r>
                </w:p>
              </w:tc>
              <w:tc>
                <w:tcPr>
                  <w:tcW w:w="662" w:type="pct"/>
                  <w:tcBorders>
                    <w:tl2br w:val="nil"/>
                    <w:tr2bl w:val="nil"/>
                  </w:tcBorders>
                  <w:noWrap/>
                  <w:vAlign w:val="center"/>
                </w:tcPr>
                <w:p w14:paraId="5BF9392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i w:val="0"/>
                      <w:iCs w:val="0"/>
                      <w:color w:val="auto"/>
                      <w:kern w:val="0"/>
                      <w:sz w:val="21"/>
                      <w:szCs w:val="21"/>
                      <w:highlight w:val="none"/>
                      <w:u w:val="none"/>
                      <w:lang w:val="en-US" w:eastAsia="zh-CN" w:bidi="ar"/>
                    </w:rPr>
                    <w:t>师生</w:t>
                  </w:r>
                </w:p>
              </w:tc>
              <w:tc>
                <w:tcPr>
                  <w:tcW w:w="663" w:type="pct"/>
                  <w:tcBorders>
                    <w:tl2br w:val="nil"/>
                    <w:tr2bl w:val="nil"/>
                  </w:tcBorders>
                  <w:noWrap/>
                  <w:vAlign w:val="center"/>
                </w:tcPr>
                <w:p w14:paraId="20040FB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约300人</w:t>
                  </w:r>
                </w:p>
              </w:tc>
              <w:tc>
                <w:tcPr>
                  <w:tcW w:w="515" w:type="pct"/>
                  <w:tcBorders>
                    <w:tl2br w:val="nil"/>
                    <w:tr2bl w:val="nil"/>
                  </w:tcBorders>
                  <w:noWrap/>
                  <w:vAlign w:val="center"/>
                </w:tcPr>
                <w:p w14:paraId="20463FD3">
                  <w:pPr>
                    <w:spacing w:line="240" w:lineRule="auto"/>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二类</w:t>
                  </w:r>
                  <w:r>
                    <w:rPr>
                      <w:rFonts w:hint="default" w:ascii="Times New Roman" w:hAnsi="Times New Roman" w:eastAsia="宋体" w:cs="Times New Roman"/>
                      <w:bCs/>
                      <w:color w:val="auto"/>
                      <w:sz w:val="21"/>
                      <w:szCs w:val="21"/>
                      <w:highlight w:val="none"/>
                      <w:lang w:val="en-US" w:eastAsia="zh-CN"/>
                    </w:rPr>
                    <w:t>区</w:t>
                  </w:r>
                </w:p>
              </w:tc>
              <w:tc>
                <w:tcPr>
                  <w:tcW w:w="573" w:type="pct"/>
                  <w:tcBorders>
                    <w:tl2br w:val="nil"/>
                    <w:tr2bl w:val="nil"/>
                  </w:tcBorders>
                  <w:noWrap/>
                  <w:vAlign w:val="center"/>
                </w:tcPr>
                <w:p w14:paraId="07F2FB6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i w:val="0"/>
                      <w:iCs w:val="0"/>
                      <w:color w:val="auto"/>
                      <w:kern w:val="0"/>
                      <w:sz w:val="21"/>
                      <w:szCs w:val="21"/>
                      <w:highlight w:val="none"/>
                      <w:u w:val="none"/>
                      <w:lang w:val="en-US" w:eastAsia="zh-CN" w:bidi="ar"/>
                    </w:rPr>
                    <w:t>东北</w:t>
                  </w:r>
                  <w:r>
                    <w:rPr>
                      <w:rFonts w:hint="default" w:ascii="Times New Roman" w:hAnsi="Times New Roman" w:eastAsia="宋体" w:cs="Times New Roman"/>
                      <w:i w:val="0"/>
                      <w:iCs w:val="0"/>
                      <w:color w:val="auto"/>
                      <w:kern w:val="0"/>
                      <w:sz w:val="21"/>
                      <w:szCs w:val="21"/>
                      <w:highlight w:val="none"/>
                      <w:u w:val="none"/>
                      <w:lang w:val="en-US" w:eastAsia="zh-CN" w:bidi="ar"/>
                    </w:rPr>
                    <w:t>面</w:t>
                  </w:r>
                </w:p>
              </w:tc>
              <w:tc>
                <w:tcPr>
                  <w:tcW w:w="789" w:type="pct"/>
                  <w:tcBorders>
                    <w:tl2br w:val="nil"/>
                    <w:tr2bl w:val="nil"/>
                  </w:tcBorders>
                  <w:noWrap/>
                  <w:vAlign w:val="center"/>
                </w:tcPr>
                <w:p w14:paraId="0D7342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377</w:t>
                  </w:r>
                </w:p>
              </w:tc>
            </w:tr>
            <w:tr w14:paraId="6F4C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8" w:type="pct"/>
                  <w:tcBorders>
                    <w:tl2br w:val="nil"/>
                    <w:tr2bl w:val="nil"/>
                  </w:tcBorders>
                  <w:noWrap/>
                  <w:vAlign w:val="center"/>
                </w:tcPr>
                <w:p w14:paraId="215889AF">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村落</w:t>
                  </w:r>
                </w:p>
              </w:tc>
              <w:tc>
                <w:tcPr>
                  <w:tcW w:w="547" w:type="pct"/>
                  <w:tcBorders>
                    <w:tl2br w:val="nil"/>
                    <w:tr2bl w:val="nil"/>
                  </w:tcBorders>
                  <w:noWrap/>
                  <w:vAlign w:val="center"/>
                </w:tcPr>
                <w:p w14:paraId="7EEE9A9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2</w:t>
                  </w:r>
                  <w:r>
                    <w:rPr>
                      <w:rFonts w:hint="eastAsia" w:cs="Times New Roman"/>
                      <w:i w:val="0"/>
                      <w:iCs w:val="0"/>
                      <w:color w:val="auto"/>
                      <w:kern w:val="0"/>
                      <w:sz w:val="21"/>
                      <w:szCs w:val="21"/>
                      <w:highlight w:val="none"/>
                      <w:u w:val="none"/>
                      <w:lang w:val="en-US" w:eastAsia="zh-CN" w:bidi="ar"/>
                    </w:rPr>
                    <w:t>97.92</w:t>
                  </w:r>
                </w:p>
              </w:tc>
              <w:tc>
                <w:tcPr>
                  <w:tcW w:w="590" w:type="pct"/>
                  <w:tcBorders>
                    <w:tl2br w:val="nil"/>
                    <w:tr2bl w:val="nil"/>
                  </w:tcBorders>
                  <w:noWrap/>
                  <w:vAlign w:val="center"/>
                </w:tcPr>
                <w:p w14:paraId="73BEF0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431.19</w:t>
                  </w:r>
                </w:p>
              </w:tc>
              <w:tc>
                <w:tcPr>
                  <w:tcW w:w="662" w:type="pct"/>
                  <w:tcBorders>
                    <w:tl2br w:val="nil"/>
                    <w:tr2bl w:val="nil"/>
                  </w:tcBorders>
                  <w:noWrap/>
                  <w:vAlign w:val="center"/>
                </w:tcPr>
                <w:p w14:paraId="3D87507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居民</w:t>
                  </w:r>
                </w:p>
              </w:tc>
              <w:tc>
                <w:tcPr>
                  <w:tcW w:w="663" w:type="pct"/>
                  <w:tcBorders>
                    <w:tl2br w:val="nil"/>
                    <w:tr2bl w:val="nil"/>
                  </w:tcBorders>
                  <w:noWrap/>
                  <w:vAlign w:val="center"/>
                </w:tcPr>
                <w:p w14:paraId="45B0BCE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约20人</w:t>
                  </w:r>
                </w:p>
              </w:tc>
              <w:tc>
                <w:tcPr>
                  <w:tcW w:w="515" w:type="pct"/>
                  <w:tcBorders>
                    <w:tl2br w:val="nil"/>
                    <w:tr2bl w:val="nil"/>
                  </w:tcBorders>
                  <w:noWrap/>
                  <w:vAlign w:val="center"/>
                </w:tcPr>
                <w:p w14:paraId="0B3FCA67">
                  <w:pPr>
                    <w:spacing w:line="240" w:lineRule="auto"/>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二类</w:t>
                  </w:r>
                  <w:r>
                    <w:rPr>
                      <w:rFonts w:hint="default" w:ascii="Times New Roman" w:hAnsi="Times New Roman" w:eastAsia="宋体" w:cs="Times New Roman"/>
                      <w:bCs/>
                      <w:color w:val="auto"/>
                      <w:sz w:val="21"/>
                      <w:szCs w:val="21"/>
                      <w:highlight w:val="none"/>
                      <w:lang w:val="en-US" w:eastAsia="zh-CN"/>
                    </w:rPr>
                    <w:t>区</w:t>
                  </w:r>
                </w:p>
              </w:tc>
              <w:tc>
                <w:tcPr>
                  <w:tcW w:w="573" w:type="pct"/>
                  <w:tcBorders>
                    <w:tl2br w:val="nil"/>
                    <w:tr2bl w:val="nil"/>
                  </w:tcBorders>
                  <w:noWrap/>
                  <w:vAlign w:val="center"/>
                </w:tcPr>
                <w:p w14:paraId="4702CB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东北</w:t>
                  </w:r>
                  <w:r>
                    <w:rPr>
                      <w:rFonts w:hint="default" w:ascii="Times New Roman" w:hAnsi="Times New Roman" w:eastAsia="宋体" w:cs="Times New Roman"/>
                      <w:i w:val="0"/>
                      <w:iCs w:val="0"/>
                      <w:color w:val="auto"/>
                      <w:kern w:val="0"/>
                      <w:sz w:val="21"/>
                      <w:szCs w:val="21"/>
                      <w:highlight w:val="none"/>
                      <w:u w:val="none"/>
                      <w:lang w:val="en-US" w:eastAsia="zh-CN" w:bidi="ar"/>
                    </w:rPr>
                    <w:t>面</w:t>
                  </w:r>
                </w:p>
              </w:tc>
              <w:tc>
                <w:tcPr>
                  <w:tcW w:w="789" w:type="pct"/>
                  <w:tcBorders>
                    <w:tl2br w:val="nil"/>
                    <w:tr2bl w:val="nil"/>
                  </w:tcBorders>
                  <w:noWrap/>
                  <w:vAlign w:val="center"/>
                </w:tcPr>
                <w:p w14:paraId="67AE05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76" w:lineRule="auto"/>
                    <w:ind w:left="0" w:leftChars="0" w:right="0" w:rightChars="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464</w:t>
                  </w:r>
                </w:p>
              </w:tc>
            </w:tr>
            <w:tr w14:paraId="5B1C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8"/>
                  <w:tcBorders>
                    <w:tl2br w:val="nil"/>
                    <w:tr2bl w:val="nil"/>
                  </w:tcBorders>
                  <w:noWrap/>
                  <w:vAlign w:val="center"/>
                </w:tcPr>
                <w:p w14:paraId="08D0FFA7">
                  <w:pPr>
                    <w:pStyle w:val="43"/>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pacing w:val="-1"/>
                      <w:sz w:val="21"/>
                      <w:szCs w:val="21"/>
                      <w:highlight w:val="none"/>
                    </w:rPr>
                    <w:t>注：以</w:t>
                  </w:r>
                  <w:r>
                    <w:rPr>
                      <w:rFonts w:hint="default" w:ascii="Times New Roman" w:hAnsi="Times New Roman" w:eastAsia="宋体" w:cs="Times New Roman"/>
                      <w:color w:val="auto"/>
                      <w:spacing w:val="-1"/>
                      <w:sz w:val="21"/>
                      <w:szCs w:val="21"/>
                      <w:highlight w:val="none"/>
                      <w:lang w:val="en-US" w:eastAsia="zh-CN"/>
                    </w:rPr>
                    <w:t>厂区</w:t>
                  </w:r>
                  <w:r>
                    <w:rPr>
                      <w:rFonts w:hint="default" w:ascii="Times New Roman" w:hAnsi="Times New Roman" w:eastAsia="宋体" w:cs="Times New Roman"/>
                      <w:color w:val="auto"/>
                      <w:spacing w:val="-1"/>
                      <w:sz w:val="21"/>
                      <w:szCs w:val="21"/>
                      <w:highlight w:val="none"/>
                    </w:rPr>
                    <w:t>的</w:t>
                  </w:r>
                  <w:r>
                    <w:rPr>
                      <w:rFonts w:hint="default" w:ascii="Times New Roman" w:hAnsi="Times New Roman" w:eastAsia="宋体" w:cs="Times New Roman"/>
                      <w:color w:val="auto"/>
                      <w:spacing w:val="-1"/>
                      <w:sz w:val="21"/>
                      <w:szCs w:val="21"/>
                      <w:highlight w:val="none"/>
                      <w:lang w:val="en-US" w:eastAsia="zh-CN"/>
                    </w:rPr>
                    <w:t>坐标（113°24'30.099" E,25°9'23.358" N）</w:t>
                  </w:r>
                  <w:r>
                    <w:rPr>
                      <w:rFonts w:hint="default" w:ascii="Times New Roman" w:hAnsi="Times New Roman" w:eastAsia="宋体" w:cs="Times New Roman"/>
                      <w:color w:val="auto"/>
                      <w:spacing w:val="-1"/>
                      <w:sz w:val="21"/>
                      <w:szCs w:val="21"/>
                      <w:highlight w:val="none"/>
                    </w:rPr>
                    <w:t>为原点（0，0），正东向为X轴正方向、正北向为Y轴正方向建立直角坐标系。</w:t>
                  </w:r>
                </w:p>
              </w:tc>
            </w:tr>
          </w:tbl>
          <w:p w14:paraId="2408362F">
            <w:pPr>
              <w:pStyle w:val="43"/>
              <w:spacing w:after="0" w:line="360" w:lineRule="auto"/>
              <w:ind w:firstLine="48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2、地下水环境保护目标</w:t>
            </w:r>
          </w:p>
          <w:p w14:paraId="10242B16">
            <w:pPr>
              <w:pStyle w:val="43"/>
              <w:spacing w:after="0"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根据现场调查，项目厂界500米范围内无地下集中式饮用水水源和热水、矿泉水、温泉水等特殊地下水资源。</w:t>
            </w:r>
          </w:p>
          <w:p w14:paraId="34284D8A">
            <w:pPr>
              <w:pStyle w:val="43"/>
              <w:spacing w:after="0" w:line="360" w:lineRule="auto"/>
              <w:ind w:firstLine="48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3、声环境保护目标</w:t>
            </w:r>
          </w:p>
          <w:p w14:paraId="06172607">
            <w:pPr>
              <w:pStyle w:val="43"/>
              <w:spacing w:after="0"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szCs w:val="24"/>
                <w:highlight w:val="none"/>
              </w:rPr>
              <w:t>根据现场调查，</w:t>
            </w:r>
            <w:r>
              <w:rPr>
                <w:rFonts w:hint="eastAsia" w:ascii="Times New Roman" w:hAnsi="Times New Roman" w:cs="Times New Roman"/>
                <w:color w:val="auto"/>
                <w:sz w:val="24"/>
                <w:szCs w:val="24"/>
                <w:highlight w:val="none"/>
                <w:lang w:val="en-US" w:eastAsia="zh-CN"/>
              </w:rPr>
              <w:t>项目污水处理厂及泵站</w:t>
            </w:r>
            <w:r>
              <w:rPr>
                <w:rFonts w:hint="default" w:ascii="Times New Roman" w:hAnsi="Times New Roman" w:cs="Times New Roman"/>
                <w:color w:val="auto"/>
                <w:sz w:val="24"/>
                <w:szCs w:val="24"/>
                <w:highlight w:val="none"/>
              </w:rPr>
              <w:t>厂界50m范围内无声环境保护目标。</w:t>
            </w:r>
          </w:p>
          <w:p w14:paraId="13E3CB72">
            <w:pPr>
              <w:pStyle w:val="43"/>
              <w:spacing w:after="0" w:line="360" w:lineRule="auto"/>
              <w:ind w:firstLine="48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4、生态环境保护目标</w:t>
            </w:r>
          </w:p>
          <w:p w14:paraId="54E99F19">
            <w:pPr>
              <w:spacing w:line="360" w:lineRule="auto"/>
              <w:ind w:firstLine="480" w:firstLineChars="200"/>
              <w:rPr>
                <w:rFonts w:hint="default" w:ascii="Times New Roman" w:hAnsi="Times New Roman" w:cs="Times New Roman"/>
                <w:color w:val="auto"/>
                <w:kern w:val="0"/>
                <w:szCs w:val="21"/>
                <w:highlight w:val="none"/>
              </w:rPr>
            </w:pPr>
            <w:r>
              <w:rPr>
                <w:rFonts w:hint="default" w:ascii="Times New Roman" w:hAnsi="Times New Roman" w:cs="Times New Roman"/>
                <w:color w:val="auto"/>
                <w:sz w:val="24"/>
                <w:szCs w:val="24"/>
                <w:highlight w:val="none"/>
              </w:rPr>
              <w:t>根据对项目所在地的实地勘察，项目用地范围内无生态环境保护目标。</w:t>
            </w:r>
          </w:p>
        </w:tc>
      </w:tr>
      <w:tr w14:paraId="772F8F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278" w:type="pct"/>
            <w:noWrap w:val="0"/>
            <w:tcMar>
              <w:left w:w="28" w:type="dxa"/>
              <w:right w:w="28" w:type="dxa"/>
            </w:tcMar>
            <w:vAlign w:val="center"/>
          </w:tcPr>
          <w:p w14:paraId="4F8EF08F">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污染</w:t>
            </w:r>
          </w:p>
          <w:p w14:paraId="2E879F38">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物排</w:t>
            </w:r>
          </w:p>
          <w:p w14:paraId="320D0FD9">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放控</w:t>
            </w:r>
          </w:p>
          <w:p w14:paraId="42C61871">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制标</w:t>
            </w:r>
          </w:p>
          <w:p w14:paraId="59603B19">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准</w:t>
            </w:r>
          </w:p>
        </w:tc>
        <w:tc>
          <w:tcPr>
            <w:tcW w:w="4721" w:type="pct"/>
            <w:noWrap w:val="0"/>
            <w:vAlign w:val="center"/>
          </w:tcPr>
          <w:p w14:paraId="5BBD923A">
            <w:pPr>
              <w:keepNext w:val="0"/>
              <w:keepLines w:val="0"/>
              <w:pageBreakBefore w:val="0"/>
              <w:widowControl w:val="0"/>
              <w:kinsoku/>
              <w:wordWrap/>
              <w:overflowPunct/>
              <w:topLinePunct w:val="0"/>
              <w:autoSpaceDE/>
              <w:autoSpaceDN/>
              <w:bidi w:val="0"/>
              <w:adjustRightInd/>
              <w:snapToGrid/>
              <w:spacing w:line="100" w:lineRule="exact"/>
              <w:ind w:firstLine="422" w:firstLineChars="200"/>
              <w:textAlignment w:val="auto"/>
              <w:rPr>
                <w:rFonts w:hint="default" w:ascii="Times New Roman" w:hAnsi="Times New Roman" w:cs="Times New Roman"/>
                <w:b/>
                <w:color w:val="auto"/>
                <w:szCs w:val="21"/>
                <w:highlight w:val="none"/>
              </w:rPr>
            </w:pPr>
          </w:p>
          <w:p w14:paraId="213A0F39">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1、大气污染物排放标准</w:t>
            </w:r>
          </w:p>
          <w:p w14:paraId="0CCA3F91">
            <w:pPr>
              <w:spacing w:line="360" w:lineRule="auto"/>
              <w:ind w:firstLine="480" w:firstLineChars="200"/>
              <w:rPr>
                <w:rFonts w:hint="eastAsia" w:ascii="Times New Roman" w:hAnsi="Times New Roman" w:eastAsia="宋体" w:cs="Times New Roman"/>
                <w:color w:val="auto"/>
                <w:kern w:val="0"/>
                <w:sz w:val="24"/>
                <w:highlight w:val="none"/>
                <w:lang w:val="en-US" w:eastAsia="zh-CN" w:bidi="ar"/>
              </w:rPr>
            </w:pPr>
            <w:r>
              <w:rPr>
                <w:rFonts w:hint="default" w:ascii="Times New Roman" w:hAnsi="Times New Roman" w:eastAsia="宋体" w:cs="Times New Roman"/>
                <w:color w:val="auto"/>
                <w:kern w:val="0"/>
                <w:sz w:val="24"/>
                <w:highlight w:val="none"/>
                <w:lang w:bidi="ar"/>
              </w:rPr>
              <w:t>①</w:t>
            </w:r>
            <w:r>
              <w:rPr>
                <w:rFonts w:hint="eastAsia" w:ascii="Times New Roman" w:hAnsi="Times New Roman" w:eastAsia="宋体" w:cs="Times New Roman"/>
                <w:color w:val="auto"/>
                <w:kern w:val="0"/>
                <w:sz w:val="24"/>
                <w:highlight w:val="none"/>
                <w:lang w:val="en-US" w:eastAsia="zh-CN" w:bidi="ar"/>
              </w:rPr>
              <w:t>切割粉尘、</w:t>
            </w:r>
            <w:r>
              <w:rPr>
                <w:rFonts w:hint="default" w:ascii="Times New Roman" w:hAnsi="Times New Roman" w:eastAsia="宋体" w:cs="Times New Roman"/>
                <w:color w:val="auto"/>
                <w:kern w:val="0"/>
                <w:sz w:val="24"/>
                <w:highlight w:val="none"/>
                <w:lang w:bidi="ar"/>
              </w:rPr>
              <w:t>焊接烟尘</w:t>
            </w:r>
            <w:r>
              <w:rPr>
                <w:rFonts w:hint="eastAsia" w:ascii="Times New Roman" w:hAnsi="Times New Roman" w:eastAsia="宋体" w:cs="Times New Roman"/>
                <w:color w:val="auto"/>
                <w:kern w:val="0"/>
                <w:sz w:val="24"/>
                <w:highlight w:val="none"/>
                <w:lang w:val="en-US" w:eastAsia="zh-CN" w:bidi="ar"/>
              </w:rPr>
              <w:t>以及抛光打磨</w:t>
            </w:r>
            <w:r>
              <w:rPr>
                <w:rFonts w:hint="default" w:ascii="Times New Roman" w:hAnsi="Times New Roman" w:eastAsia="宋体" w:cs="Times New Roman"/>
                <w:color w:val="auto"/>
                <w:kern w:val="0"/>
                <w:sz w:val="24"/>
                <w:highlight w:val="none"/>
                <w:lang w:val="en-US" w:eastAsia="zh-CN" w:bidi="ar"/>
              </w:rPr>
              <w:t>粉尘</w:t>
            </w:r>
          </w:p>
          <w:p w14:paraId="1C8504B2">
            <w:pPr>
              <w:spacing w:line="360" w:lineRule="auto"/>
              <w:ind w:firstLine="480" w:firstLineChars="200"/>
              <w:rPr>
                <w:rFonts w:hint="default" w:ascii="Times New Roman" w:hAnsi="Times New Roman" w:eastAsia="宋体" w:cs="Times New Roman"/>
                <w:b w:val="0"/>
                <w:bCs w:val="0"/>
                <w:color w:val="auto"/>
                <w:highlight w:val="none"/>
                <w:lang w:eastAsia="zh-CN"/>
              </w:rPr>
            </w:pPr>
            <w:r>
              <w:rPr>
                <w:rFonts w:hint="default" w:ascii="Times New Roman" w:hAnsi="Times New Roman" w:eastAsia="宋体" w:cs="Times New Roman"/>
                <w:color w:val="auto"/>
                <w:kern w:val="0"/>
                <w:sz w:val="24"/>
                <w:highlight w:val="none"/>
                <w:lang w:bidi="ar"/>
              </w:rPr>
              <w:t>本项目</w:t>
            </w:r>
            <w:r>
              <w:rPr>
                <w:rFonts w:hint="default" w:ascii="Times New Roman" w:hAnsi="Times New Roman" w:eastAsia="宋体" w:cs="Times New Roman"/>
                <w:color w:val="auto"/>
                <w:kern w:val="0"/>
                <w:sz w:val="24"/>
                <w:highlight w:val="none"/>
                <w:lang w:val="en-US" w:eastAsia="zh-CN" w:bidi="ar"/>
              </w:rPr>
              <w:t>抛光打磨工序产生的粉尘厂界颗粒物无组织排放执行</w:t>
            </w:r>
            <w:r>
              <w:rPr>
                <w:rFonts w:hint="default" w:ascii="Times New Roman" w:hAnsi="Times New Roman" w:eastAsia="宋体" w:cs="Times New Roman"/>
                <w:color w:val="auto"/>
                <w:kern w:val="0"/>
                <w:sz w:val="24"/>
                <w:highlight w:val="none"/>
                <w:lang w:bidi="ar"/>
              </w:rPr>
              <w:t>广东省《大气污染物排放限值》（DB44/27-2001）第二时段无组织排放监控浓度限值要求</w:t>
            </w:r>
            <w:r>
              <w:rPr>
                <w:rFonts w:hint="default" w:ascii="Times New Roman" w:hAnsi="Times New Roman" w:eastAsia="宋体" w:cs="Times New Roman"/>
                <w:color w:val="auto"/>
                <w:kern w:val="0"/>
                <w:sz w:val="24"/>
                <w:highlight w:val="none"/>
                <w:lang w:eastAsia="zh-CN" w:bidi="ar"/>
              </w:rPr>
              <w:t>。</w:t>
            </w:r>
          </w:p>
          <w:p w14:paraId="76E3A965">
            <w:pPr>
              <w:numPr>
                <w:ilvl w:val="0"/>
                <w:numId w:val="14"/>
              </w:numPr>
              <w:spacing w:line="240" w:lineRule="auto"/>
              <w:ind w:left="0" w:leftChars="0" w:firstLine="4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highlight w:val="none"/>
                <w:lang w:val="en-US" w:eastAsia="zh-CN" w:bidi="ar-SA"/>
              </w:rPr>
              <w:t xml:space="preserve">  广东省《大气污染物排放限值》</w:t>
            </w:r>
            <w:r>
              <w:rPr>
                <w:rFonts w:hint="default" w:ascii="Times New Roman" w:hAnsi="Times New Roman" w:eastAsia="宋体" w:cs="Times New Roman"/>
                <w:b/>
                <w:bCs/>
                <w:color w:val="auto"/>
                <w:sz w:val="21"/>
                <w:szCs w:val="21"/>
                <w:highlight w:val="none"/>
                <w:lang w:val="en-US" w:eastAsia="zh-CN"/>
              </w:rPr>
              <w:t>（DB44/27-2001）排放限值标准</w:t>
            </w:r>
          </w:p>
          <w:tbl>
            <w:tblPr>
              <w:tblStyle w:val="48"/>
              <w:tblW w:w="83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7"/>
              <w:gridCol w:w="1831"/>
              <w:gridCol w:w="1100"/>
              <w:gridCol w:w="1309"/>
              <w:gridCol w:w="1614"/>
              <w:gridCol w:w="1556"/>
            </w:tblGrid>
            <w:tr w14:paraId="02BE5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56" w:type="pct"/>
                  <w:vMerge w:val="restart"/>
                  <w:tcBorders>
                    <w:top w:val="single" w:color="000000" w:sz="4" w:space="0"/>
                    <w:left w:val="single" w:color="000000" w:sz="4" w:space="0"/>
                    <w:right w:val="single" w:color="000000" w:sz="4" w:space="0"/>
                  </w:tcBorders>
                  <w:noWrap w:val="0"/>
                  <w:vAlign w:val="center"/>
                </w:tcPr>
                <w:p w14:paraId="48FA018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污染物</w:t>
                  </w:r>
                </w:p>
              </w:tc>
              <w:tc>
                <w:tcPr>
                  <w:tcW w:w="1098" w:type="pct"/>
                  <w:vMerge w:val="restart"/>
                  <w:tcBorders>
                    <w:top w:val="single" w:color="000000" w:sz="4" w:space="0"/>
                    <w:left w:val="single" w:color="000000" w:sz="4" w:space="0"/>
                    <w:right w:val="single" w:color="000000" w:sz="4" w:space="0"/>
                  </w:tcBorders>
                  <w:noWrap w:val="0"/>
                  <w:vAlign w:val="center"/>
                </w:tcPr>
                <w:p w14:paraId="7111713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排气</w:t>
                  </w:r>
                  <w:r>
                    <w:rPr>
                      <w:rFonts w:hint="default" w:ascii="Times New Roman" w:hAnsi="Times New Roman" w:cs="Times New Roman"/>
                      <w:b/>
                      <w:bCs/>
                      <w:i w:val="0"/>
                      <w:iCs w:val="0"/>
                      <w:color w:val="auto"/>
                      <w:kern w:val="0"/>
                      <w:sz w:val="21"/>
                      <w:szCs w:val="21"/>
                      <w:highlight w:val="none"/>
                      <w:u w:val="none"/>
                      <w:lang w:val="en-US" w:eastAsia="zh-CN" w:bidi="ar"/>
                    </w:rPr>
                    <w:t>筒</w:t>
                  </w:r>
                  <w:r>
                    <w:rPr>
                      <w:rFonts w:hint="default" w:ascii="Times New Roman" w:hAnsi="Times New Roman" w:eastAsia="宋体" w:cs="Times New Roman"/>
                      <w:b/>
                      <w:bCs/>
                      <w:i w:val="0"/>
                      <w:iCs w:val="0"/>
                      <w:color w:val="auto"/>
                      <w:kern w:val="0"/>
                      <w:sz w:val="21"/>
                      <w:szCs w:val="21"/>
                      <w:highlight w:val="none"/>
                      <w:u w:val="none"/>
                      <w:lang w:val="en-US" w:eastAsia="zh-CN" w:bidi="ar"/>
                    </w:rPr>
                    <w:t>编号</w:t>
                  </w:r>
                </w:p>
              </w:tc>
              <w:tc>
                <w:tcPr>
                  <w:tcW w:w="660" w:type="pct"/>
                  <w:vMerge w:val="restart"/>
                  <w:tcBorders>
                    <w:top w:val="single" w:color="000000" w:sz="4" w:space="0"/>
                    <w:left w:val="single" w:color="000000" w:sz="4" w:space="0"/>
                    <w:right w:val="single" w:color="000000" w:sz="4" w:space="0"/>
                  </w:tcBorders>
                  <w:noWrap w:val="0"/>
                  <w:vAlign w:val="center"/>
                </w:tcPr>
                <w:p w14:paraId="059832C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排气</w:t>
                  </w:r>
                  <w:r>
                    <w:rPr>
                      <w:rFonts w:hint="default" w:ascii="Times New Roman" w:hAnsi="Times New Roman" w:cs="Times New Roman"/>
                      <w:b/>
                      <w:bCs/>
                      <w:i w:val="0"/>
                      <w:iCs w:val="0"/>
                      <w:color w:val="auto"/>
                      <w:kern w:val="0"/>
                      <w:sz w:val="21"/>
                      <w:szCs w:val="21"/>
                      <w:highlight w:val="none"/>
                      <w:u w:val="none"/>
                      <w:lang w:val="en-US" w:eastAsia="zh-CN" w:bidi="ar"/>
                    </w:rPr>
                    <w:t>筒</w:t>
                  </w:r>
                  <w:r>
                    <w:rPr>
                      <w:rFonts w:hint="default" w:ascii="Times New Roman" w:hAnsi="Times New Roman" w:eastAsia="宋体" w:cs="Times New Roman"/>
                      <w:b/>
                      <w:bCs/>
                      <w:i w:val="0"/>
                      <w:iCs w:val="0"/>
                      <w:color w:val="auto"/>
                      <w:kern w:val="0"/>
                      <w:sz w:val="21"/>
                      <w:szCs w:val="21"/>
                      <w:highlight w:val="none"/>
                      <w:u w:val="none"/>
                      <w:lang w:val="en-US" w:eastAsia="zh-CN" w:bidi="ar"/>
                    </w:rPr>
                    <w:t>高度/m</w:t>
                  </w:r>
                </w:p>
              </w:tc>
              <w:tc>
                <w:tcPr>
                  <w:tcW w:w="1753" w:type="pct"/>
                  <w:gridSpan w:val="2"/>
                  <w:tcBorders>
                    <w:top w:val="single" w:color="000000" w:sz="4" w:space="0"/>
                    <w:left w:val="single" w:color="000000" w:sz="4" w:space="0"/>
                    <w:bottom w:val="single" w:color="000000" w:sz="4" w:space="0"/>
                    <w:right w:val="single" w:color="000000" w:sz="4" w:space="0"/>
                  </w:tcBorders>
                  <w:noWrap w:val="0"/>
                  <w:vAlign w:val="center"/>
                </w:tcPr>
                <w:p w14:paraId="793E48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有组织排放</w:t>
                  </w:r>
                </w:p>
              </w:tc>
              <w:tc>
                <w:tcPr>
                  <w:tcW w:w="930" w:type="pct"/>
                  <w:vMerge w:val="restart"/>
                  <w:tcBorders>
                    <w:top w:val="single" w:color="000000" w:sz="4" w:space="0"/>
                    <w:left w:val="single" w:color="000000" w:sz="4" w:space="0"/>
                    <w:right w:val="single" w:color="000000" w:sz="4" w:space="0"/>
                  </w:tcBorders>
                  <w:noWrap w:val="0"/>
                  <w:vAlign w:val="center"/>
                </w:tcPr>
                <w:p w14:paraId="47D6ABF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无组织排放监控浓度限值(mg/m³)</w:t>
                  </w:r>
                </w:p>
              </w:tc>
            </w:tr>
            <w:tr w14:paraId="1A618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 w:hRule="atLeast"/>
                <w:jc w:val="center"/>
              </w:trPr>
              <w:tc>
                <w:tcPr>
                  <w:tcW w:w="556" w:type="pct"/>
                  <w:vMerge w:val="continue"/>
                  <w:tcBorders>
                    <w:left w:val="single" w:color="000000" w:sz="4" w:space="0"/>
                    <w:bottom w:val="single" w:color="000000" w:sz="4" w:space="0"/>
                    <w:right w:val="single" w:color="000000" w:sz="4" w:space="0"/>
                  </w:tcBorders>
                  <w:noWrap w:val="0"/>
                  <w:vAlign w:val="center"/>
                </w:tcPr>
                <w:p w14:paraId="41784EB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p>
              </w:tc>
              <w:tc>
                <w:tcPr>
                  <w:tcW w:w="1098" w:type="pct"/>
                  <w:vMerge w:val="continue"/>
                  <w:tcBorders>
                    <w:left w:val="single" w:color="000000" w:sz="4" w:space="0"/>
                    <w:bottom w:val="single" w:color="000000" w:sz="4" w:space="0"/>
                    <w:right w:val="single" w:color="000000" w:sz="4" w:space="0"/>
                  </w:tcBorders>
                  <w:noWrap w:val="0"/>
                  <w:vAlign w:val="center"/>
                </w:tcPr>
                <w:p w14:paraId="02B417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p>
              </w:tc>
              <w:tc>
                <w:tcPr>
                  <w:tcW w:w="660" w:type="pct"/>
                  <w:vMerge w:val="continue"/>
                  <w:tcBorders>
                    <w:left w:val="single" w:color="000000" w:sz="4" w:space="0"/>
                    <w:bottom w:val="single" w:color="000000" w:sz="4" w:space="0"/>
                    <w:right w:val="single" w:color="000000" w:sz="4" w:space="0"/>
                  </w:tcBorders>
                  <w:noWrap w:val="0"/>
                  <w:vAlign w:val="center"/>
                </w:tcPr>
                <w:p w14:paraId="3AB94C7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39C9144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浓度限值(mg/m³)</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14:paraId="11439F7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cs="Times New Roman"/>
                      <w:b/>
                      <w:bCs/>
                      <w:i w:val="0"/>
                      <w:iCs w:val="0"/>
                      <w:color w:val="auto"/>
                      <w:kern w:val="0"/>
                      <w:sz w:val="21"/>
                      <w:szCs w:val="21"/>
                      <w:highlight w:val="none"/>
                      <w:u w:val="none"/>
                      <w:lang w:val="en-US" w:eastAsia="zh-CN" w:bidi="ar"/>
                    </w:rPr>
                    <w:t>排放速率（kg/h）</w:t>
                  </w:r>
                </w:p>
              </w:tc>
              <w:tc>
                <w:tcPr>
                  <w:tcW w:w="930" w:type="pct"/>
                  <w:vMerge w:val="continue"/>
                  <w:tcBorders>
                    <w:left w:val="single" w:color="000000" w:sz="4" w:space="0"/>
                    <w:bottom w:val="single" w:color="000000" w:sz="4" w:space="0"/>
                    <w:right w:val="single" w:color="000000" w:sz="4" w:space="0"/>
                  </w:tcBorders>
                  <w:noWrap w:val="0"/>
                  <w:vAlign w:val="center"/>
                </w:tcPr>
                <w:p w14:paraId="5AEBEA6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p>
              </w:tc>
            </w:tr>
            <w:tr w14:paraId="2399D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56" w:type="pct"/>
                  <w:tcBorders>
                    <w:top w:val="single" w:color="000000" w:sz="4" w:space="0"/>
                    <w:left w:val="single" w:color="000000" w:sz="4" w:space="0"/>
                    <w:bottom w:val="single" w:color="000000" w:sz="4" w:space="0"/>
                    <w:right w:val="single" w:color="000000" w:sz="4" w:space="0"/>
                  </w:tcBorders>
                  <w:noWrap w:val="0"/>
                  <w:vAlign w:val="center"/>
                </w:tcPr>
                <w:p w14:paraId="26E06AF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cs="Times New Roman"/>
                      <w:b w:val="0"/>
                      <w:bCs w:val="0"/>
                      <w:i w:val="0"/>
                      <w:iCs w:val="0"/>
                      <w:color w:val="auto"/>
                      <w:kern w:val="0"/>
                      <w:sz w:val="21"/>
                      <w:szCs w:val="21"/>
                      <w:highlight w:val="none"/>
                      <w:u w:val="none"/>
                      <w:lang w:val="en-US" w:eastAsia="zh-CN" w:bidi="ar"/>
                    </w:rPr>
                    <w:t>颗粒物</w:t>
                  </w:r>
                </w:p>
              </w:tc>
              <w:tc>
                <w:tcPr>
                  <w:tcW w:w="1098" w:type="pct"/>
                  <w:tcBorders>
                    <w:top w:val="single" w:color="000000" w:sz="4" w:space="0"/>
                    <w:left w:val="single" w:color="000000" w:sz="4" w:space="0"/>
                    <w:bottom w:val="single" w:color="000000" w:sz="4" w:space="0"/>
                    <w:right w:val="single" w:color="000000" w:sz="4" w:space="0"/>
                  </w:tcBorders>
                  <w:noWrap w:val="0"/>
                  <w:vAlign w:val="center"/>
                </w:tcPr>
                <w:p w14:paraId="78EFA7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eastAsia" w:cs="Times New Roman"/>
                      <w:b w:val="0"/>
                      <w:bCs w:val="0"/>
                      <w:i w:val="0"/>
                      <w:iCs w:val="0"/>
                      <w:color w:val="auto"/>
                      <w:kern w:val="0"/>
                      <w:sz w:val="21"/>
                      <w:szCs w:val="21"/>
                      <w:highlight w:val="none"/>
                      <w:u w:val="none"/>
                      <w:lang w:val="en-US" w:eastAsia="zh-CN" w:bidi="ar"/>
                    </w:rPr>
                    <w:t>/</w:t>
                  </w:r>
                </w:p>
              </w:tc>
              <w:tc>
                <w:tcPr>
                  <w:tcW w:w="660" w:type="pct"/>
                  <w:tcBorders>
                    <w:top w:val="single" w:color="000000" w:sz="4" w:space="0"/>
                    <w:left w:val="single" w:color="000000" w:sz="4" w:space="0"/>
                    <w:bottom w:val="single" w:color="000000" w:sz="4" w:space="0"/>
                    <w:right w:val="single" w:color="000000" w:sz="4" w:space="0"/>
                  </w:tcBorders>
                  <w:noWrap w:val="0"/>
                  <w:vAlign w:val="center"/>
                </w:tcPr>
                <w:p w14:paraId="5B2AEA3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15</w:t>
                  </w:r>
                </w:p>
              </w:tc>
              <w:tc>
                <w:tcPr>
                  <w:tcW w:w="785" w:type="pct"/>
                  <w:tcBorders>
                    <w:top w:val="single" w:color="000000" w:sz="4" w:space="0"/>
                    <w:left w:val="single" w:color="000000" w:sz="4" w:space="0"/>
                    <w:bottom w:val="single" w:color="000000" w:sz="4" w:space="0"/>
                    <w:right w:val="single" w:color="000000" w:sz="4" w:space="0"/>
                  </w:tcBorders>
                  <w:noWrap w:val="0"/>
                  <w:vAlign w:val="center"/>
                </w:tcPr>
                <w:p w14:paraId="2D4088E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cs="Times New Roman"/>
                      <w:b w:val="0"/>
                      <w:bCs w:val="0"/>
                      <w:i w:val="0"/>
                      <w:iCs w:val="0"/>
                      <w:color w:val="auto"/>
                      <w:kern w:val="0"/>
                      <w:sz w:val="21"/>
                      <w:szCs w:val="21"/>
                      <w:highlight w:val="none"/>
                      <w:u w:val="none"/>
                      <w:lang w:val="en-US" w:eastAsia="zh-CN" w:bidi="ar"/>
                    </w:rPr>
                    <w:t>120</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14:paraId="5E01D1B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cs="Times New Roman"/>
                      <w:b w:val="0"/>
                      <w:bCs w:val="0"/>
                      <w:i w:val="0"/>
                      <w:iCs w:val="0"/>
                      <w:color w:val="auto"/>
                      <w:kern w:val="0"/>
                      <w:sz w:val="21"/>
                      <w:szCs w:val="21"/>
                      <w:highlight w:val="none"/>
                      <w:u w:val="none"/>
                      <w:lang w:val="en-US" w:eastAsia="zh-CN" w:bidi="ar"/>
                    </w:rPr>
                  </w:pPr>
                  <w:r>
                    <w:rPr>
                      <w:rFonts w:hint="default" w:ascii="Times New Roman" w:hAnsi="Times New Roman" w:cs="Times New Roman"/>
                      <w:b w:val="0"/>
                      <w:bCs w:val="0"/>
                      <w:i w:val="0"/>
                      <w:iCs w:val="0"/>
                      <w:color w:val="auto"/>
                      <w:kern w:val="0"/>
                      <w:sz w:val="21"/>
                      <w:szCs w:val="21"/>
                      <w:highlight w:val="none"/>
                      <w:u w:val="none"/>
                      <w:lang w:val="en-US" w:eastAsia="zh-CN" w:bidi="ar"/>
                    </w:rPr>
                    <w:t>1.45*</w:t>
                  </w:r>
                </w:p>
              </w:tc>
              <w:tc>
                <w:tcPr>
                  <w:tcW w:w="930" w:type="pct"/>
                  <w:tcBorders>
                    <w:top w:val="single" w:color="000000" w:sz="4" w:space="0"/>
                    <w:left w:val="single" w:color="000000" w:sz="4" w:space="0"/>
                    <w:bottom w:val="single" w:color="000000" w:sz="4" w:space="0"/>
                    <w:right w:val="single" w:color="000000" w:sz="4" w:space="0"/>
                  </w:tcBorders>
                  <w:noWrap w:val="0"/>
                  <w:vAlign w:val="center"/>
                </w:tcPr>
                <w:p w14:paraId="5536423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cs="Times New Roman"/>
                      <w:b w:val="0"/>
                      <w:bCs w:val="0"/>
                      <w:i w:val="0"/>
                      <w:iCs w:val="0"/>
                      <w:color w:val="auto"/>
                      <w:kern w:val="0"/>
                      <w:sz w:val="21"/>
                      <w:szCs w:val="21"/>
                      <w:highlight w:val="none"/>
                      <w:u w:val="none"/>
                      <w:lang w:val="en-US" w:eastAsia="zh-CN" w:bidi="ar"/>
                    </w:rPr>
                    <w:t>1.0</w:t>
                  </w:r>
                </w:p>
              </w:tc>
            </w:tr>
            <w:tr w14:paraId="1BA9D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6"/>
                  <w:tcBorders>
                    <w:top w:val="single" w:color="000000" w:sz="4" w:space="0"/>
                    <w:left w:val="single" w:color="000000" w:sz="4" w:space="0"/>
                    <w:bottom w:val="single" w:color="000000" w:sz="4" w:space="0"/>
                    <w:right w:val="single" w:color="000000" w:sz="4" w:space="0"/>
                  </w:tcBorders>
                  <w:noWrap w:val="0"/>
                  <w:vAlign w:val="center"/>
                </w:tcPr>
                <w:p w14:paraId="100B59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center"/>
                    <w:rPr>
                      <w:rFonts w:hint="default" w:ascii="Times New Roman" w:hAnsi="Times New Roman" w:cs="Times New Roman"/>
                      <w:i w:val="0"/>
                      <w:iCs w:val="0"/>
                      <w:color w:val="auto"/>
                      <w:sz w:val="21"/>
                      <w:szCs w:val="21"/>
                      <w:highlight w:val="none"/>
                      <w:u w:val="none"/>
                      <w:lang w:val="en-US" w:eastAsia="zh-CN"/>
                    </w:rPr>
                  </w:pPr>
                  <w:r>
                    <w:rPr>
                      <w:rFonts w:hint="default" w:ascii="Times New Roman" w:hAnsi="Times New Roman" w:cs="Times New Roman"/>
                      <w:b/>
                      <w:bCs/>
                      <w:i w:val="0"/>
                      <w:iCs w:val="0"/>
                      <w:color w:val="auto"/>
                      <w:kern w:val="0"/>
                      <w:sz w:val="21"/>
                      <w:szCs w:val="21"/>
                      <w:highlight w:val="none"/>
                      <w:u w:val="none"/>
                      <w:lang w:val="en-US" w:eastAsia="zh-CN" w:bidi="ar"/>
                    </w:rPr>
                    <w:t>*本项目排气筒未高于周边200m建筑</w:t>
                  </w:r>
                  <w:r>
                    <w:rPr>
                      <w:rFonts w:hint="eastAsia" w:cs="Times New Roman"/>
                      <w:b/>
                      <w:bCs/>
                      <w:i w:val="0"/>
                      <w:iCs w:val="0"/>
                      <w:color w:val="auto"/>
                      <w:kern w:val="0"/>
                      <w:sz w:val="21"/>
                      <w:szCs w:val="21"/>
                      <w:highlight w:val="none"/>
                      <w:u w:val="none"/>
                      <w:lang w:val="en-US" w:eastAsia="zh-CN" w:bidi="ar"/>
                    </w:rPr>
                    <w:t>5</w:t>
                  </w:r>
                  <w:r>
                    <w:rPr>
                      <w:rFonts w:hint="default" w:ascii="Times New Roman" w:hAnsi="Times New Roman" w:cs="Times New Roman"/>
                      <w:b/>
                      <w:bCs/>
                      <w:i w:val="0"/>
                      <w:iCs w:val="0"/>
                      <w:color w:val="auto"/>
                      <w:kern w:val="0"/>
                      <w:sz w:val="21"/>
                      <w:szCs w:val="21"/>
                      <w:highlight w:val="none"/>
                      <w:u w:val="none"/>
                      <w:lang w:val="en-US" w:eastAsia="zh-CN" w:bidi="ar"/>
                    </w:rPr>
                    <w:t>m以上，因此排放速率按50%折算。</w:t>
                  </w:r>
                </w:p>
              </w:tc>
            </w:tr>
          </w:tbl>
          <w:p w14:paraId="0C7730B6">
            <w:pPr>
              <w:keepNext w:val="0"/>
              <w:keepLines w:val="0"/>
              <w:pageBreakBefore w:val="0"/>
              <w:widowControl w:val="0"/>
              <w:kinsoku/>
              <w:wordWrap/>
              <w:overflowPunct/>
              <w:topLinePunct w:val="0"/>
              <w:autoSpaceDE/>
              <w:autoSpaceDN/>
              <w:bidi w:val="0"/>
              <w:adjustRightInd/>
              <w:snapToGrid/>
              <w:spacing w:line="100" w:lineRule="exact"/>
              <w:ind w:firstLine="480" w:firstLineChars="200"/>
              <w:textAlignment w:val="auto"/>
              <w:rPr>
                <w:rFonts w:hint="default" w:ascii="Times New Roman" w:hAnsi="Times New Roman" w:eastAsia="宋体" w:cs="Times New Roman"/>
                <w:color w:val="auto"/>
                <w:kern w:val="0"/>
                <w:sz w:val="24"/>
                <w:highlight w:val="none"/>
                <w:lang w:bidi="ar"/>
              </w:rPr>
            </w:pPr>
          </w:p>
          <w:p w14:paraId="0E7E8B0B">
            <w:pPr>
              <w:spacing w:line="360" w:lineRule="auto"/>
              <w:ind w:firstLine="480" w:firstLineChars="200"/>
              <w:rPr>
                <w:rFonts w:hint="eastAsia" w:ascii="Times New Roman" w:hAnsi="Times New Roman" w:eastAsia="宋体" w:cs="Times New Roman"/>
                <w:color w:val="auto"/>
                <w:kern w:val="0"/>
                <w:sz w:val="24"/>
                <w:highlight w:val="none"/>
                <w:lang w:eastAsia="zh-CN" w:bidi="ar"/>
              </w:rPr>
            </w:pPr>
            <w:r>
              <w:rPr>
                <w:rFonts w:hint="default" w:ascii="Times New Roman" w:hAnsi="Times New Roman" w:eastAsia="宋体" w:cs="Times New Roman"/>
                <w:color w:val="auto"/>
                <w:kern w:val="0"/>
                <w:sz w:val="24"/>
                <w:highlight w:val="none"/>
                <w:lang w:bidi="ar"/>
              </w:rPr>
              <w:t>②</w:t>
            </w:r>
            <w:r>
              <w:rPr>
                <w:rFonts w:hint="eastAsia" w:cs="Times New Roman"/>
                <w:color w:val="auto"/>
                <w:kern w:val="0"/>
                <w:sz w:val="24"/>
                <w:highlight w:val="none"/>
                <w:lang w:val="en-US" w:eastAsia="zh-CN" w:bidi="ar"/>
              </w:rPr>
              <w:t>喷漆</w:t>
            </w:r>
            <w:r>
              <w:rPr>
                <w:rFonts w:hint="default" w:ascii="Times New Roman" w:hAnsi="Times New Roman" w:eastAsia="宋体" w:cs="Times New Roman"/>
                <w:color w:val="auto"/>
                <w:kern w:val="0"/>
                <w:sz w:val="24"/>
                <w:highlight w:val="none"/>
                <w:lang w:bidi="ar"/>
              </w:rPr>
              <w:t>废气</w:t>
            </w:r>
          </w:p>
          <w:p w14:paraId="4A868A44">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kern w:val="0"/>
                <w:sz w:val="24"/>
                <w:szCs w:val="24"/>
                <w:lang w:val="en-US" w:eastAsia="zh-CN" w:bidi="ar"/>
              </w:rPr>
              <w:t>喷</w:t>
            </w:r>
            <w:r>
              <w:rPr>
                <w:rFonts w:hint="eastAsia" w:cs="Times New Roman"/>
                <w:color w:val="auto"/>
                <w:kern w:val="0"/>
                <w:sz w:val="24"/>
                <w:szCs w:val="24"/>
                <w:lang w:val="en-US" w:eastAsia="zh-CN" w:bidi="ar"/>
              </w:rPr>
              <w:t>漆</w:t>
            </w:r>
            <w:r>
              <w:rPr>
                <w:rFonts w:hint="eastAsia" w:ascii="Times New Roman" w:hAnsi="Times New Roman" w:eastAsia="宋体" w:cs="Times New Roman"/>
                <w:color w:val="auto"/>
                <w:sz w:val="24"/>
                <w:szCs w:val="24"/>
                <w:lang w:val="en-US" w:eastAsia="zh-CN"/>
              </w:rPr>
              <w:t>废气通过排气筒</w:t>
            </w:r>
            <w:r>
              <w:rPr>
                <w:rFonts w:hint="eastAsia" w:cs="Times New Roman"/>
                <w:color w:val="auto"/>
                <w:sz w:val="24"/>
                <w:szCs w:val="24"/>
                <w:lang w:val="en-US" w:eastAsia="zh-CN"/>
              </w:rPr>
              <w:t>DA001</w:t>
            </w:r>
            <w:r>
              <w:rPr>
                <w:rFonts w:hint="eastAsia" w:ascii="Times New Roman" w:hAnsi="Times New Roman" w:eastAsia="宋体" w:cs="Times New Roman"/>
                <w:color w:val="auto"/>
                <w:sz w:val="24"/>
                <w:szCs w:val="24"/>
                <w:lang w:val="en-US" w:eastAsia="zh-CN"/>
              </w:rPr>
              <w:t>排放，废气排放因子颗粒物、非甲烷总烃（以NMHC表征）、苯系物（二甲苯统一表征为苯系物）执行</w:t>
            </w:r>
            <w:r>
              <w:rPr>
                <w:rFonts w:hint="default" w:ascii="Times New Roman" w:hAnsi="Times New Roman" w:eastAsia="宋体" w:cs="Times New Roman"/>
                <w:color w:val="auto"/>
                <w:sz w:val="24"/>
                <w:szCs w:val="24"/>
                <w:lang w:val="en-US" w:eastAsia="zh-CN"/>
              </w:rPr>
              <w:t>广东省《固定污染源挥发性有机物综合排放标准》（DB44/2367-2022）中表</w:t>
            </w:r>
            <w:r>
              <w:rPr>
                <w:rFonts w:hint="eastAsia" w:ascii="Times New Roman" w:hAnsi="Times New Roman" w:eastAsia="宋体" w:cs="Times New Roman"/>
                <w:color w:val="auto"/>
                <w:sz w:val="24"/>
                <w:szCs w:val="24"/>
                <w:lang w:val="en-US" w:eastAsia="zh-CN"/>
              </w:rPr>
              <w:t>1挥发性有机物排放限值。</w:t>
            </w:r>
            <w:r>
              <w:rPr>
                <w:rFonts w:hint="default" w:ascii="Times New Roman" w:hAnsi="Times New Roman" w:eastAsia="宋体" w:cs="Times New Roman"/>
                <w:color w:val="auto"/>
                <w:sz w:val="24"/>
                <w:szCs w:val="24"/>
              </w:rPr>
              <w:t>臭气浓度有组织排放执行《恶臭污染物排放标准》（GB14554-93）中表2恶臭污染物排放标准值</w:t>
            </w:r>
            <w:r>
              <w:rPr>
                <w:rFonts w:hint="eastAsia" w:ascii="Times New Roman" w:hAnsi="Times New Roman" w:eastAsia="宋体" w:cs="Times New Roman"/>
                <w:color w:val="auto"/>
                <w:sz w:val="24"/>
                <w:szCs w:val="24"/>
                <w:lang w:eastAsia="zh-CN"/>
              </w:rPr>
              <w:t>。</w:t>
            </w:r>
          </w:p>
          <w:p w14:paraId="27B8431B">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③</w:t>
            </w:r>
            <w:r>
              <w:rPr>
                <w:rFonts w:hint="eastAsia" w:ascii="Times New Roman" w:hAnsi="Times New Roman" w:eastAsia="宋体" w:cs="Times New Roman"/>
                <w:color w:val="auto"/>
                <w:sz w:val="24"/>
                <w:szCs w:val="24"/>
                <w:lang w:val="en-US" w:eastAsia="zh-CN"/>
              </w:rPr>
              <w:t>固化</w:t>
            </w:r>
            <w:r>
              <w:rPr>
                <w:rFonts w:hint="default" w:ascii="Times New Roman" w:hAnsi="Times New Roman" w:eastAsia="宋体" w:cs="Times New Roman"/>
                <w:color w:val="auto"/>
                <w:sz w:val="24"/>
                <w:szCs w:val="24"/>
              </w:rPr>
              <w:t>废气</w:t>
            </w:r>
          </w:p>
          <w:p w14:paraId="0C12C1CF">
            <w:pPr>
              <w:keepNext w:val="0"/>
              <w:keepLines w:val="0"/>
              <w:suppressLineNumbers w:val="0"/>
              <w:tabs>
                <w:tab w:val="left" w:pos="2790"/>
              </w:tabs>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vertAlign w:val="baseline"/>
                <w:lang w:val="en-US" w:eastAsia="zh-CN"/>
              </w:rPr>
            </w:pPr>
            <w:r>
              <w:rPr>
                <w:rFonts w:hint="eastAsia" w:cs="Times New Roman"/>
                <w:color w:val="auto"/>
                <w:sz w:val="24"/>
                <w:szCs w:val="24"/>
                <w:lang w:val="en-US" w:eastAsia="zh-CN"/>
              </w:rPr>
              <w:t>固化废气</w:t>
            </w:r>
            <w:r>
              <w:rPr>
                <w:rFonts w:hint="eastAsia" w:ascii="Times New Roman" w:hAnsi="Times New Roman" w:eastAsia="宋体" w:cs="Times New Roman"/>
                <w:color w:val="auto"/>
                <w:sz w:val="24"/>
                <w:szCs w:val="24"/>
                <w:lang w:val="en-US" w:eastAsia="zh-CN"/>
              </w:rPr>
              <w:t>通过排气筒</w:t>
            </w:r>
            <w:r>
              <w:rPr>
                <w:rFonts w:hint="eastAsia" w:cs="Times New Roman"/>
                <w:color w:val="auto"/>
                <w:sz w:val="24"/>
                <w:szCs w:val="24"/>
                <w:lang w:val="en-US" w:eastAsia="zh-CN"/>
              </w:rPr>
              <w:t>DA002</w:t>
            </w:r>
            <w:r>
              <w:rPr>
                <w:rFonts w:hint="eastAsia" w:ascii="Times New Roman" w:hAnsi="Times New Roman" w:eastAsia="宋体" w:cs="Times New Roman"/>
                <w:color w:val="auto"/>
                <w:sz w:val="24"/>
                <w:szCs w:val="24"/>
                <w:lang w:val="en-US" w:eastAsia="zh-CN"/>
              </w:rPr>
              <w:t>排放，废气排放因子</w:t>
            </w:r>
            <w:r>
              <w:rPr>
                <w:rFonts w:hint="default" w:ascii="Times New Roman" w:hAnsi="Times New Roman" w:eastAsia="宋体" w:cs="Times New Roman"/>
                <w:color w:val="auto"/>
                <w:sz w:val="24"/>
                <w:szCs w:val="24"/>
              </w:rPr>
              <w:t>非甲烷总烃、</w:t>
            </w:r>
            <w:r>
              <w:rPr>
                <w:rFonts w:hint="eastAsia" w:ascii="Times New Roman" w:hAnsi="Times New Roman" w:eastAsia="宋体" w:cs="Times New Roman"/>
                <w:color w:val="auto"/>
                <w:sz w:val="24"/>
                <w:szCs w:val="24"/>
                <w:lang w:val="en-US" w:eastAsia="zh-CN"/>
              </w:rPr>
              <w:t>苯系物</w:t>
            </w:r>
            <w:r>
              <w:rPr>
                <w:rFonts w:hint="default" w:ascii="Times New Roman" w:hAnsi="Times New Roman" w:eastAsia="宋体" w:cs="Times New Roman"/>
                <w:color w:val="auto"/>
                <w:sz w:val="24"/>
                <w:szCs w:val="24"/>
              </w:rPr>
              <w:t>有组织排放执行广东省《固定污染源挥发性有机物综合排放标准》（DB44/2367-2022）表1挥发性有机物排放限值</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臭气浓度有组织排放执行《恶臭污染物排放标准》（GB14554-93）中表2恶臭污染物排放标准值</w:t>
            </w:r>
            <w:r>
              <w:rPr>
                <w:rFonts w:hint="eastAsia" w:ascii="Times New Roman" w:hAnsi="Times New Roman" w:eastAsia="宋体" w:cs="Times New Roman"/>
                <w:color w:val="auto"/>
                <w:sz w:val="24"/>
                <w:szCs w:val="24"/>
                <w:lang w:eastAsia="zh-CN"/>
              </w:rPr>
              <w:t>。</w:t>
            </w:r>
          </w:p>
          <w:p w14:paraId="2F2D62C7">
            <w:pPr>
              <w:keepNext w:val="0"/>
              <w:keepLines w:val="0"/>
              <w:suppressLineNumbers w:val="0"/>
              <w:tabs>
                <w:tab w:val="left" w:pos="2790"/>
              </w:tabs>
              <w:spacing w:before="0" w:beforeAutospacing="0" w:after="0" w:afterAutospacing="0" w:line="360" w:lineRule="auto"/>
              <w:ind w:left="0" w:right="0" w:firstLine="480" w:firstLineChars="200"/>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厂界无组织：NMHC</w:t>
            </w:r>
            <w:r>
              <w:rPr>
                <w:rFonts w:hint="eastAsia" w:cs="Times New Roman"/>
                <w:color w:val="auto"/>
                <w:sz w:val="24"/>
                <w:szCs w:val="24"/>
                <w:lang w:eastAsia="zh-CN"/>
              </w:rPr>
              <w:t>、</w:t>
            </w:r>
            <w:r>
              <w:rPr>
                <w:rFonts w:hint="eastAsia" w:cs="Times New Roman"/>
                <w:color w:val="auto"/>
                <w:sz w:val="24"/>
                <w:szCs w:val="24"/>
                <w:lang w:val="en-US" w:eastAsia="zh-CN"/>
              </w:rPr>
              <w:t>颗粒物、苯系物</w:t>
            </w:r>
            <w:r>
              <w:rPr>
                <w:rFonts w:hint="default" w:ascii="Times New Roman" w:hAnsi="Times New Roman" w:eastAsia="宋体" w:cs="Times New Roman"/>
                <w:color w:val="auto"/>
                <w:sz w:val="24"/>
                <w:szCs w:val="24"/>
              </w:rPr>
              <w:t>执行广东省《大气污染物排放限值》（DB44/27-2001）第二时段无组织排放监控浓度限值</w:t>
            </w:r>
            <w:r>
              <w:rPr>
                <w:rFonts w:hint="default"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臭气浓度</w:t>
            </w:r>
            <w:r>
              <w:rPr>
                <w:rFonts w:hint="default" w:ascii="Times New Roman" w:hAnsi="Times New Roman" w:eastAsia="宋体" w:cs="Times New Roman"/>
                <w:color w:val="auto"/>
                <w:sz w:val="24"/>
                <w:szCs w:val="24"/>
              </w:rPr>
              <w:t>排放执行《恶臭污染物排放标准》（GB14554-93）中表1恶臭污染物厂界标准值二级新扩改建标准</w:t>
            </w:r>
            <w:r>
              <w:rPr>
                <w:rFonts w:hint="eastAsia" w:ascii="Times New Roman" w:hAnsi="Times New Roman" w:eastAsia="宋体" w:cs="Times New Roman"/>
                <w:color w:val="auto"/>
                <w:sz w:val="24"/>
                <w:szCs w:val="24"/>
                <w:lang w:val="en-US" w:eastAsia="zh-CN"/>
              </w:rPr>
              <w:t>。</w:t>
            </w:r>
          </w:p>
          <w:p w14:paraId="065A8786">
            <w:pPr>
              <w:spacing w:line="360" w:lineRule="auto"/>
              <w:ind w:firstLine="480" w:firstLineChars="200"/>
              <w:rPr>
                <w:rFonts w:hint="eastAsia" w:ascii="Times New Roman" w:hAnsi="Times New Roman" w:cs="Times New Roman"/>
                <w:b/>
                <w:bCs/>
                <w:color w:val="auto"/>
                <w:sz w:val="21"/>
                <w:szCs w:val="21"/>
                <w:highlight w:val="none"/>
                <w:lang w:val="en-US" w:eastAsia="zh-CN"/>
              </w:rPr>
            </w:pPr>
            <w:r>
              <w:rPr>
                <w:rFonts w:hint="default" w:ascii="Times New Roman" w:hAnsi="Times New Roman" w:eastAsia="宋体" w:cs="Times New Roman"/>
                <w:color w:val="auto"/>
                <w:sz w:val="24"/>
                <w:szCs w:val="24"/>
              </w:rPr>
              <w:t>厂区内</w:t>
            </w:r>
            <w:r>
              <w:rPr>
                <w:rFonts w:hint="eastAsia" w:ascii="Times New Roman" w:hAnsi="Times New Roman" w:eastAsia="宋体" w:cs="Times New Roman"/>
                <w:color w:val="auto"/>
                <w:sz w:val="24"/>
                <w:szCs w:val="24"/>
                <w:lang w:val="en-US" w:eastAsia="zh-CN"/>
              </w:rPr>
              <w:t>NMHC</w:t>
            </w:r>
            <w:r>
              <w:rPr>
                <w:rFonts w:hint="default" w:ascii="Times New Roman" w:hAnsi="Times New Roman" w:eastAsia="宋体" w:cs="Times New Roman"/>
                <w:color w:val="auto"/>
                <w:sz w:val="24"/>
                <w:szCs w:val="24"/>
              </w:rPr>
              <w:t>执行广东省《固定污染源挥发性有机物综合排放标准》（DB44/2367-2022）</w:t>
            </w:r>
            <w:r>
              <w:rPr>
                <w:rFonts w:hint="eastAsia" w:ascii="Times New Roman" w:hAnsi="Times New Roman" w:eastAsia="宋体" w:cs="Times New Roman"/>
                <w:color w:val="auto"/>
                <w:sz w:val="24"/>
                <w:szCs w:val="24"/>
                <w:lang w:val="en-US" w:eastAsia="zh-CN"/>
              </w:rPr>
              <w:t>中</w:t>
            </w:r>
            <w:r>
              <w:rPr>
                <w:rFonts w:hint="default" w:ascii="Times New Roman" w:hAnsi="Times New Roman" w:eastAsia="宋体" w:cs="Times New Roman"/>
                <w:color w:val="auto"/>
                <w:sz w:val="24"/>
                <w:szCs w:val="24"/>
              </w:rPr>
              <w:t>表3厂区内VOCs无组织排放限值，具体详见下表</w:t>
            </w:r>
            <w:r>
              <w:rPr>
                <w:rFonts w:hint="eastAsia" w:ascii="Times New Roman" w:hAnsi="Times New Roman" w:eastAsia="宋体" w:cs="Times New Roman"/>
                <w:color w:val="auto"/>
                <w:sz w:val="24"/>
                <w:szCs w:val="24"/>
                <w:lang w:eastAsia="zh-CN"/>
              </w:rPr>
              <w:t>。</w:t>
            </w:r>
          </w:p>
          <w:p w14:paraId="65420FC3">
            <w:pPr>
              <w:numPr>
                <w:ilvl w:val="0"/>
                <w:numId w:val="14"/>
              </w:numPr>
              <w:spacing w:line="240" w:lineRule="auto"/>
              <w:ind w:left="0" w:leftChars="0" w:firstLine="40" w:firstLineChars="0"/>
              <w:jc w:val="center"/>
              <w:rPr>
                <w:rFonts w:hint="eastAsia" w:ascii="Times New Roman" w:hAnsi="Times New Roman" w:eastAsia="宋体" w:cs="Times New Roman"/>
                <w:b/>
                <w:bCs/>
                <w:color w:val="auto"/>
                <w:sz w:val="21"/>
                <w:szCs w:val="21"/>
                <w:vertAlign w:val="baseline"/>
                <w:lang w:val="en-US" w:eastAsia="zh-CN"/>
              </w:rPr>
            </w:pPr>
            <w:r>
              <w:rPr>
                <w:rFonts w:hint="eastAsia" w:ascii="Times New Roman" w:hAnsi="Times New Roman" w:cs="Times New Roman"/>
                <w:b/>
                <w:bCs/>
                <w:color w:val="auto"/>
                <w:sz w:val="21"/>
                <w:szCs w:val="21"/>
                <w:highlight w:val="none"/>
                <w:lang w:val="en-US" w:eastAsia="zh-CN"/>
              </w:rPr>
              <w:t xml:space="preserve"> </w:t>
            </w:r>
            <w:r>
              <w:rPr>
                <w:rFonts w:hint="eastAsia" w:ascii="Times New Roman" w:hAnsi="Times New Roman" w:eastAsia="宋体" w:cs="Times New Roman"/>
                <w:b/>
                <w:color w:val="auto"/>
                <w:kern w:val="2"/>
                <w:sz w:val="21"/>
                <w:szCs w:val="21"/>
                <w:lang w:val="en-US" w:eastAsia="zh-CN" w:bidi="ar-SA"/>
              </w:rPr>
              <w:t>排气筒</w:t>
            </w:r>
            <w:r>
              <w:rPr>
                <w:rFonts w:hint="eastAsia" w:cs="Times New Roman"/>
                <w:b/>
                <w:color w:val="auto"/>
                <w:kern w:val="2"/>
                <w:sz w:val="21"/>
                <w:szCs w:val="21"/>
                <w:lang w:val="en-US" w:eastAsia="zh-CN" w:bidi="ar-SA"/>
              </w:rPr>
              <w:t>DA001</w:t>
            </w:r>
            <w:r>
              <w:rPr>
                <w:rFonts w:hint="eastAsia" w:ascii="Times New Roman" w:hAnsi="Times New Roman" w:eastAsia="宋体" w:cs="Times New Roman"/>
                <w:b/>
                <w:color w:val="auto"/>
                <w:kern w:val="2"/>
                <w:sz w:val="21"/>
                <w:szCs w:val="21"/>
                <w:lang w:val="en-US" w:eastAsia="zh-CN" w:bidi="ar-SA"/>
              </w:rPr>
              <w:t>废气有组织排放执行标准（单位：</w:t>
            </w:r>
            <w:r>
              <w:rPr>
                <w:rFonts w:hint="default" w:ascii="Times New Roman" w:hAnsi="Times New Roman" w:eastAsia="宋体" w:cs="Times New Roman"/>
                <w:b/>
                <w:bCs/>
                <w:color w:val="auto"/>
                <w:sz w:val="21"/>
                <w:szCs w:val="21"/>
              </w:rPr>
              <w:t>mg/m</w:t>
            </w:r>
            <w:r>
              <w:rPr>
                <w:rFonts w:hint="eastAsia" w:ascii="Times New Roman" w:hAnsi="Times New Roman" w:eastAsia="宋体" w:cs="Times New Roman"/>
                <w:b/>
                <w:bCs/>
                <w:color w:val="auto"/>
                <w:sz w:val="21"/>
                <w:szCs w:val="21"/>
                <w:vertAlign w:val="superscript"/>
                <w:lang w:val="en-US" w:eastAsia="zh-CN"/>
              </w:rPr>
              <w:t>3</w:t>
            </w:r>
            <w:r>
              <w:rPr>
                <w:rFonts w:hint="eastAsia" w:ascii="Times New Roman" w:hAnsi="Times New Roman" w:eastAsia="宋体" w:cs="Times New Roman"/>
                <w:b/>
                <w:bCs/>
                <w:color w:val="auto"/>
                <w:sz w:val="21"/>
                <w:szCs w:val="21"/>
                <w:vertAlign w:val="baseline"/>
                <w:lang w:val="en-US" w:eastAsia="zh-CN"/>
              </w:rPr>
              <w:t>）</w:t>
            </w:r>
          </w:p>
          <w:tbl>
            <w:tblPr>
              <w:tblStyle w:val="48"/>
              <w:tblW w:w="48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01"/>
              <w:gridCol w:w="1645"/>
              <w:gridCol w:w="2509"/>
              <w:gridCol w:w="802"/>
              <w:gridCol w:w="1059"/>
              <w:gridCol w:w="981"/>
            </w:tblGrid>
            <w:tr w14:paraId="23C1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jc w:val="center"/>
              </w:trPr>
              <w:tc>
                <w:tcPr>
                  <w:tcW w:w="679" w:type="pct"/>
                  <w:noWrap w:val="0"/>
                  <w:vAlign w:val="center"/>
                </w:tcPr>
                <w:p w14:paraId="05DDCF63">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zh-CN" w:bidi="ar-SA"/>
                    </w:rPr>
                  </w:pPr>
                  <w:r>
                    <w:rPr>
                      <w:rFonts w:ascii="Times New Roman" w:hAnsi="Times New Roman" w:eastAsia="宋体" w:cs="Times New Roman"/>
                      <w:b/>
                      <w:color w:val="auto"/>
                      <w:sz w:val="21"/>
                      <w:szCs w:val="21"/>
                      <w:highlight w:val="none"/>
                    </w:rPr>
                    <w:t>生产工序</w:t>
                  </w:r>
                </w:p>
              </w:tc>
              <w:tc>
                <w:tcPr>
                  <w:tcW w:w="1015" w:type="pct"/>
                  <w:noWrap w:val="0"/>
                  <w:vAlign w:val="center"/>
                </w:tcPr>
                <w:p w14:paraId="13879E3B">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en-US" w:bidi="ar-SA"/>
                    </w:rPr>
                  </w:pPr>
                  <w:r>
                    <w:rPr>
                      <w:rFonts w:ascii="Times New Roman" w:hAnsi="Times New Roman" w:eastAsia="宋体" w:cs="Times New Roman"/>
                      <w:b/>
                      <w:color w:val="auto"/>
                      <w:sz w:val="21"/>
                      <w:szCs w:val="21"/>
                      <w:highlight w:val="none"/>
                    </w:rPr>
                    <w:t>污染物名称</w:t>
                  </w:r>
                </w:p>
              </w:tc>
              <w:tc>
                <w:tcPr>
                  <w:tcW w:w="1549" w:type="pct"/>
                  <w:noWrap w:val="0"/>
                  <w:vAlign w:val="center"/>
                </w:tcPr>
                <w:p w14:paraId="7AA38634">
                  <w:pPr>
                    <w:autoSpaceDE w:val="0"/>
                    <w:autoSpaceDN w:val="0"/>
                    <w:adjustRightInd w:val="0"/>
                    <w:snapToGrid w:val="0"/>
                    <w:jc w:val="center"/>
                    <w:rPr>
                      <w:rFonts w:hint="eastAsia" w:ascii="Times New Roman" w:hAnsi="Times New Roman" w:eastAsia="宋体" w:cs="Times New Roman"/>
                      <w:b/>
                      <w:color w:val="auto"/>
                      <w:spacing w:val="-2"/>
                      <w:sz w:val="21"/>
                      <w:szCs w:val="21"/>
                      <w:highlight w:val="none"/>
                      <w:lang w:val="en-US" w:eastAsia="zh-CN" w:bidi="ar-SA"/>
                    </w:rPr>
                  </w:pPr>
                  <w:r>
                    <w:rPr>
                      <w:rFonts w:hint="eastAsia" w:ascii="Times New Roman" w:hAnsi="Times New Roman" w:eastAsia="宋体" w:cs="Times New Roman"/>
                      <w:b/>
                      <w:color w:val="auto"/>
                      <w:sz w:val="21"/>
                      <w:szCs w:val="21"/>
                      <w:highlight w:val="none"/>
                      <w:lang w:val="en-US" w:eastAsia="zh-CN"/>
                    </w:rPr>
                    <w:t>执行标准</w:t>
                  </w:r>
                </w:p>
              </w:tc>
              <w:tc>
                <w:tcPr>
                  <w:tcW w:w="495" w:type="pct"/>
                  <w:noWrap w:val="0"/>
                  <w:vAlign w:val="center"/>
                </w:tcPr>
                <w:p w14:paraId="36AD8F62">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en-US" w:bidi="ar-SA"/>
                    </w:rPr>
                  </w:pPr>
                  <w:r>
                    <w:rPr>
                      <w:rFonts w:ascii="Times New Roman" w:hAnsi="Times New Roman" w:eastAsia="宋体" w:cs="Times New Roman"/>
                      <w:b/>
                      <w:color w:val="auto"/>
                      <w:sz w:val="21"/>
                      <w:szCs w:val="21"/>
                      <w:highlight w:val="none"/>
                    </w:rPr>
                    <w:t>排放高度</w:t>
                  </w:r>
                  <w:r>
                    <w:rPr>
                      <w:rFonts w:ascii="Times New Roman" w:hAnsi="Times New Roman" w:eastAsia="宋体" w:cs="Times New Roman"/>
                      <w:b/>
                      <w:color w:val="auto"/>
                      <w:sz w:val="21"/>
                      <w:szCs w:val="21"/>
                      <w:highlight w:val="none"/>
                      <w:lang w:eastAsia="en-US"/>
                    </w:rPr>
                    <w:t>（m）</w:t>
                  </w:r>
                </w:p>
              </w:tc>
              <w:tc>
                <w:tcPr>
                  <w:tcW w:w="653" w:type="pct"/>
                  <w:noWrap w:val="0"/>
                  <w:vAlign w:val="center"/>
                </w:tcPr>
                <w:p w14:paraId="7918ECEB">
                  <w:pPr>
                    <w:tabs>
                      <w:tab w:val="left" w:pos="552"/>
                    </w:tabs>
                    <w:autoSpaceDE w:val="0"/>
                    <w:autoSpaceDN w:val="0"/>
                    <w:adjustRightInd w:val="0"/>
                    <w:snapToGrid w:val="0"/>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浓度</w:t>
                  </w:r>
                </w:p>
                <w:p w14:paraId="043B1158">
                  <w:pPr>
                    <w:autoSpaceDE w:val="0"/>
                    <w:autoSpaceDN w:val="0"/>
                    <w:adjustRightInd w:val="0"/>
                    <w:snapToGrid w:val="0"/>
                    <w:jc w:val="center"/>
                    <w:rPr>
                      <w:rFonts w:ascii="Times New Roman" w:hAnsi="Times New Roman" w:eastAsia="宋体" w:cs="Times New Roman"/>
                      <w:b/>
                      <w:color w:val="auto"/>
                      <w:sz w:val="21"/>
                      <w:szCs w:val="21"/>
                      <w:highlight w:val="none"/>
                      <w:lang w:eastAsia="en-US"/>
                    </w:rPr>
                  </w:pPr>
                  <w:r>
                    <w:rPr>
                      <w:rFonts w:ascii="Times New Roman" w:hAnsi="Times New Roman" w:eastAsia="宋体" w:cs="Times New Roman"/>
                      <w:b/>
                      <w:color w:val="auto"/>
                      <w:sz w:val="21"/>
                      <w:szCs w:val="21"/>
                      <w:highlight w:val="none"/>
                      <w:lang w:eastAsia="en-US"/>
                    </w:rPr>
                    <w:t>（mg/m</w:t>
                  </w:r>
                  <w:r>
                    <w:rPr>
                      <w:rFonts w:ascii="Times New Roman" w:hAnsi="Times New Roman" w:eastAsia="宋体" w:cs="Times New Roman"/>
                      <w:b/>
                      <w:color w:val="auto"/>
                      <w:sz w:val="21"/>
                      <w:szCs w:val="21"/>
                      <w:highlight w:val="none"/>
                      <w:vertAlign w:val="superscript"/>
                      <w:lang w:eastAsia="en-US"/>
                    </w:rPr>
                    <w:t>3</w:t>
                  </w:r>
                  <w:r>
                    <w:rPr>
                      <w:rFonts w:ascii="Times New Roman" w:hAnsi="Times New Roman" w:eastAsia="宋体" w:cs="Times New Roman"/>
                      <w:b/>
                      <w:color w:val="auto"/>
                      <w:sz w:val="21"/>
                      <w:szCs w:val="21"/>
                      <w:highlight w:val="none"/>
                      <w:lang w:eastAsia="en-US"/>
                    </w:rPr>
                    <w:t>）</w:t>
                  </w:r>
                </w:p>
              </w:tc>
              <w:tc>
                <w:tcPr>
                  <w:tcW w:w="605" w:type="pct"/>
                  <w:noWrap w:val="0"/>
                  <w:vAlign w:val="center"/>
                </w:tcPr>
                <w:p w14:paraId="4438F06B">
                  <w:pPr>
                    <w:autoSpaceDE w:val="0"/>
                    <w:autoSpaceDN w:val="0"/>
                    <w:adjustRightInd w:val="0"/>
                    <w:snapToGrid w:val="0"/>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速率</w:t>
                  </w:r>
                </w:p>
                <w:p w14:paraId="53558C30">
                  <w:pPr>
                    <w:autoSpaceDE w:val="0"/>
                    <w:autoSpaceDN w:val="0"/>
                    <w:adjustRightInd w:val="0"/>
                    <w:snapToGrid w:val="0"/>
                    <w:jc w:val="center"/>
                    <w:rPr>
                      <w:rFonts w:ascii="Times New Roman" w:hAnsi="Times New Roman" w:eastAsia="宋体" w:cs="Times New Roman"/>
                      <w:b/>
                      <w:color w:val="auto"/>
                      <w:sz w:val="21"/>
                      <w:szCs w:val="21"/>
                      <w:highlight w:val="none"/>
                      <w:lang w:eastAsia="en-US"/>
                    </w:rPr>
                  </w:pPr>
                  <w:r>
                    <w:rPr>
                      <w:rFonts w:ascii="Times New Roman" w:hAnsi="Times New Roman" w:eastAsia="宋体" w:cs="Times New Roman"/>
                      <w:b/>
                      <w:color w:val="auto"/>
                      <w:sz w:val="21"/>
                      <w:szCs w:val="21"/>
                      <w:highlight w:val="none"/>
                      <w:lang w:eastAsia="en-US"/>
                    </w:rPr>
                    <w:t>（kg/h）</w:t>
                  </w:r>
                </w:p>
              </w:tc>
            </w:tr>
            <w:tr w14:paraId="1E9C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7" w:hRule="atLeast"/>
                <w:jc w:val="center"/>
              </w:trPr>
              <w:tc>
                <w:tcPr>
                  <w:tcW w:w="679" w:type="pct"/>
                  <w:vMerge w:val="restart"/>
                  <w:noWrap w:val="0"/>
                  <w:vAlign w:val="center"/>
                </w:tcPr>
                <w:p w14:paraId="6BE73945">
                  <w:pPr>
                    <w:autoSpaceDE w:val="0"/>
                    <w:autoSpaceDN w:val="0"/>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喷漆</w:t>
                  </w:r>
                </w:p>
              </w:tc>
              <w:tc>
                <w:tcPr>
                  <w:tcW w:w="1015" w:type="pct"/>
                  <w:noWrap w:val="0"/>
                  <w:vAlign w:val="center"/>
                </w:tcPr>
                <w:p w14:paraId="50500408">
                  <w:pPr>
                    <w:widowControl/>
                    <w:wordWrap w:val="0"/>
                    <w:topLinePunct/>
                    <w:jc w:val="center"/>
                    <w:textAlignment w:val="center"/>
                    <w:rPr>
                      <w:rFonts w:hint="eastAsia"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val="en-US" w:eastAsia="zh-CN" w:bidi="ar"/>
                    </w:rPr>
                    <w:t>颗粒物</w:t>
                  </w:r>
                </w:p>
              </w:tc>
              <w:tc>
                <w:tcPr>
                  <w:tcW w:w="1549" w:type="pct"/>
                  <w:noWrap w:val="0"/>
                  <w:vAlign w:val="center"/>
                </w:tcPr>
                <w:p w14:paraId="1A292075">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
                    </w:rPr>
                    <w:t>广东省《大气污染物排放限值》（DB44/27-2001）第二时段</w:t>
                  </w:r>
                  <w:r>
                    <w:rPr>
                      <w:rFonts w:hint="eastAsia" w:ascii="Times New Roman" w:hAnsi="Times New Roman" w:eastAsia="宋体" w:cs="Times New Roman"/>
                      <w:color w:val="auto"/>
                      <w:kern w:val="0"/>
                      <w:sz w:val="21"/>
                      <w:szCs w:val="21"/>
                      <w:highlight w:val="none"/>
                      <w:lang w:val="en-US" w:eastAsia="zh-CN" w:bidi="ar"/>
                    </w:rPr>
                    <w:t>二级</w:t>
                  </w:r>
                  <w:r>
                    <w:rPr>
                      <w:rFonts w:hint="default" w:ascii="Times New Roman" w:hAnsi="Times New Roman" w:eastAsia="宋体" w:cs="Times New Roman"/>
                      <w:color w:val="auto"/>
                      <w:kern w:val="0"/>
                      <w:sz w:val="21"/>
                      <w:szCs w:val="21"/>
                      <w:highlight w:val="none"/>
                      <w:lang w:val="en-US" w:eastAsia="zh-CN" w:bidi="ar"/>
                    </w:rPr>
                    <w:t>排放限值</w:t>
                  </w:r>
                </w:p>
              </w:tc>
              <w:tc>
                <w:tcPr>
                  <w:tcW w:w="495" w:type="pct"/>
                  <w:vMerge w:val="restart"/>
                  <w:noWrap w:val="0"/>
                  <w:vAlign w:val="center"/>
                </w:tcPr>
                <w:p w14:paraId="54C68737">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15</w:t>
                  </w:r>
                </w:p>
              </w:tc>
              <w:tc>
                <w:tcPr>
                  <w:tcW w:w="653" w:type="pct"/>
                  <w:noWrap w:val="0"/>
                  <w:vAlign w:val="center"/>
                </w:tcPr>
                <w:p w14:paraId="71293E9F">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120</w:t>
                  </w:r>
                </w:p>
              </w:tc>
              <w:tc>
                <w:tcPr>
                  <w:tcW w:w="605" w:type="pct"/>
                  <w:noWrap w:val="0"/>
                  <w:vAlign w:val="center"/>
                </w:tcPr>
                <w:p w14:paraId="452F5457">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1.45*</w:t>
                  </w:r>
                </w:p>
              </w:tc>
            </w:tr>
            <w:tr w14:paraId="62AD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jc w:val="center"/>
              </w:trPr>
              <w:tc>
                <w:tcPr>
                  <w:tcW w:w="679" w:type="pct"/>
                  <w:vMerge w:val="continue"/>
                  <w:noWrap w:val="0"/>
                  <w:vAlign w:val="center"/>
                </w:tcPr>
                <w:p w14:paraId="6A633AE1">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746249A5">
                  <w:pPr>
                    <w:widowControl/>
                    <w:wordWrap w:val="0"/>
                    <w:topLinePunct/>
                    <w:jc w:val="center"/>
                    <w:textAlignment w:val="center"/>
                    <w:rPr>
                      <w:rFonts w:ascii="Times New Roman" w:hAnsi="Times New Roman" w:eastAsia="宋体" w:cs="Times New Roman"/>
                      <w:color w:val="auto"/>
                      <w:sz w:val="21"/>
                      <w:szCs w:val="21"/>
                      <w:highlight w:val="none"/>
                      <w:lang w:bidi="ar"/>
                    </w:rPr>
                  </w:pPr>
                  <w:r>
                    <w:rPr>
                      <w:rFonts w:ascii="Times New Roman" w:hAnsi="Times New Roman" w:eastAsia="宋体" w:cs="Times New Roman"/>
                      <w:color w:val="auto"/>
                      <w:sz w:val="21"/>
                      <w:szCs w:val="21"/>
                      <w:highlight w:val="none"/>
                      <w:lang w:bidi="ar"/>
                    </w:rPr>
                    <w:t>NMHC</w:t>
                  </w:r>
                </w:p>
              </w:tc>
              <w:tc>
                <w:tcPr>
                  <w:tcW w:w="1549" w:type="pct"/>
                  <w:vMerge w:val="restart"/>
                  <w:noWrap w:val="0"/>
                  <w:vAlign w:val="center"/>
                </w:tcPr>
                <w:p w14:paraId="0D5F4665">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ascii="Times New Roman" w:hAnsi="Times New Roman" w:eastAsia="宋体" w:cs="Times New Roman"/>
                      <w:color w:val="auto"/>
                      <w:sz w:val="21"/>
                      <w:szCs w:val="21"/>
                      <w:highlight w:val="none"/>
                      <w:lang w:bidi="ar"/>
                    </w:rPr>
                    <w:t>广东省《固定污染源挥发性有机物综合排放标准》（DB44/2367-2022）表1挥发性有机物排放限值</w:t>
                  </w:r>
                </w:p>
              </w:tc>
              <w:tc>
                <w:tcPr>
                  <w:tcW w:w="495" w:type="pct"/>
                  <w:vMerge w:val="continue"/>
                  <w:noWrap w:val="0"/>
                  <w:vAlign w:val="center"/>
                </w:tcPr>
                <w:p w14:paraId="247DA758">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3" w:type="pct"/>
                  <w:noWrap w:val="0"/>
                  <w:vAlign w:val="center"/>
                </w:tcPr>
                <w:p w14:paraId="7172186C">
                  <w:pPr>
                    <w:autoSpaceDE w:val="0"/>
                    <w:autoSpaceDN w:val="0"/>
                    <w:adjustRightInd w:val="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8</w:t>
                  </w:r>
                  <w:r>
                    <w:rPr>
                      <w:rFonts w:ascii="Times New Roman" w:hAnsi="Times New Roman" w:eastAsia="宋体" w:cs="Times New Roman"/>
                      <w:color w:val="auto"/>
                      <w:sz w:val="21"/>
                      <w:szCs w:val="21"/>
                      <w:highlight w:val="none"/>
                    </w:rPr>
                    <w:t>0</w:t>
                  </w:r>
                </w:p>
              </w:tc>
              <w:tc>
                <w:tcPr>
                  <w:tcW w:w="605" w:type="pct"/>
                  <w:noWrap w:val="0"/>
                  <w:vAlign w:val="center"/>
                </w:tcPr>
                <w:p w14:paraId="7657DF3D">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49EB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679" w:type="pct"/>
                  <w:vMerge w:val="continue"/>
                  <w:noWrap w:val="0"/>
                  <w:vAlign w:val="center"/>
                </w:tcPr>
                <w:p w14:paraId="231AD6D2">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6B64655F">
                  <w:pPr>
                    <w:widowControl/>
                    <w:wordWrap w:val="0"/>
                    <w:topLinePunct/>
                    <w:jc w:val="center"/>
                    <w:textAlignment w:val="center"/>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苯系物</w:t>
                  </w:r>
                </w:p>
              </w:tc>
              <w:tc>
                <w:tcPr>
                  <w:tcW w:w="1549" w:type="pct"/>
                  <w:vMerge w:val="continue"/>
                  <w:noWrap w:val="0"/>
                  <w:vAlign w:val="center"/>
                </w:tcPr>
                <w:p w14:paraId="6CBAA128">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p>
              </w:tc>
              <w:tc>
                <w:tcPr>
                  <w:tcW w:w="495" w:type="pct"/>
                  <w:vMerge w:val="continue"/>
                  <w:noWrap w:val="0"/>
                  <w:vAlign w:val="center"/>
                </w:tcPr>
                <w:p w14:paraId="5C6CF93C">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3" w:type="pct"/>
                  <w:noWrap w:val="0"/>
                  <w:vAlign w:val="center"/>
                </w:tcPr>
                <w:p w14:paraId="5B3273B2">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40</w:t>
                  </w:r>
                </w:p>
              </w:tc>
              <w:tc>
                <w:tcPr>
                  <w:tcW w:w="605" w:type="pct"/>
                  <w:noWrap w:val="0"/>
                  <w:vAlign w:val="center"/>
                </w:tcPr>
                <w:p w14:paraId="0CA5B80E">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6C98A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7" w:hRule="atLeast"/>
                <w:jc w:val="center"/>
              </w:trPr>
              <w:tc>
                <w:tcPr>
                  <w:tcW w:w="679" w:type="pct"/>
                  <w:vMerge w:val="continue"/>
                  <w:noWrap w:val="0"/>
                  <w:vAlign w:val="center"/>
                </w:tcPr>
                <w:p w14:paraId="66925F31">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4DFAC45D">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臭气浓度</w:t>
                  </w:r>
                </w:p>
              </w:tc>
              <w:tc>
                <w:tcPr>
                  <w:tcW w:w="1549" w:type="pct"/>
                  <w:noWrap w:val="0"/>
                  <w:vAlign w:val="center"/>
                </w:tcPr>
                <w:p w14:paraId="3CF2BC19">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ascii="Times New Roman" w:hAnsi="Times New Roman" w:eastAsia="宋体" w:cs="Times New Roman"/>
                      <w:color w:val="auto"/>
                      <w:sz w:val="21"/>
                      <w:szCs w:val="21"/>
                      <w:highlight w:val="none"/>
                    </w:rPr>
                    <w:t>《恶臭污染物排放标准》（GB14554-93）表2恶臭污染物排放标准及表1新扩改建二级厂界标准值</w:t>
                  </w:r>
                </w:p>
              </w:tc>
              <w:tc>
                <w:tcPr>
                  <w:tcW w:w="495" w:type="pct"/>
                  <w:vMerge w:val="continue"/>
                  <w:noWrap w:val="0"/>
                  <w:vAlign w:val="center"/>
                </w:tcPr>
                <w:p w14:paraId="2897FD2A">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3" w:type="pct"/>
                  <w:noWrap w:val="0"/>
                  <w:vAlign w:val="center"/>
                </w:tcPr>
                <w:p w14:paraId="6EDD668C">
                  <w:pPr>
                    <w:wordWrap w:val="0"/>
                    <w:topLinePun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2000（无量纲）</w:t>
                  </w:r>
                </w:p>
              </w:tc>
              <w:tc>
                <w:tcPr>
                  <w:tcW w:w="605" w:type="pct"/>
                  <w:noWrap w:val="0"/>
                  <w:vAlign w:val="center"/>
                </w:tcPr>
                <w:p w14:paraId="7CA80EEE">
                  <w:pPr>
                    <w:wordWrap w:val="0"/>
                    <w:topLinePun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56209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5000" w:type="pct"/>
                  <w:gridSpan w:val="6"/>
                  <w:noWrap w:val="0"/>
                  <w:vAlign w:val="center"/>
                </w:tcPr>
                <w:p w14:paraId="004AED6F">
                  <w:pPr>
                    <w:wordWrap w:val="0"/>
                    <w:topLinePunct/>
                    <w:jc w:val="center"/>
                    <w:rPr>
                      <w:rFonts w:ascii="Times New Roman" w:hAnsi="Times New Roman" w:eastAsia="宋体" w:cs="Times New Roman"/>
                      <w:color w:val="auto"/>
                      <w:sz w:val="21"/>
                      <w:szCs w:val="21"/>
                      <w:highlight w:val="none"/>
                    </w:rPr>
                  </w:pPr>
                  <w:r>
                    <w:rPr>
                      <w:rFonts w:hint="default" w:ascii="Times New Roman" w:hAnsi="Times New Roman" w:cs="Times New Roman"/>
                      <w:b/>
                      <w:bCs/>
                      <w:i w:val="0"/>
                      <w:iCs w:val="0"/>
                      <w:color w:val="auto"/>
                      <w:kern w:val="0"/>
                      <w:sz w:val="21"/>
                      <w:szCs w:val="21"/>
                      <w:highlight w:val="none"/>
                      <w:u w:val="none"/>
                      <w:lang w:val="en-US" w:eastAsia="zh-CN" w:bidi="ar"/>
                    </w:rPr>
                    <w:t>*本项目排气筒未高于周边200m建筑</w:t>
                  </w:r>
                  <w:r>
                    <w:rPr>
                      <w:rFonts w:hint="eastAsia" w:cs="Times New Roman"/>
                      <w:b/>
                      <w:bCs/>
                      <w:i w:val="0"/>
                      <w:iCs w:val="0"/>
                      <w:color w:val="auto"/>
                      <w:kern w:val="0"/>
                      <w:sz w:val="21"/>
                      <w:szCs w:val="21"/>
                      <w:highlight w:val="none"/>
                      <w:u w:val="none"/>
                      <w:lang w:val="en-US" w:eastAsia="zh-CN" w:bidi="ar"/>
                    </w:rPr>
                    <w:t>5</w:t>
                  </w:r>
                  <w:r>
                    <w:rPr>
                      <w:rFonts w:hint="default" w:ascii="Times New Roman" w:hAnsi="Times New Roman" w:cs="Times New Roman"/>
                      <w:b/>
                      <w:bCs/>
                      <w:i w:val="0"/>
                      <w:iCs w:val="0"/>
                      <w:color w:val="auto"/>
                      <w:kern w:val="0"/>
                      <w:sz w:val="21"/>
                      <w:szCs w:val="21"/>
                      <w:highlight w:val="none"/>
                      <w:u w:val="none"/>
                      <w:lang w:val="en-US" w:eastAsia="zh-CN" w:bidi="ar"/>
                    </w:rPr>
                    <w:t>m以上，因此排放速率按50%折算。</w:t>
                  </w:r>
                </w:p>
              </w:tc>
            </w:tr>
          </w:tbl>
          <w:p w14:paraId="056AE537">
            <w:pPr>
              <w:numPr>
                <w:ilvl w:val="0"/>
                <w:numId w:val="14"/>
              </w:numPr>
              <w:spacing w:line="240" w:lineRule="auto"/>
              <w:ind w:left="0" w:leftChars="0" w:firstLine="40" w:firstLineChars="0"/>
              <w:jc w:val="center"/>
              <w:rPr>
                <w:rFonts w:hint="eastAsia" w:ascii="Times New Roman" w:hAnsi="Times New Roman" w:eastAsia="宋体" w:cs="Times New Roman"/>
                <w:b/>
                <w:bCs/>
                <w:color w:val="auto"/>
                <w:sz w:val="21"/>
                <w:szCs w:val="21"/>
                <w:vertAlign w:val="baseline"/>
                <w:lang w:val="en-US" w:eastAsia="zh-CN"/>
              </w:rPr>
            </w:pPr>
            <w:r>
              <w:rPr>
                <w:rFonts w:hint="eastAsia" w:ascii="Times New Roman" w:hAnsi="Times New Roman" w:cs="Times New Roman"/>
                <w:b/>
                <w:bCs/>
                <w:color w:val="auto"/>
                <w:sz w:val="21"/>
                <w:szCs w:val="21"/>
                <w:highlight w:val="none"/>
                <w:lang w:val="en-US" w:eastAsia="zh-CN"/>
              </w:rPr>
              <w:t xml:space="preserve"> </w:t>
            </w:r>
            <w:r>
              <w:rPr>
                <w:rFonts w:hint="eastAsia" w:ascii="Times New Roman" w:hAnsi="Times New Roman" w:eastAsia="宋体" w:cs="Times New Roman"/>
                <w:b/>
                <w:color w:val="auto"/>
                <w:kern w:val="2"/>
                <w:sz w:val="21"/>
                <w:szCs w:val="21"/>
                <w:lang w:val="en-US" w:eastAsia="zh-CN" w:bidi="ar-SA"/>
              </w:rPr>
              <w:t>排气筒</w:t>
            </w:r>
            <w:r>
              <w:rPr>
                <w:rFonts w:hint="eastAsia" w:cs="Times New Roman"/>
                <w:b/>
                <w:color w:val="auto"/>
                <w:kern w:val="2"/>
                <w:sz w:val="21"/>
                <w:szCs w:val="21"/>
                <w:lang w:val="en-US" w:eastAsia="zh-CN" w:bidi="ar-SA"/>
              </w:rPr>
              <w:t>DA002</w:t>
            </w:r>
            <w:r>
              <w:rPr>
                <w:rFonts w:hint="eastAsia" w:ascii="Times New Roman" w:hAnsi="Times New Roman" w:eastAsia="宋体" w:cs="Times New Roman"/>
                <w:b/>
                <w:color w:val="auto"/>
                <w:kern w:val="2"/>
                <w:sz w:val="21"/>
                <w:szCs w:val="21"/>
                <w:lang w:val="en-US" w:eastAsia="zh-CN" w:bidi="ar-SA"/>
              </w:rPr>
              <w:t>废气有组织排放执行标准（单位：</w:t>
            </w:r>
            <w:r>
              <w:rPr>
                <w:rFonts w:hint="default" w:ascii="Times New Roman" w:hAnsi="Times New Roman" w:eastAsia="宋体" w:cs="Times New Roman"/>
                <w:b/>
                <w:bCs/>
                <w:color w:val="auto"/>
                <w:sz w:val="21"/>
                <w:szCs w:val="21"/>
              </w:rPr>
              <w:t>mg/m</w:t>
            </w:r>
            <w:r>
              <w:rPr>
                <w:rFonts w:hint="eastAsia" w:ascii="Times New Roman" w:hAnsi="Times New Roman" w:eastAsia="宋体" w:cs="Times New Roman"/>
                <w:b/>
                <w:bCs/>
                <w:color w:val="auto"/>
                <w:sz w:val="21"/>
                <w:szCs w:val="21"/>
                <w:vertAlign w:val="superscript"/>
                <w:lang w:val="en-US" w:eastAsia="zh-CN"/>
              </w:rPr>
              <w:t>3</w:t>
            </w:r>
            <w:r>
              <w:rPr>
                <w:rFonts w:hint="eastAsia" w:ascii="Times New Roman" w:hAnsi="Times New Roman" w:eastAsia="宋体" w:cs="Times New Roman"/>
                <w:b/>
                <w:bCs/>
                <w:color w:val="auto"/>
                <w:sz w:val="21"/>
                <w:szCs w:val="21"/>
                <w:vertAlign w:val="baseline"/>
                <w:lang w:val="en-US" w:eastAsia="zh-CN"/>
              </w:rPr>
              <w:t>）</w:t>
            </w:r>
          </w:p>
          <w:tbl>
            <w:tblPr>
              <w:tblStyle w:val="48"/>
              <w:tblW w:w="48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93"/>
              <w:gridCol w:w="1635"/>
              <w:gridCol w:w="2496"/>
              <w:gridCol w:w="798"/>
              <w:gridCol w:w="1054"/>
              <w:gridCol w:w="980"/>
            </w:tblGrid>
            <w:tr w14:paraId="1E95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679" w:type="pct"/>
                  <w:noWrap w:val="0"/>
                  <w:vAlign w:val="center"/>
                </w:tcPr>
                <w:p w14:paraId="683A8BDF">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zh-CN" w:bidi="ar-SA"/>
                    </w:rPr>
                  </w:pPr>
                  <w:r>
                    <w:rPr>
                      <w:rFonts w:ascii="Times New Roman" w:hAnsi="Times New Roman" w:eastAsia="宋体" w:cs="Times New Roman"/>
                      <w:b/>
                      <w:color w:val="auto"/>
                      <w:sz w:val="21"/>
                      <w:szCs w:val="21"/>
                      <w:highlight w:val="none"/>
                    </w:rPr>
                    <w:t>生产工序</w:t>
                  </w:r>
                </w:p>
              </w:tc>
              <w:tc>
                <w:tcPr>
                  <w:tcW w:w="1015" w:type="pct"/>
                  <w:noWrap w:val="0"/>
                  <w:vAlign w:val="center"/>
                </w:tcPr>
                <w:p w14:paraId="2A6D98F0">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en-US" w:bidi="ar-SA"/>
                    </w:rPr>
                  </w:pPr>
                  <w:r>
                    <w:rPr>
                      <w:rFonts w:ascii="Times New Roman" w:hAnsi="Times New Roman" w:eastAsia="宋体" w:cs="Times New Roman"/>
                      <w:b/>
                      <w:color w:val="auto"/>
                      <w:sz w:val="21"/>
                      <w:szCs w:val="21"/>
                      <w:highlight w:val="none"/>
                    </w:rPr>
                    <w:t>污染物名称</w:t>
                  </w:r>
                </w:p>
              </w:tc>
              <w:tc>
                <w:tcPr>
                  <w:tcW w:w="1549" w:type="pct"/>
                  <w:noWrap w:val="0"/>
                  <w:vAlign w:val="center"/>
                </w:tcPr>
                <w:p w14:paraId="169B9E51">
                  <w:pPr>
                    <w:autoSpaceDE w:val="0"/>
                    <w:autoSpaceDN w:val="0"/>
                    <w:adjustRightInd w:val="0"/>
                    <w:snapToGrid w:val="0"/>
                    <w:jc w:val="center"/>
                    <w:rPr>
                      <w:rFonts w:hint="eastAsia" w:ascii="Times New Roman" w:hAnsi="Times New Roman" w:eastAsia="宋体" w:cs="Times New Roman"/>
                      <w:b/>
                      <w:color w:val="auto"/>
                      <w:spacing w:val="-2"/>
                      <w:sz w:val="21"/>
                      <w:szCs w:val="21"/>
                      <w:highlight w:val="none"/>
                      <w:lang w:val="en-US" w:eastAsia="zh-CN" w:bidi="ar-SA"/>
                    </w:rPr>
                  </w:pPr>
                  <w:r>
                    <w:rPr>
                      <w:rFonts w:hint="eastAsia" w:ascii="Times New Roman" w:hAnsi="Times New Roman" w:eastAsia="宋体" w:cs="Times New Roman"/>
                      <w:b/>
                      <w:color w:val="auto"/>
                      <w:sz w:val="21"/>
                      <w:szCs w:val="21"/>
                      <w:highlight w:val="none"/>
                      <w:lang w:val="en-US" w:eastAsia="zh-CN"/>
                    </w:rPr>
                    <w:t>执行标准</w:t>
                  </w:r>
                </w:p>
              </w:tc>
              <w:tc>
                <w:tcPr>
                  <w:tcW w:w="495" w:type="pct"/>
                  <w:noWrap w:val="0"/>
                  <w:vAlign w:val="center"/>
                </w:tcPr>
                <w:p w14:paraId="4AF26D6D">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en-US" w:bidi="ar-SA"/>
                    </w:rPr>
                  </w:pPr>
                  <w:r>
                    <w:rPr>
                      <w:rFonts w:ascii="Times New Roman" w:hAnsi="Times New Roman" w:eastAsia="宋体" w:cs="Times New Roman"/>
                      <w:b/>
                      <w:color w:val="auto"/>
                      <w:sz w:val="21"/>
                      <w:szCs w:val="21"/>
                      <w:highlight w:val="none"/>
                    </w:rPr>
                    <w:t>排放高度</w:t>
                  </w:r>
                  <w:r>
                    <w:rPr>
                      <w:rFonts w:ascii="Times New Roman" w:hAnsi="Times New Roman" w:eastAsia="宋体" w:cs="Times New Roman"/>
                      <w:b/>
                      <w:color w:val="auto"/>
                      <w:sz w:val="21"/>
                      <w:szCs w:val="21"/>
                      <w:highlight w:val="none"/>
                      <w:lang w:eastAsia="en-US"/>
                    </w:rPr>
                    <w:t>（m）</w:t>
                  </w:r>
                </w:p>
              </w:tc>
              <w:tc>
                <w:tcPr>
                  <w:tcW w:w="654" w:type="pct"/>
                  <w:noWrap w:val="0"/>
                  <w:vAlign w:val="center"/>
                </w:tcPr>
                <w:p w14:paraId="73E4AE4B">
                  <w:pPr>
                    <w:tabs>
                      <w:tab w:val="left" w:pos="552"/>
                    </w:tabs>
                    <w:autoSpaceDE w:val="0"/>
                    <w:autoSpaceDN w:val="0"/>
                    <w:adjustRightInd w:val="0"/>
                    <w:snapToGrid w:val="0"/>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浓度</w:t>
                  </w:r>
                </w:p>
                <w:p w14:paraId="7DD827C2">
                  <w:pPr>
                    <w:autoSpaceDE w:val="0"/>
                    <w:autoSpaceDN w:val="0"/>
                    <w:adjustRightInd w:val="0"/>
                    <w:snapToGrid w:val="0"/>
                    <w:jc w:val="center"/>
                    <w:rPr>
                      <w:rFonts w:ascii="Times New Roman" w:hAnsi="Times New Roman" w:eastAsia="宋体" w:cs="Times New Roman"/>
                      <w:b/>
                      <w:color w:val="auto"/>
                      <w:sz w:val="21"/>
                      <w:szCs w:val="21"/>
                      <w:highlight w:val="none"/>
                      <w:lang w:eastAsia="en-US"/>
                    </w:rPr>
                  </w:pPr>
                  <w:r>
                    <w:rPr>
                      <w:rFonts w:ascii="Times New Roman" w:hAnsi="Times New Roman" w:eastAsia="宋体" w:cs="Times New Roman"/>
                      <w:b/>
                      <w:color w:val="auto"/>
                      <w:sz w:val="21"/>
                      <w:szCs w:val="21"/>
                      <w:highlight w:val="none"/>
                      <w:lang w:eastAsia="en-US"/>
                    </w:rPr>
                    <w:t>（mg/m</w:t>
                  </w:r>
                  <w:r>
                    <w:rPr>
                      <w:rFonts w:ascii="Times New Roman" w:hAnsi="Times New Roman" w:eastAsia="宋体" w:cs="Times New Roman"/>
                      <w:b/>
                      <w:color w:val="auto"/>
                      <w:sz w:val="21"/>
                      <w:szCs w:val="21"/>
                      <w:highlight w:val="none"/>
                      <w:vertAlign w:val="superscript"/>
                      <w:lang w:eastAsia="en-US"/>
                    </w:rPr>
                    <w:t>3</w:t>
                  </w:r>
                  <w:r>
                    <w:rPr>
                      <w:rFonts w:ascii="Times New Roman" w:hAnsi="Times New Roman" w:eastAsia="宋体" w:cs="Times New Roman"/>
                      <w:b/>
                      <w:color w:val="auto"/>
                      <w:sz w:val="21"/>
                      <w:szCs w:val="21"/>
                      <w:highlight w:val="none"/>
                      <w:lang w:eastAsia="en-US"/>
                    </w:rPr>
                    <w:t>）</w:t>
                  </w:r>
                </w:p>
              </w:tc>
              <w:tc>
                <w:tcPr>
                  <w:tcW w:w="605" w:type="pct"/>
                  <w:noWrap w:val="0"/>
                  <w:vAlign w:val="center"/>
                </w:tcPr>
                <w:p w14:paraId="658237E3">
                  <w:pPr>
                    <w:autoSpaceDE w:val="0"/>
                    <w:autoSpaceDN w:val="0"/>
                    <w:adjustRightInd w:val="0"/>
                    <w:snapToGrid w:val="0"/>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速率</w:t>
                  </w:r>
                </w:p>
                <w:p w14:paraId="69180A53">
                  <w:pPr>
                    <w:autoSpaceDE w:val="0"/>
                    <w:autoSpaceDN w:val="0"/>
                    <w:adjustRightInd w:val="0"/>
                    <w:snapToGrid w:val="0"/>
                    <w:jc w:val="center"/>
                    <w:rPr>
                      <w:rFonts w:ascii="Times New Roman" w:hAnsi="Times New Roman" w:eastAsia="宋体" w:cs="Times New Roman"/>
                      <w:b/>
                      <w:color w:val="auto"/>
                      <w:sz w:val="21"/>
                      <w:szCs w:val="21"/>
                      <w:highlight w:val="none"/>
                      <w:lang w:eastAsia="en-US"/>
                    </w:rPr>
                  </w:pPr>
                  <w:r>
                    <w:rPr>
                      <w:rFonts w:ascii="Times New Roman" w:hAnsi="Times New Roman" w:eastAsia="宋体" w:cs="Times New Roman"/>
                      <w:b/>
                      <w:color w:val="auto"/>
                      <w:sz w:val="21"/>
                      <w:szCs w:val="21"/>
                      <w:highlight w:val="none"/>
                      <w:lang w:eastAsia="en-US"/>
                    </w:rPr>
                    <w:t>（kg/h）</w:t>
                  </w:r>
                </w:p>
              </w:tc>
            </w:tr>
            <w:tr w14:paraId="35C3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9" w:type="pct"/>
                  <w:vMerge w:val="restart"/>
                  <w:noWrap w:val="0"/>
                  <w:vAlign w:val="center"/>
                </w:tcPr>
                <w:p w14:paraId="2B10F937">
                  <w:pPr>
                    <w:autoSpaceDE w:val="0"/>
                    <w:autoSpaceDN w:val="0"/>
                    <w:adjustRightInd w:val="0"/>
                    <w:snapToGrid w:val="0"/>
                    <w:jc w:val="center"/>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固化</w:t>
                  </w:r>
                  <w:r>
                    <w:rPr>
                      <w:rFonts w:hint="eastAsia" w:ascii="Times New Roman" w:hAnsi="Times New Roman" w:eastAsia="宋体" w:cs="Times New Roman"/>
                      <w:color w:val="auto"/>
                      <w:sz w:val="21"/>
                      <w:szCs w:val="21"/>
                      <w:highlight w:val="none"/>
                      <w:lang w:val="en-US" w:eastAsia="zh-CN"/>
                    </w:rPr>
                    <w:t>烘干</w:t>
                  </w:r>
                </w:p>
              </w:tc>
              <w:tc>
                <w:tcPr>
                  <w:tcW w:w="1015" w:type="pct"/>
                  <w:noWrap w:val="0"/>
                  <w:vAlign w:val="center"/>
                </w:tcPr>
                <w:p w14:paraId="014A9462">
                  <w:pPr>
                    <w:widowControl/>
                    <w:wordWrap w:val="0"/>
                    <w:topLinePunct/>
                    <w:jc w:val="center"/>
                    <w:textAlignment w:val="center"/>
                    <w:rPr>
                      <w:rFonts w:ascii="Times New Roman" w:hAnsi="Times New Roman" w:eastAsia="宋体" w:cs="Times New Roman"/>
                      <w:color w:val="auto"/>
                      <w:sz w:val="21"/>
                      <w:szCs w:val="21"/>
                      <w:highlight w:val="none"/>
                      <w:lang w:bidi="ar"/>
                    </w:rPr>
                  </w:pPr>
                  <w:r>
                    <w:rPr>
                      <w:rFonts w:ascii="Times New Roman" w:hAnsi="Times New Roman" w:eastAsia="宋体" w:cs="Times New Roman"/>
                      <w:color w:val="auto"/>
                      <w:sz w:val="21"/>
                      <w:szCs w:val="21"/>
                      <w:highlight w:val="none"/>
                      <w:lang w:bidi="ar"/>
                    </w:rPr>
                    <w:t>NMHC</w:t>
                  </w:r>
                </w:p>
              </w:tc>
              <w:tc>
                <w:tcPr>
                  <w:tcW w:w="1549" w:type="pct"/>
                  <w:vMerge w:val="restart"/>
                  <w:noWrap w:val="0"/>
                  <w:vAlign w:val="center"/>
                </w:tcPr>
                <w:p w14:paraId="771D5DAF">
                  <w:pPr>
                    <w:widowControl/>
                    <w:wordWrap w:val="0"/>
                    <w:topLinePunct/>
                    <w:jc w:val="left"/>
                    <w:rPr>
                      <w:rFonts w:ascii="Times New Roman" w:hAnsi="Times New Roman" w:eastAsia="宋体" w:cs="Times New Roman"/>
                      <w:color w:val="auto"/>
                      <w:spacing w:val="-2"/>
                      <w:sz w:val="21"/>
                      <w:szCs w:val="21"/>
                      <w:highlight w:val="none"/>
                      <w:lang w:val="en-US" w:eastAsia="zh-CN" w:bidi="ar-SA"/>
                    </w:rPr>
                  </w:pPr>
                  <w:r>
                    <w:rPr>
                      <w:rFonts w:ascii="Times New Roman" w:hAnsi="Times New Roman" w:eastAsia="宋体" w:cs="Times New Roman"/>
                      <w:color w:val="auto"/>
                      <w:sz w:val="21"/>
                      <w:szCs w:val="21"/>
                      <w:highlight w:val="none"/>
                      <w:lang w:bidi="ar"/>
                    </w:rPr>
                    <w:t>广东省《固定污染源挥发性有机物综合排放标准》（DB44/2367-2022）表1挥发性有机物排放限值；</w:t>
                  </w:r>
                </w:p>
              </w:tc>
              <w:tc>
                <w:tcPr>
                  <w:tcW w:w="495" w:type="pct"/>
                  <w:vMerge w:val="restart"/>
                  <w:noWrap w:val="0"/>
                  <w:vAlign w:val="center"/>
                </w:tcPr>
                <w:p w14:paraId="025A63CF">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15</w:t>
                  </w:r>
                </w:p>
              </w:tc>
              <w:tc>
                <w:tcPr>
                  <w:tcW w:w="654" w:type="pct"/>
                  <w:noWrap w:val="0"/>
                  <w:vAlign w:val="center"/>
                </w:tcPr>
                <w:p w14:paraId="07C1BFB3">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80</w:t>
                  </w:r>
                </w:p>
              </w:tc>
              <w:tc>
                <w:tcPr>
                  <w:tcW w:w="605" w:type="pct"/>
                  <w:noWrap w:val="0"/>
                  <w:vAlign w:val="center"/>
                </w:tcPr>
                <w:p w14:paraId="13BADD20">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35D5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9" w:type="pct"/>
                  <w:vMerge w:val="continue"/>
                  <w:noWrap w:val="0"/>
                  <w:vAlign w:val="center"/>
                </w:tcPr>
                <w:p w14:paraId="62AE226E">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22A31ECD">
                  <w:pPr>
                    <w:widowControl/>
                    <w:wordWrap w:val="0"/>
                    <w:topLinePunct/>
                    <w:jc w:val="center"/>
                    <w:textAlignment w:val="center"/>
                    <w:rPr>
                      <w:rFonts w:hint="eastAsia" w:ascii="Times New Roman" w:hAnsi="Times New Roman" w:eastAsia="宋体" w:cs="Times New Roman"/>
                      <w:color w:val="auto"/>
                      <w:sz w:val="21"/>
                      <w:szCs w:val="21"/>
                      <w:highlight w:val="none"/>
                      <w:lang w:val="en-US" w:eastAsia="zh-CN" w:bidi="ar"/>
                    </w:rPr>
                  </w:pPr>
                  <w:r>
                    <w:rPr>
                      <w:rFonts w:hint="eastAsia" w:cs="Times New Roman"/>
                      <w:color w:val="auto"/>
                      <w:sz w:val="21"/>
                      <w:szCs w:val="21"/>
                      <w:highlight w:val="none"/>
                      <w:lang w:val="en-US" w:eastAsia="zh-CN" w:bidi="ar"/>
                    </w:rPr>
                    <w:t>苯系物</w:t>
                  </w:r>
                </w:p>
              </w:tc>
              <w:tc>
                <w:tcPr>
                  <w:tcW w:w="1549" w:type="pct"/>
                  <w:vMerge w:val="continue"/>
                  <w:noWrap w:val="0"/>
                  <w:vAlign w:val="center"/>
                </w:tcPr>
                <w:p w14:paraId="33B18FAD">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p>
              </w:tc>
              <w:tc>
                <w:tcPr>
                  <w:tcW w:w="495" w:type="pct"/>
                  <w:vMerge w:val="continue"/>
                  <w:noWrap w:val="0"/>
                  <w:vAlign w:val="center"/>
                </w:tcPr>
                <w:p w14:paraId="49615715">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66DCB6D7">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40</w:t>
                  </w:r>
                </w:p>
              </w:tc>
              <w:tc>
                <w:tcPr>
                  <w:tcW w:w="605" w:type="pct"/>
                  <w:noWrap w:val="0"/>
                  <w:vAlign w:val="center"/>
                </w:tcPr>
                <w:p w14:paraId="5B0541BE">
                  <w:pPr>
                    <w:autoSpaceDE w:val="0"/>
                    <w:autoSpaceDN w:val="0"/>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7663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679" w:type="pct"/>
                  <w:vMerge w:val="continue"/>
                  <w:noWrap w:val="0"/>
                  <w:vAlign w:val="center"/>
                </w:tcPr>
                <w:p w14:paraId="6ACCBC7C">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1C35EA8C">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颗粒物</w:t>
                  </w:r>
                </w:p>
              </w:tc>
              <w:tc>
                <w:tcPr>
                  <w:tcW w:w="1549" w:type="pct"/>
                  <w:vMerge w:val="restart"/>
                  <w:noWrap w:val="0"/>
                  <w:vAlign w:val="center"/>
                </w:tcPr>
                <w:p w14:paraId="17F80B09">
                  <w:pPr>
                    <w:autoSpaceDE w:val="0"/>
                    <w:autoSpaceDN w:val="0"/>
                    <w:adjustRightInd w:val="0"/>
                    <w:snapToGrid w:val="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关于印发&lt;工业炉窑大气污染综合治理方案&gt;的通知》（环大气〔2019〕56号）和《关于贯彻落实&lt;工业炉窑大气污染物综合治理方案&gt;的实施意见》（粤环函〔2019〕1112号）中颗粒物、二氧化硫、氮氧化物排放限值较严值</w:t>
                  </w:r>
                </w:p>
                <w:p w14:paraId="688D8D84">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烟气黑度执行《工业炉窑大气污染物排放标准》（GB 9078-1996）</w:t>
                  </w:r>
                </w:p>
              </w:tc>
              <w:tc>
                <w:tcPr>
                  <w:tcW w:w="495" w:type="pct"/>
                  <w:vMerge w:val="continue"/>
                  <w:noWrap w:val="0"/>
                  <w:vAlign w:val="center"/>
                </w:tcPr>
                <w:p w14:paraId="0CA01A31">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03B7C0D3">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30</w:t>
                  </w:r>
                </w:p>
              </w:tc>
              <w:tc>
                <w:tcPr>
                  <w:tcW w:w="605" w:type="pct"/>
                  <w:noWrap w:val="0"/>
                  <w:vAlign w:val="center"/>
                </w:tcPr>
                <w:p w14:paraId="05057204">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7B445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3" w:hRule="atLeast"/>
                <w:jc w:val="center"/>
              </w:trPr>
              <w:tc>
                <w:tcPr>
                  <w:tcW w:w="679" w:type="pct"/>
                  <w:vMerge w:val="continue"/>
                  <w:noWrap w:val="0"/>
                  <w:vAlign w:val="center"/>
                </w:tcPr>
                <w:p w14:paraId="1C904815">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0604CFA7">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SO</w:t>
                  </w:r>
                  <w:r>
                    <w:rPr>
                      <w:rFonts w:ascii="Times New Roman" w:hAnsi="Times New Roman" w:eastAsia="宋体" w:cs="Times New Roman"/>
                      <w:color w:val="auto"/>
                      <w:sz w:val="21"/>
                      <w:szCs w:val="21"/>
                      <w:highlight w:val="none"/>
                      <w:vertAlign w:val="subscript"/>
                    </w:rPr>
                    <w:t>2</w:t>
                  </w:r>
                </w:p>
              </w:tc>
              <w:tc>
                <w:tcPr>
                  <w:tcW w:w="1549" w:type="pct"/>
                  <w:vMerge w:val="continue"/>
                  <w:noWrap w:val="0"/>
                  <w:vAlign w:val="center"/>
                </w:tcPr>
                <w:p w14:paraId="60B89AEE">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p>
              </w:tc>
              <w:tc>
                <w:tcPr>
                  <w:tcW w:w="495" w:type="pct"/>
                  <w:vMerge w:val="continue"/>
                  <w:noWrap w:val="0"/>
                  <w:vAlign w:val="center"/>
                </w:tcPr>
                <w:p w14:paraId="7CDE19CC">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5AAC0677">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200</w:t>
                  </w:r>
                </w:p>
              </w:tc>
              <w:tc>
                <w:tcPr>
                  <w:tcW w:w="605" w:type="pct"/>
                  <w:noWrap w:val="0"/>
                  <w:vAlign w:val="center"/>
                </w:tcPr>
                <w:p w14:paraId="71ED46A2">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4FF7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679" w:type="pct"/>
                  <w:vMerge w:val="continue"/>
                  <w:noWrap w:val="0"/>
                  <w:vAlign w:val="center"/>
                </w:tcPr>
                <w:p w14:paraId="5C2650F6">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5861E582">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NOx</w:t>
                  </w:r>
                </w:p>
              </w:tc>
              <w:tc>
                <w:tcPr>
                  <w:tcW w:w="1549" w:type="pct"/>
                  <w:vMerge w:val="continue"/>
                  <w:noWrap w:val="0"/>
                  <w:vAlign w:val="center"/>
                </w:tcPr>
                <w:p w14:paraId="2F1C7F23">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p>
              </w:tc>
              <w:tc>
                <w:tcPr>
                  <w:tcW w:w="495" w:type="pct"/>
                  <w:vMerge w:val="continue"/>
                  <w:noWrap w:val="0"/>
                  <w:vAlign w:val="center"/>
                </w:tcPr>
                <w:p w14:paraId="40638584">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627CE65F">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300</w:t>
                  </w:r>
                </w:p>
              </w:tc>
              <w:tc>
                <w:tcPr>
                  <w:tcW w:w="605" w:type="pct"/>
                  <w:noWrap w:val="0"/>
                  <w:vAlign w:val="center"/>
                </w:tcPr>
                <w:p w14:paraId="5F94BE74">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2E02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7" w:hRule="atLeast"/>
                <w:jc w:val="center"/>
              </w:trPr>
              <w:tc>
                <w:tcPr>
                  <w:tcW w:w="679" w:type="pct"/>
                  <w:vMerge w:val="continue"/>
                  <w:noWrap w:val="0"/>
                  <w:vAlign w:val="center"/>
                </w:tcPr>
                <w:p w14:paraId="037234A6">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5" w:type="pct"/>
                  <w:noWrap w:val="0"/>
                  <w:vAlign w:val="center"/>
                </w:tcPr>
                <w:p w14:paraId="089991A2">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臭气浓度</w:t>
                  </w:r>
                </w:p>
              </w:tc>
              <w:tc>
                <w:tcPr>
                  <w:tcW w:w="1549" w:type="pct"/>
                  <w:noWrap w:val="0"/>
                  <w:vAlign w:val="center"/>
                </w:tcPr>
                <w:p w14:paraId="29FB4FAD">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ascii="Times New Roman" w:hAnsi="Times New Roman" w:eastAsia="宋体" w:cs="Times New Roman"/>
                      <w:color w:val="auto"/>
                      <w:sz w:val="21"/>
                      <w:szCs w:val="21"/>
                      <w:highlight w:val="none"/>
                    </w:rPr>
                    <w:t>《恶臭污染物排放标准》（GB14554-93）表2恶臭污染物排放标准及表1新扩改建二级厂界标准值</w:t>
                  </w:r>
                </w:p>
              </w:tc>
              <w:tc>
                <w:tcPr>
                  <w:tcW w:w="495" w:type="pct"/>
                  <w:vMerge w:val="continue"/>
                  <w:noWrap w:val="0"/>
                  <w:vAlign w:val="center"/>
                </w:tcPr>
                <w:p w14:paraId="36D9BF7F">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772D9F3F">
                  <w:pPr>
                    <w:wordWrap w:val="0"/>
                    <w:topLinePun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2000（无量纲）</w:t>
                  </w:r>
                </w:p>
              </w:tc>
              <w:tc>
                <w:tcPr>
                  <w:tcW w:w="605" w:type="pct"/>
                  <w:noWrap w:val="0"/>
                  <w:vAlign w:val="center"/>
                </w:tcPr>
                <w:p w14:paraId="5615F353">
                  <w:pPr>
                    <w:wordWrap w:val="0"/>
                    <w:topLinePun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623A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5000" w:type="pct"/>
                  <w:gridSpan w:val="6"/>
                  <w:noWrap w:val="0"/>
                  <w:vAlign w:val="center"/>
                </w:tcPr>
                <w:p w14:paraId="22A0EE4C">
                  <w:pPr>
                    <w:wordWrap w:val="0"/>
                    <w:topLinePunct/>
                    <w:jc w:val="center"/>
                    <w:rPr>
                      <w:rFonts w:ascii="Times New Roman" w:hAnsi="Times New Roman" w:eastAsia="宋体" w:cs="Times New Roman"/>
                      <w:color w:val="auto"/>
                      <w:sz w:val="21"/>
                      <w:szCs w:val="21"/>
                      <w:highlight w:val="none"/>
                    </w:rPr>
                  </w:pPr>
                  <w:r>
                    <w:rPr>
                      <w:rFonts w:hint="default" w:ascii="Times New Roman" w:hAnsi="Times New Roman" w:cs="Times New Roman"/>
                      <w:b/>
                      <w:bCs/>
                      <w:i w:val="0"/>
                      <w:iCs w:val="0"/>
                      <w:color w:val="auto"/>
                      <w:kern w:val="0"/>
                      <w:sz w:val="21"/>
                      <w:szCs w:val="21"/>
                      <w:highlight w:val="none"/>
                      <w:u w:val="none"/>
                      <w:lang w:val="en-US" w:eastAsia="zh-CN" w:bidi="ar"/>
                    </w:rPr>
                    <w:t>*本项目排气筒未高于周边200m建筑</w:t>
                  </w:r>
                  <w:r>
                    <w:rPr>
                      <w:rFonts w:hint="eastAsia" w:cs="Times New Roman"/>
                      <w:b/>
                      <w:bCs/>
                      <w:i w:val="0"/>
                      <w:iCs w:val="0"/>
                      <w:color w:val="auto"/>
                      <w:kern w:val="0"/>
                      <w:sz w:val="21"/>
                      <w:szCs w:val="21"/>
                      <w:highlight w:val="none"/>
                      <w:u w:val="none"/>
                      <w:lang w:val="en-US" w:eastAsia="zh-CN" w:bidi="ar"/>
                    </w:rPr>
                    <w:t>5</w:t>
                  </w:r>
                  <w:r>
                    <w:rPr>
                      <w:rFonts w:hint="default" w:ascii="Times New Roman" w:hAnsi="Times New Roman" w:cs="Times New Roman"/>
                      <w:b/>
                      <w:bCs/>
                      <w:i w:val="0"/>
                      <w:iCs w:val="0"/>
                      <w:color w:val="auto"/>
                      <w:kern w:val="0"/>
                      <w:sz w:val="21"/>
                      <w:szCs w:val="21"/>
                      <w:highlight w:val="none"/>
                      <w:u w:val="none"/>
                      <w:lang w:val="en-US" w:eastAsia="zh-CN" w:bidi="ar"/>
                    </w:rPr>
                    <w:t>m以上，因此排放速率按50%折算。</w:t>
                  </w:r>
                </w:p>
              </w:tc>
            </w:tr>
          </w:tbl>
          <w:p w14:paraId="5550F630">
            <w:pPr>
              <w:numPr>
                <w:ilvl w:val="0"/>
                <w:numId w:val="14"/>
              </w:numPr>
              <w:spacing w:line="240" w:lineRule="auto"/>
              <w:ind w:left="0" w:leftChars="0" w:firstLine="40" w:firstLineChars="0"/>
              <w:jc w:val="center"/>
              <w:rPr>
                <w:rFonts w:hint="default" w:ascii="Times New Roman" w:hAnsi="Times New Roman" w:eastAsia="宋体" w:cs="Times New Roman"/>
                <w:b/>
                <w:color w:val="auto"/>
                <w:kern w:val="2"/>
                <w:sz w:val="21"/>
                <w:szCs w:val="21"/>
                <w:lang w:val="en-US" w:eastAsia="zh-CN" w:bidi="ar-SA"/>
              </w:rPr>
            </w:pPr>
            <w:r>
              <w:rPr>
                <w:rFonts w:hint="eastAsia" w:ascii="Times New Roman" w:hAnsi="Times New Roman" w:cs="Times New Roman"/>
                <w:b/>
                <w:bCs/>
                <w:color w:val="auto"/>
                <w:sz w:val="21"/>
                <w:szCs w:val="21"/>
                <w:highlight w:val="none"/>
                <w:lang w:val="en-US" w:eastAsia="zh-CN"/>
              </w:rPr>
              <w:t xml:space="preserve"> </w:t>
            </w:r>
            <w:r>
              <w:rPr>
                <w:rFonts w:hint="eastAsia" w:ascii="Times New Roman" w:hAnsi="Times New Roman" w:eastAsia="宋体" w:cs="Times New Roman"/>
                <w:b/>
                <w:color w:val="auto"/>
                <w:kern w:val="2"/>
                <w:sz w:val="21"/>
                <w:szCs w:val="21"/>
                <w:lang w:val="en-US" w:eastAsia="zh-CN" w:bidi="ar-SA"/>
              </w:rPr>
              <w:t>排气筒</w:t>
            </w:r>
            <w:r>
              <w:rPr>
                <w:rFonts w:hint="eastAsia" w:cs="Times New Roman"/>
                <w:b/>
                <w:color w:val="auto"/>
                <w:kern w:val="2"/>
                <w:sz w:val="21"/>
                <w:szCs w:val="21"/>
                <w:lang w:val="en-US" w:eastAsia="zh-CN" w:bidi="ar-SA"/>
              </w:rPr>
              <w:t>DA003</w:t>
            </w:r>
            <w:r>
              <w:rPr>
                <w:rFonts w:hint="eastAsia" w:ascii="Times New Roman" w:hAnsi="Times New Roman" w:eastAsia="宋体" w:cs="Times New Roman"/>
                <w:b/>
                <w:color w:val="auto"/>
                <w:kern w:val="2"/>
                <w:sz w:val="21"/>
                <w:szCs w:val="21"/>
                <w:lang w:val="en-US" w:eastAsia="zh-CN" w:bidi="ar-SA"/>
              </w:rPr>
              <w:t>废气有组织排放执行标准（单位：</w:t>
            </w:r>
            <w:r>
              <w:rPr>
                <w:rFonts w:hint="default" w:ascii="Times New Roman" w:hAnsi="Times New Roman" w:eastAsia="宋体" w:cs="Times New Roman"/>
                <w:b/>
                <w:bCs/>
                <w:color w:val="auto"/>
                <w:sz w:val="21"/>
                <w:szCs w:val="21"/>
              </w:rPr>
              <w:t>mg/m</w:t>
            </w:r>
            <w:r>
              <w:rPr>
                <w:rFonts w:hint="eastAsia" w:ascii="Times New Roman" w:hAnsi="Times New Roman" w:eastAsia="宋体" w:cs="Times New Roman"/>
                <w:b/>
                <w:bCs/>
                <w:color w:val="auto"/>
                <w:sz w:val="21"/>
                <w:szCs w:val="21"/>
                <w:vertAlign w:val="superscript"/>
                <w:lang w:val="en-US" w:eastAsia="zh-CN"/>
              </w:rPr>
              <w:t>3</w:t>
            </w:r>
            <w:r>
              <w:rPr>
                <w:rFonts w:hint="eastAsia" w:ascii="Times New Roman" w:hAnsi="Times New Roman" w:eastAsia="宋体" w:cs="Times New Roman"/>
                <w:b/>
                <w:bCs/>
                <w:color w:val="auto"/>
                <w:sz w:val="21"/>
                <w:szCs w:val="21"/>
                <w:vertAlign w:val="baseline"/>
                <w:lang w:val="en-US" w:eastAsia="zh-CN"/>
              </w:rPr>
              <w:t>）</w:t>
            </w:r>
          </w:p>
          <w:tbl>
            <w:tblPr>
              <w:tblStyle w:val="48"/>
              <w:tblW w:w="48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93"/>
              <w:gridCol w:w="1635"/>
              <w:gridCol w:w="2495"/>
              <w:gridCol w:w="798"/>
              <w:gridCol w:w="1054"/>
              <w:gridCol w:w="980"/>
            </w:tblGrid>
            <w:tr w14:paraId="4BC5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678" w:type="pct"/>
                  <w:noWrap w:val="0"/>
                  <w:vAlign w:val="center"/>
                </w:tcPr>
                <w:p w14:paraId="09E439B1">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zh-CN" w:bidi="ar-SA"/>
                    </w:rPr>
                  </w:pPr>
                  <w:r>
                    <w:rPr>
                      <w:rFonts w:ascii="Times New Roman" w:hAnsi="Times New Roman" w:eastAsia="宋体" w:cs="Times New Roman"/>
                      <w:b/>
                      <w:color w:val="auto"/>
                      <w:sz w:val="21"/>
                      <w:szCs w:val="21"/>
                      <w:highlight w:val="none"/>
                    </w:rPr>
                    <w:t>生产工序</w:t>
                  </w:r>
                </w:p>
              </w:tc>
              <w:tc>
                <w:tcPr>
                  <w:tcW w:w="1014" w:type="pct"/>
                  <w:noWrap w:val="0"/>
                  <w:vAlign w:val="center"/>
                </w:tcPr>
                <w:p w14:paraId="29829DAC">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en-US" w:bidi="ar-SA"/>
                    </w:rPr>
                  </w:pPr>
                  <w:r>
                    <w:rPr>
                      <w:rFonts w:ascii="Times New Roman" w:hAnsi="Times New Roman" w:eastAsia="宋体" w:cs="Times New Roman"/>
                      <w:b/>
                      <w:color w:val="auto"/>
                      <w:sz w:val="21"/>
                      <w:szCs w:val="21"/>
                      <w:highlight w:val="none"/>
                    </w:rPr>
                    <w:t>污染物名称</w:t>
                  </w:r>
                </w:p>
              </w:tc>
              <w:tc>
                <w:tcPr>
                  <w:tcW w:w="1549" w:type="pct"/>
                  <w:noWrap w:val="0"/>
                  <w:vAlign w:val="center"/>
                </w:tcPr>
                <w:p w14:paraId="7CAB0B45">
                  <w:pPr>
                    <w:autoSpaceDE w:val="0"/>
                    <w:autoSpaceDN w:val="0"/>
                    <w:adjustRightInd w:val="0"/>
                    <w:snapToGrid w:val="0"/>
                    <w:jc w:val="center"/>
                    <w:rPr>
                      <w:rFonts w:hint="eastAsia" w:ascii="Times New Roman" w:hAnsi="Times New Roman" w:eastAsia="宋体" w:cs="Times New Roman"/>
                      <w:b/>
                      <w:color w:val="auto"/>
                      <w:spacing w:val="-2"/>
                      <w:sz w:val="21"/>
                      <w:szCs w:val="21"/>
                      <w:highlight w:val="none"/>
                      <w:lang w:val="en-US" w:eastAsia="zh-CN" w:bidi="ar-SA"/>
                    </w:rPr>
                  </w:pPr>
                  <w:r>
                    <w:rPr>
                      <w:rFonts w:hint="eastAsia" w:ascii="Times New Roman" w:hAnsi="Times New Roman" w:eastAsia="宋体" w:cs="Times New Roman"/>
                      <w:b/>
                      <w:color w:val="auto"/>
                      <w:sz w:val="21"/>
                      <w:szCs w:val="21"/>
                      <w:highlight w:val="none"/>
                      <w:lang w:val="en-US" w:eastAsia="zh-CN"/>
                    </w:rPr>
                    <w:t>执行标准</w:t>
                  </w:r>
                </w:p>
              </w:tc>
              <w:tc>
                <w:tcPr>
                  <w:tcW w:w="495" w:type="pct"/>
                  <w:noWrap w:val="0"/>
                  <w:vAlign w:val="center"/>
                </w:tcPr>
                <w:p w14:paraId="790C4509">
                  <w:pPr>
                    <w:autoSpaceDE w:val="0"/>
                    <w:autoSpaceDN w:val="0"/>
                    <w:adjustRightInd w:val="0"/>
                    <w:snapToGrid w:val="0"/>
                    <w:jc w:val="center"/>
                    <w:rPr>
                      <w:rFonts w:ascii="Times New Roman" w:hAnsi="Times New Roman" w:eastAsia="宋体" w:cs="Times New Roman"/>
                      <w:b/>
                      <w:color w:val="auto"/>
                      <w:spacing w:val="-2"/>
                      <w:sz w:val="21"/>
                      <w:szCs w:val="21"/>
                      <w:highlight w:val="none"/>
                      <w:lang w:val="en-US" w:eastAsia="en-US" w:bidi="ar-SA"/>
                    </w:rPr>
                  </w:pPr>
                  <w:r>
                    <w:rPr>
                      <w:rFonts w:ascii="Times New Roman" w:hAnsi="Times New Roman" w:eastAsia="宋体" w:cs="Times New Roman"/>
                      <w:b/>
                      <w:color w:val="auto"/>
                      <w:sz w:val="21"/>
                      <w:szCs w:val="21"/>
                      <w:highlight w:val="none"/>
                    </w:rPr>
                    <w:t>排放高度</w:t>
                  </w:r>
                  <w:r>
                    <w:rPr>
                      <w:rFonts w:ascii="Times New Roman" w:hAnsi="Times New Roman" w:eastAsia="宋体" w:cs="Times New Roman"/>
                      <w:b/>
                      <w:color w:val="auto"/>
                      <w:sz w:val="21"/>
                      <w:szCs w:val="21"/>
                      <w:highlight w:val="none"/>
                      <w:lang w:eastAsia="en-US"/>
                    </w:rPr>
                    <w:t>（m）</w:t>
                  </w:r>
                </w:p>
              </w:tc>
              <w:tc>
                <w:tcPr>
                  <w:tcW w:w="654" w:type="pct"/>
                  <w:noWrap w:val="0"/>
                  <w:vAlign w:val="center"/>
                </w:tcPr>
                <w:p w14:paraId="5C6E03CA">
                  <w:pPr>
                    <w:tabs>
                      <w:tab w:val="left" w:pos="552"/>
                    </w:tabs>
                    <w:autoSpaceDE w:val="0"/>
                    <w:autoSpaceDN w:val="0"/>
                    <w:adjustRightInd w:val="0"/>
                    <w:snapToGrid w:val="0"/>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浓度</w:t>
                  </w:r>
                </w:p>
                <w:p w14:paraId="7CD7F758">
                  <w:pPr>
                    <w:autoSpaceDE w:val="0"/>
                    <w:autoSpaceDN w:val="0"/>
                    <w:adjustRightInd w:val="0"/>
                    <w:snapToGrid w:val="0"/>
                    <w:jc w:val="center"/>
                    <w:rPr>
                      <w:rFonts w:ascii="Times New Roman" w:hAnsi="Times New Roman" w:eastAsia="宋体" w:cs="Times New Roman"/>
                      <w:b/>
                      <w:color w:val="auto"/>
                      <w:sz w:val="21"/>
                      <w:szCs w:val="21"/>
                      <w:highlight w:val="none"/>
                      <w:lang w:eastAsia="en-US"/>
                    </w:rPr>
                  </w:pPr>
                  <w:r>
                    <w:rPr>
                      <w:rFonts w:ascii="Times New Roman" w:hAnsi="Times New Roman" w:eastAsia="宋体" w:cs="Times New Roman"/>
                      <w:b/>
                      <w:color w:val="auto"/>
                      <w:sz w:val="21"/>
                      <w:szCs w:val="21"/>
                      <w:highlight w:val="none"/>
                      <w:lang w:eastAsia="en-US"/>
                    </w:rPr>
                    <w:t>（mg/m</w:t>
                  </w:r>
                  <w:r>
                    <w:rPr>
                      <w:rFonts w:ascii="Times New Roman" w:hAnsi="Times New Roman" w:eastAsia="宋体" w:cs="Times New Roman"/>
                      <w:b/>
                      <w:color w:val="auto"/>
                      <w:sz w:val="21"/>
                      <w:szCs w:val="21"/>
                      <w:highlight w:val="none"/>
                      <w:vertAlign w:val="superscript"/>
                      <w:lang w:eastAsia="en-US"/>
                    </w:rPr>
                    <w:t>3</w:t>
                  </w:r>
                  <w:r>
                    <w:rPr>
                      <w:rFonts w:ascii="Times New Roman" w:hAnsi="Times New Roman" w:eastAsia="宋体" w:cs="Times New Roman"/>
                      <w:b/>
                      <w:color w:val="auto"/>
                      <w:sz w:val="21"/>
                      <w:szCs w:val="21"/>
                      <w:highlight w:val="none"/>
                      <w:lang w:eastAsia="en-US"/>
                    </w:rPr>
                    <w:t>）</w:t>
                  </w:r>
                </w:p>
              </w:tc>
              <w:tc>
                <w:tcPr>
                  <w:tcW w:w="608" w:type="pct"/>
                  <w:noWrap w:val="0"/>
                  <w:vAlign w:val="center"/>
                </w:tcPr>
                <w:p w14:paraId="5D67A6E8">
                  <w:pPr>
                    <w:autoSpaceDE w:val="0"/>
                    <w:autoSpaceDN w:val="0"/>
                    <w:adjustRightInd w:val="0"/>
                    <w:snapToGrid w:val="0"/>
                    <w:jc w:val="center"/>
                    <w:rPr>
                      <w:rFonts w:ascii="Times New Roman" w:hAnsi="Times New Roman" w:eastAsia="宋体" w:cs="Times New Roman"/>
                      <w:b/>
                      <w:color w:val="auto"/>
                      <w:sz w:val="21"/>
                      <w:szCs w:val="21"/>
                      <w:highlight w:val="none"/>
                    </w:rPr>
                  </w:pPr>
                  <w:r>
                    <w:rPr>
                      <w:rFonts w:ascii="Times New Roman" w:hAnsi="Times New Roman" w:eastAsia="宋体" w:cs="Times New Roman"/>
                      <w:b/>
                      <w:color w:val="auto"/>
                      <w:sz w:val="21"/>
                      <w:szCs w:val="21"/>
                      <w:highlight w:val="none"/>
                    </w:rPr>
                    <w:t>速率</w:t>
                  </w:r>
                </w:p>
                <w:p w14:paraId="6444EE75">
                  <w:pPr>
                    <w:autoSpaceDE w:val="0"/>
                    <w:autoSpaceDN w:val="0"/>
                    <w:adjustRightInd w:val="0"/>
                    <w:snapToGrid w:val="0"/>
                    <w:jc w:val="center"/>
                    <w:rPr>
                      <w:rFonts w:ascii="Times New Roman" w:hAnsi="Times New Roman" w:eastAsia="宋体" w:cs="Times New Roman"/>
                      <w:b/>
                      <w:color w:val="auto"/>
                      <w:sz w:val="21"/>
                      <w:szCs w:val="21"/>
                      <w:highlight w:val="none"/>
                      <w:lang w:eastAsia="en-US"/>
                    </w:rPr>
                  </w:pPr>
                  <w:r>
                    <w:rPr>
                      <w:rFonts w:ascii="Times New Roman" w:hAnsi="Times New Roman" w:eastAsia="宋体" w:cs="Times New Roman"/>
                      <w:b/>
                      <w:color w:val="auto"/>
                      <w:sz w:val="21"/>
                      <w:szCs w:val="21"/>
                      <w:highlight w:val="none"/>
                      <w:lang w:eastAsia="en-US"/>
                    </w:rPr>
                    <w:t>（kg/h）</w:t>
                  </w:r>
                </w:p>
              </w:tc>
            </w:tr>
            <w:tr w14:paraId="3C6E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78" w:type="pct"/>
                  <w:vMerge w:val="restart"/>
                  <w:noWrap w:val="0"/>
                  <w:vAlign w:val="center"/>
                </w:tcPr>
                <w:p w14:paraId="327BCEE8">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表面预处理废气</w:t>
                  </w:r>
                </w:p>
              </w:tc>
              <w:tc>
                <w:tcPr>
                  <w:tcW w:w="1014" w:type="pct"/>
                  <w:noWrap w:val="0"/>
                  <w:vAlign w:val="center"/>
                </w:tcPr>
                <w:p w14:paraId="756434EA">
                  <w:pPr>
                    <w:widowControl/>
                    <w:wordWrap w:val="0"/>
                    <w:topLinePunct/>
                    <w:jc w:val="center"/>
                    <w:textAlignment w:val="center"/>
                    <w:rPr>
                      <w:rFonts w:ascii="Times New Roman" w:hAnsi="Times New Roman" w:eastAsia="宋体" w:cs="Times New Roman"/>
                      <w:color w:val="auto"/>
                      <w:sz w:val="21"/>
                      <w:szCs w:val="21"/>
                      <w:highlight w:val="none"/>
                      <w:lang w:bidi="ar"/>
                    </w:rPr>
                  </w:pPr>
                  <w:r>
                    <w:rPr>
                      <w:rFonts w:hint="eastAsia" w:cs="Times New Roman"/>
                      <w:color w:val="auto"/>
                      <w:sz w:val="21"/>
                      <w:szCs w:val="21"/>
                      <w:highlight w:val="none"/>
                      <w:lang w:val="en-US" w:eastAsia="zh-CN" w:bidi="ar"/>
                    </w:rPr>
                    <w:t>氟化物</w:t>
                  </w:r>
                </w:p>
              </w:tc>
              <w:tc>
                <w:tcPr>
                  <w:tcW w:w="1549" w:type="pct"/>
                  <w:noWrap w:val="0"/>
                  <w:vAlign w:val="center"/>
                </w:tcPr>
                <w:p w14:paraId="430DD2EE">
                  <w:pPr>
                    <w:widowControl/>
                    <w:wordWrap w:val="0"/>
                    <w:topLinePunct/>
                    <w:jc w:val="left"/>
                    <w:rPr>
                      <w:rFonts w:ascii="Times New Roman" w:hAnsi="Times New Roman" w:eastAsia="宋体" w:cs="Times New Roman"/>
                      <w:color w:val="auto"/>
                      <w:spacing w:val="-2"/>
                      <w:sz w:val="21"/>
                      <w:szCs w:val="21"/>
                      <w:highlight w:val="none"/>
                      <w:lang w:val="en-US" w:eastAsia="zh-CN" w:bidi="ar-SA"/>
                    </w:rPr>
                  </w:pPr>
                  <w:r>
                    <w:rPr>
                      <w:rFonts w:hint="eastAsia" w:ascii="Times New Roman" w:hAnsi="Times New Roman" w:eastAsia="宋体" w:cs="Times New Roman"/>
                      <w:color w:val="auto"/>
                      <w:sz w:val="21"/>
                      <w:szCs w:val="21"/>
                      <w:highlight w:val="none"/>
                      <w:lang w:bidi="ar"/>
                    </w:rPr>
                    <w:t>广东省《大气污染物排放限值》（DB44/27-2001）第二时段二级标准</w:t>
                  </w:r>
                </w:p>
              </w:tc>
              <w:tc>
                <w:tcPr>
                  <w:tcW w:w="495" w:type="pct"/>
                  <w:vMerge w:val="restart"/>
                  <w:noWrap w:val="0"/>
                  <w:vAlign w:val="center"/>
                </w:tcPr>
                <w:p w14:paraId="54D2A0E6">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15</w:t>
                  </w:r>
                </w:p>
              </w:tc>
              <w:tc>
                <w:tcPr>
                  <w:tcW w:w="654" w:type="pct"/>
                  <w:noWrap w:val="0"/>
                  <w:vAlign w:val="center"/>
                </w:tcPr>
                <w:p w14:paraId="60E1327D">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9.0</w:t>
                  </w:r>
                </w:p>
              </w:tc>
              <w:tc>
                <w:tcPr>
                  <w:tcW w:w="608" w:type="pct"/>
                  <w:noWrap w:val="0"/>
                  <w:vAlign w:val="center"/>
                </w:tcPr>
                <w:p w14:paraId="4C59E160">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rPr>
                  </w:pPr>
                  <w:r>
                    <w:rPr>
                      <w:rFonts w:hint="eastAsia"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42</w:t>
                  </w:r>
                </w:p>
              </w:tc>
            </w:tr>
            <w:tr w14:paraId="6BF9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jc w:val="center"/>
              </w:trPr>
              <w:tc>
                <w:tcPr>
                  <w:tcW w:w="678" w:type="pct"/>
                  <w:vMerge w:val="continue"/>
                  <w:noWrap w:val="0"/>
                  <w:vAlign w:val="center"/>
                </w:tcPr>
                <w:p w14:paraId="4C625674">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4" w:type="pct"/>
                  <w:noWrap w:val="0"/>
                  <w:vAlign w:val="center"/>
                </w:tcPr>
                <w:p w14:paraId="38C94E9D">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颗粒物</w:t>
                  </w:r>
                </w:p>
              </w:tc>
              <w:tc>
                <w:tcPr>
                  <w:tcW w:w="1549" w:type="pct"/>
                  <w:vMerge w:val="restart"/>
                  <w:noWrap w:val="0"/>
                  <w:vAlign w:val="center"/>
                </w:tcPr>
                <w:p w14:paraId="581AB08D">
                  <w:pPr>
                    <w:autoSpaceDE w:val="0"/>
                    <w:autoSpaceDN w:val="0"/>
                    <w:adjustRightInd w:val="0"/>
                    <w:snapToGrid w:val="0"/>
                    <w:jc w:val="lef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关于印发&lt;工业炉窑大气污染综合治理方案&gt;的通知》（环大气〔2019〕56号）和《关于贯彻落实&lt;工业炉窑大气污染物综合治理方案&gt;的实施意见》（粤环函〔2019〕1112号）中颗粒物、二氧化硫、氮氧化物排放限值较严值</w:t>
                  </w:r>
                </w:p>
                <w:p w14:paraId="1E6DF48F">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烟气黑度执行《工业炉窑大气污染物排放标准》（GB 9078-1996）</w:t>
                  </w:r>
                </w:p>
              </w:tc>
              <w:tc>
                <w:tcPr>
                  <w:tcW w:w="495" w:type="pct"/>
                  <w:vMerge w:val="continue"/>
                  <w:noWrap w:val="0"/>
                  <w:vAlign w:val="center"/>
                </w:tcPr>
                <w:p w14:paraId="0EF2F401">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3D75FF26">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30</w:t>
                  </w:r>
                </w:p>
              </w:tc>
              <w:tc>
                <w:tcPr>
                  <w:tcW w:w="608" w:type="pct"/>
                  <w:noWrap w:val="0"/>
                  <w:vAlign w:val="center"/>
                </w:tcPr>
                <w:p w14:paraId="474171C1">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55134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63" w:hRule="atLeast"/>
                <w:jc w:val="center"/>
              </w:trPr>
              <w:tc>
                <w:tcPr>
                  <w:tcW w:w="678" w:type="pct"/>
                  <w:vMerge w:val="continue"/>
                  <w:noWrap w:val="0"/>
                  <w:vAlign w:val="center"/>
                </w:tcPr>
                <w:p w14:paraId="56EE487B">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4" w:type="pct"/>
                  <w:noWrap w:val="0"/>
                  <w:vAlign w:val="center"/>
                </w:tcPr>
                <w:p w14:paraId="67B5EEC7">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SO</w:t>
                  </w:r>
                  <w:r>
                    <w:rPr>
                      <w:rFonts w:ascii="Times New Roman" w:hAnsi="Times New Roman" w:eastAsia="宋体" w:cs="Times New Roman"/>
                      <w:color w:val="auto"/>
                      <w:sz w:val="21"/>
                      <w:szCs w:val="21"/>
                      <w:highlight w:val="none"/>
                      <w:vertAlign w:val="subscript"/>
                    </w:rPr>
                    <w:t>2</w:t>
                  </w:r>
                </w:p>
              </w:tc>
              <w:tc>
                <w:tcPr>
                  <w:tcW w:w="1549" w:type="pct"/>
                  <w:vMerge w:val="continue"/>
                  <w:noWrap w:val="0"/>
                  <w:vAlign w:val="center"/>
                </w:tcPr>
                <w:p w14:paraId="04CD0089">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p>
              </w:tc>
              <w:tc>
                <w:tcPr>
                  <w:tcW w:w="495" w:type="pct"/>
                  <w:vMerge w:val="continue"/>
                  <w:noWrap w:val="0"/>
                  <w:vAlign w:val="center"/>
                </w:tcPr>
                <w:p w14:paraId="3FF39D60">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571B87BD">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200</w:t>
                  </w:r>
                </w:p>
              </w:tc>
              <w:tc>
                <w:tcPr>
                  <w:tcW w:w="608" w:type="pct"/>
                  <w:noWrap w:val="0"/>
                  <w:vAlign w:val="center"/>
                </w:tcPr>
                <w:p w14:paraId="53F2CEF4">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6B2E0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0" w:hRule="atLeast"/>
                <w:jc w:val="center"/>
              </w:trPr>
              <w:tc>
                <w:tcPr>
                  <w:tcW w:w="678" w:type="pct"/>
                  <w:vMerge w:val="continue"/>
                  <w:noWrap w:val="0"/>
                  <w:vAlign w:val="center"/>
                </w:tcPr>
                <w:p w14:paraId="7F737A3B">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4" w:type="pct"/>
                  <w:noWrap w:val="0"/>
                  <w:vAlign w:val="center"/>
                </w:tcPr>
                <w:p w14:paraId="0288D8D4">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NOx</w:t>
                  </w:r>
                </w:p>
              </w:tc>
              <w:tc>
                <w:tcPr>
                  <w:tcW w:w="1549" w:type="pct"/>
                  <w:vMerge w:val="continue"/>
                  <w:noWrap w:val="0"/>
                  <w:vAlign w:val="center"/>
                </w:tcPr>
                <w:p w14:paraId="7F38F6B5">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p>
              </w:tc>
              <w:tc>
                <w:tcPr>
                  <w:tcW w:w="495" w:type="pct"/>
                  <w:vMerge w:val="continue"/>
                  <w:noWrap w:val="0"/>
                  <w:vAlign w:val="center"/>
                </w:tcPr>
                <w:p w14:paraId="1BBE1C1A">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7F9F326C">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300</w:t>
                  </w:r>
                </w:p>
              </w:tc>
              <w:tc>
                <w:tcPr>
                  <w:tcW w:w="608" w:type="pct"/>
                  <w:noWrap w:val="0"/>
                  <w:vAlign w:val="center"/>
                </w:tcPr>
                <w:p w14:paraId="764C776A">
                  <w:pPr>
                    <w:autoSpaceDE w:val="0"/>
                    <w:autoSpaceDN w:val="0"/>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7EAA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7" w:hRule="atLeast"/>
                <w:jc w:val="center"/>
              </w:trPr>
              <w:tc>
                <w:tcPr>
                  <w:tcW w:w="678" w:type="pct"/>
                  <w:vMerge w:val="continue"/>
                  <w:noWrap w:val="0"/>
                  <w:vAlign w:val="center"/>
                </w:tcPr>
                <w:p w14:paraId="46BF6F89">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1014" w:type="pct"/>
                  <w:noWrap w:val="0"/>
                  <w:vAlign w:val="center"/>
                </w:tcPr>
                <w:p w14:paraId="5E8244A6">
                  <w:pPr>
                    <w:autoSpaceDE w:val="0"/>
                    <w:autoSpaceDN w:val="0"/>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臭气浓度</w:t>
                  </w:r>
                </w:p>
              </w:tc>
              <w:tc>
                <w:tcPr>
                  <w:tcW w:w="1549" w:type="pct"/>
                  <w:noWrap w:val="0"/>
                  <w:vAlign w:val="center"/>
                </w:tcPr>
                <w:p w14:paraId="33296EA3">
                  <w:pPr>
                    <w:autoSpaceDE w:val="0"/>
                    <w:autoSpaceDN w:val="0"/>
                    <w:adjustRightInd w:val="0"/>
                    <w:snapToGrid w:val="0"/>
                    <w:jc w:val="left"/>
                    <w:rPr>
                      <w:rFonts w:ascii="Times New Roman" w:hAnsi="Times New Roman" w:eastAsia="宋体" w:cs="Times New Roman"/>
                      <w:color w:val="auto"/>
                      <w:spacing w:val="-2"/>
                      <w:sz w:val="21"/>
                      <w:szCs w:val="21"/>
                      <w:highlight w:val="none"/>
                      <w:lang w:val="en-US" w:eastAsia="zh-CN" w:bidi="ar-SA"/>
                    </w:rPr>
                  </w:pPr>
                  <w:r>
                    <w:rPr>
                      <w:rFonts w:ascii="Times New Roman" w:hAnsi="Times New Roman" w:eastAsia="宋体" w:cs="Times New Roman"/>
                      <w:color w:val="auto"/>
                      <w:sz w:val="21"/>
                      <w:szCs w:val="21"/>
                      <w:highlight w:val="none"/>
                    </w:rPr>
                    <w:t>《恶臭污染物排放标准》（GB14554-93）表2恶臭污染物排放标准及表1新扩改建二级厂界标准值</w:t>
                  </w:r>
                </w:p>
              </w:tc>
              <w:tc>
                <w:tcPr>
                  <w:tcW w:w="495" w:type="pct"/>
                  <w:vMerge w:val="continue"/>
                  <w:noWrap w:val="0"/>
                  <w:vAlign w:val="center"/>
                </w:tcPr>
                <w:p w14:paraId="66EA91A7">
                  <w:pPr>
                    <w:autoSpaceDE w:val="0"/>
                    <w:autoSpaceDN w:val="0"/>
                    <w:adjustRightInd w:val="0"/>
                    <w:snapToGrid w:val="0"/>
                    <w:jc w:val="center"/>
                    <w:rPr>
                      <w:rFonts w:ascii="Times New Roman" w:hAnsi="Times New Roman" w:eastAsia="宋体" w:cs="Times New Roman"/>
                      <w:color w:val="auto"/>
                      <w:sz w:val="21"/>
                      <w:szCs w:val="21"/>
                      <w:highlight w:val="none"/>
                    </w:rPr>
                  </w:pPr>
                </w:p>
              </w:tc>
              <w:tc>
                <w:tcPr>
                  <w:tcW w:w="654" w:type="pct"/>
                  <w:noWrap w:val="0"/>
                  <w:vAlign w:val="center"/>
                </w:tcPr>
                <w:p w14:paraId="3BCD62AD">
                  <w:pPr>
                    <w:wordWrap w:val="0"/>
                    <w:topLinePun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2000（无量纲）</w:t>
                  </w:r>
                </w:p>
              </w:tc>
              <w:tc>
                <w:tcPr>
                  <w:tcW w:w="608" w:type="pct"/>
                  <w:noWrap w:val="0"/>
                  <w:vAlign w:val="center"/>
                </w:tcPr>
                <w:p w14:paraId="5D93C1B0">
                  <w:pPr>
                    <w:wordWrap w:val="0"/>
                    <w:topLinePun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4E69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5000" w:type="pct"/>
                  <w:gridSpan w:val="6"/>
                  <w:noWrap w:val="0"/>
                  <w:vAlign w:val="center"/>
                </w:tcPr>
                <w:p w14:paraId="4F4EE819">
                  <w:pPr>
                    <w:wordWrap w:val="0"/>
                    <w:topLinePunct/>
                    <w:jc w:val="center"/>
                    <w:rPr>
                      <w:rFonts w:ascii="Times New Roman" w:hAnsi="Times New Roman" w:eastAsia="宋体" w:cs="Times New Roman"/>
                      <w:color w:val="auto"/>
                      <w:sz w:val="21"/>
                      <w:szCs w:val="21"/>
                      <w:highlight w:val="none"/>
                    </w:rPr>
                  </w:pPr>
                  <w:r>
                    <w:rPr>
                      <w:rFonts w:hint="default" w:ascii="Times New Roman" w:hAnsi="Times New Roman" w:cs="Times New Roman"/>
                      <w:b/>
                      <w:bCs/>
                      <w:i w:val="0"/>
                      <w:iCs w:val="0"/>
                      <w:color w:val="auto"/>
                      <w:kern w:val="0"/>
                      <w:sz w:val="21"/>
                      <w:szCs w:val="21"/>
                      <w:highlight w:val="none"/>
                      <w:u w:val="none"/>
                      <w:lang w:val="en-US" w:eastAsia="zh-CN" w:bidi="ar"/>
                    </w:rPr>
                    <w:t>*本项目排气筒未高于周边200m建筑</w:t>
                  </w:r>
                  <w:r>
                    <w:rPr>
                      <w:rFonts w:hint="eastAsia" w:cs="Times New Roman"/>
                      <w:b/>
                      <w:bCs/>
                      <w:i w:val="0"/>
                      <w:iCs w:val="0"/>
                      <w:color w:val="auto"/>
                      <w:kern w:val="0"/>
                      <w:sz w:val="21"/>
                      <w:szCs w:val="21"/>
                      <w:highlight w:val="none"/>
                      <w:u w:val="none"/>
                      <w:lang w:val="en-US" w:eastAsia="zh-CN" w:bidi="ar"/>
                    </w:rPr>
                    <w:t>5</w:t>
                  </w:r>
                  <w:r>
                    <w:rPr>
                      <w:rFonts w:hint="default" w:ascii="Times New Roman" w:hAnsi="Times New Roman" w:cs="Times New Roman"/>
                      <w:b/>
                      <w:bCs/>
                      <w:i w:val="0"/>
                      <w:iCs w:val="0"/>
                      <w:color w:val="auto"/>
                      <w:kern w:val="0"/>
                      <w:sz w:val="21"/>
                      <w:szCs w:val="21"/>
                      <w:highlight w:val="none"/>
                      <w:u w:val="none"/>
                      <w:lang w:val="en-US" w:eastAsia="zh-CN" w:bidi="ar"/>
                    </w:rPr>
                    <w:t>m以上，因此排放速率按50%折算。</w:t>
                  </w:r>
                </w:p>
              </w:tc>
            </w:tr>
          </w:tbl>
          <w:p w14:paraId="663B039B">
            <w:pPr>
              <w:pStyle w:val="2"/>
              <w:rPr>
                <w:rFonts w:hint="default"/>
                <w:color w:val="auto"/>
                <w:lang w:val="en-US" w:eastAsia="zh-CN"/>
              </w:rPr>
            </w:pPr>
          </w:p>
          <w:p w14:paraId="56101925">
            <w:pPr>
              <w:numPr>
                <w:ilvl w:val="0"/>
                <w:numId w:val="14"/>
              </w:numPr>
              <w:spacing w:line="240" w:lineRule="auto"/>
              <w:ind w:left="0" w:leftChars="0" w:firstLine="40" w:firstLineChars="0"/>
              <w:jc w:val="center"/>
              <w:rPr>
                <w:rFonts w:hint="default" w:ascii="Times New Roman" w:hAnsi="Times New Roman" w:eastAsia="宋体" w:cs="Times New Roman"/>
                <w:b/>
                <w:color w:val="auto"/>
                <w:kern w:val="2"/>
                <w:sz w:val="21"/>
                <w:szCs w:val="21"/>
                <w:lang w:val="en-US" w:eastAsia="zh-CN" w:bidi="ar-SA"/>
              </w:rPr>
            </w:pPr>
            <w:r>
              <w:rPr>
                <w:rFonts w:hint="eastAsia" w:ascii="Times New Roman" w:hAnsi="Times New Roman" w:cs="Times New Roman"/>
                <w:b/>
                <w:bCs/>
                <w:color w:val="auto"/>
                <w:sz w:val="21"/>
                <w:szCs w:val="21"/>
                <w:highlight w:val="none"/>
                <w:lang w:val="en-US" w:eastAsia="zh-CN"/>
              </w:rPr>
              <w:t>无</w:t>
            </w:r>
            <w:r>
              <w:rPr>
                <w:rFonts w:hint="eastAsia" w:ascii="Times New Roman" w:hAnsi="Times New Roman" w:eastAsia="宋体" w:cs="Times New Roman"/>
                <w:b/>
                <w:color w:val="auto"/>
                <w:kern w:val="2"/>
                <w:sz w:val="21"/>
                <w:szCs w:val="21"/>
                <w:lang w:val="en-US" w:eastAsia="zh-CN" w:bidi="ar-SA"/>
              </w:rPr>
              <w:t>组织排放执行标准（单位：</w:t>
            </w:r>
            <w:r>
              <w:rPr>
                <w:rFonts w:hint="default" w:ascii="Times New Roman" w:hAnsi="Times New Roman" w:eastAsia="宋体" w:cs="Times New Roman"/>
                <w:b/>
                <w:bCs/>
                <w:color w:val="auto"/>
                <w:sz w:val="21"/>
                <w:szCs w:val="21"/>
              </w:rPr>
              <w:t>mg/m</w:t>
            </w:r>
            <w:r>
              <w:rPr>
                <w:rFonts w:hint="eastAsia" w:ascii="Times New Roman" w:hAnsi="Times New Roman" w:eastAsia="宋体" w:cs="Times New Roman"/>
                <w:b/>
                <w:bCs/>
                <w:color w:val="auto"/>
                <w:sz w:val="21"/>
                <w:szCs w:val="21"/>
                <w:vertAlign w:val="superscript"/>
                <w:lang w:val="en-US" w:eastAsia="zh-CN"/>
              </w:rPr>
              <w:t>3</w:t>
            </w:r>
            <w:r>
              <w:rPr>
                <w:rFonts w:hint="eastAsia" w:ascii="Times New Roman" w:hAnsi="Times New Roman" w:eastAsia="宋体" w:cs="Times New Roman"/>
                <w:b/>
                <w:bCs/>
                <w:color w:val="auto"/>
                <w:sz w:val="21"/>
                <w:szCs w:val="21"/>
                <w:vertAlign w:val="baseline"/>
                <w:lang w:val="en-US" w:eastAsia="zh-CN"/>
              </w:rPr>
              <w:t>）</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1"/>
              <w:gridCol w:w="803"/>
              <w:gridCol w:w="1575"/>
              <w:gridCol w:w="1512"/>
              <w:gridCol w:w="786"/>
              <w:gridCol w:w="692"/>
              <w:gridCol w:w="452"/>
            </w:tblGrid>
            <w:tr w14:paraId="2324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3" w:hRule="atLeast"/>
                <w:jc w:val="center"/>
              </w:trPr>
              <w:tc>
                <w:tcPr>
                  <w:tcW w:w="1507" w:type="pct"/>
                  <w:tcBorders>
                    <w:tl2br w:val="nil"/>
                    <w:tr2bl w:val="nil"/>
                  </w:tcBorders>
                  <w:noWrap/>
                  <w:tcMar>
                    <w:left w:w="0" w:type="dxa"/>
                    <w:right w:w="0" w:type="dxa"/>
                  </w:tcMar>
                  <w:vAlign w:val="center"/>
                </w:tcPr>
                <w:p w14:paraId="77F79FB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eastAsia="宋体"/>
                      <w:b/>
                      <w:bCs/>
                      <w:color w:val="auto"/>
                      <w:sz w:val="21"/>
                      <w:szCs w:val="21"/>
                      <w:lang w:val="en-US" w:eastAsia="zh-CN"/>
                    </w:rPr>
                  </w:pPr>
                  <w:r>
                    <w:rPr>
                      <w:rFonts w:hint="eastAsia"/>
                      <w:b/>
                      <w:bCs/>
                      <w:color w:val="auto"/>
                      <w:sz w:val="21"/>
                      <w:szCs w:val="21"/>
                      <w:lang w:val="en-US" w:eastAsia="zh-CN"/>
                    </w:rPr>
                    <w:t>污染物</w:t>
                  </w:r>
                </w:p>
              </w:tc>
              <w:tc>
                <w:tcPr>
                  <w:tcW w:w="481" w:type="pct"/>
                  <w:tcBorders>
                    <w:tl2br w:val="nil"/>
                    <w:tr2bl w:val="nil"/>
                  </w:tcBorders>
                  <w:noWrap/>
                  <w:tcMar>
                    <w:left w:w="0" w:type="dxa"/>
                    <w:right w:w="0" w:type="dxa"/>
                  </w:tcMar>
                  <w:vAlign w:val="center"/>
                </w:tcPr>
                <w:p w14:paraId="610439C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lang w:val="en-US" w:eastAsia="zh-CN"/>
                    </w:rPr>
                  </w:pPr>
                  <w:r>
                    <w:rPr>
                      <w:rFonts w:hint="eastAsia"/>
                      <w:b/>
                      <w:bCs/>
                      <w:color w:val="auto"/>
                      <w:sz w:val="21"/>
                      <w:szCs w:val="21"/>
                      <w:lang w:val="en-US" w:eastAsia="zh-CN"/>
                    </w:rPr>
                    <w:t>颗粒物</w:t>
                  </w:r>
                </w:p>
              </w:tc>
              <w:tc>
                <w:tcPr>
                  <w:tcW w:w="1852" w:type="pct"/>
                  <w:gridSpan w:val="2"/>
                  <w:tcBorders>
                    <w:tl2br w:val="nil"/>
                    <w:tr2bl w:val="nil"/>
                  </w:tcBorders>
                  <w:noWrap/>
                  <w:vAlign w:val="center"/>
                </w:tcPr>
                <w:p w14:paraId="6E22496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auto"/>
                      <w:sz w:val="21"/>
                      <w:szCs w:val="21"/>
                      <w:vertAlign w:val="baseline"/>
                      <w:lang w:val="en-US" w:eastAsia="zh-CN"/>
                    </w:rPr>
                  </w:pPr>
                  <w:r>
                    <w:rPr>
                      <w:rFonts w:hint="eastAsia"/>
                      <w:b/>
                      <w:bCs/>
                      <w:color w:val="auto"/>
                      <w:sz w:val="21"/>
                      <w:szCs w:val="21"/>
                      <w:vertAlign w:val="baseline"/>
                      <w:lang w:val="en-US" w:eastAsia="zh-CN"/>
                    </w:rPr>
                    <w:t>非甲烷总烃</w:t>
                  </w:r>
                </w:p>
              </w:tc>
              <w:tc>
                <w:tcPr>
                  <w:tcW w:w="471" w:type="pct"/>
                  <w:tcBorders>
                    <w:tl2br w:val="nil"/>
                    <w:tr2bl w:val="nil"/>
                  </w:tcBorders>
                  <w:noWrap/>
                  <w:vAlign w:val="center"/>
                </w:tcPr>
                <w:p w14:paraId="6C019D0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eastAsia="宋体"/>
                      <w:b/>
                      <w:bCs/>
                      <w:color w:val="auto"/>
                      <w:sz w:val="21"/>
                      <w:szCs w:val="21"/>
                      <w:lang w:val="en-US" w:eastAsia="zh-CN"/>
                    </w:rPr>
                  </w:pPr>
                  <w:r>
                    <w:rPr>
                      <w:rFonts w:hint="eastAsia"/>
                      <w:b/>
                      <w:bCs/>
                      <w:color w:val="auto"/>
                      <w:sz w:val="21"/>
                      <w:szCs w:val="21"/>
                      <w:lang w:val="en-US" w:eastAsia="zh-CN"/>
                    </w:rPr>
                    <w:t>苯</w:t>
                  </w:r>
                  <w:r>
                    <w:rPr>
                      <w:rFonts w:hint="eastAsia"/>
                      <w:b/>
                      <w:bCs/>
                      <w:color w:val="auto"/>
                      <w:lang w:val="en-US" w:eastAsia="zh-CN"/>
                    </w:rPr>
                    <w:t>系物</w:t>
                  </w:r>
                </w:p>
              </w:tc>
              <w:tc>
                <w:tcPr>
                  <w:tcW w:w="415" w:type="pct"/>
                  <w:tcBorders>
                    <w:tl2br w:val="nil"/>
                    <w:tr2bl w:val="nil"/>
                  </w:tcBorders>
                  <w:noWrap/>
                  <w:vAlign w:val="center"/>
                </w:tcPr>
                <w:p w14:paraId="17C5B325">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eastAsia="宋体"/>
                      <w:b/>
                      <w:bCs/>
                      <w:color w:val="auto"/>
                      <w:sz w:val="21"/>
                      <w:szCs w:val="21"/>
                      <w:lang w:val="en-US" w:eastAsia="zh-CN"/>
                    </w:rPr>
                  </w:pPr>
                  <w:r>
                    <w:rPr>
                      <w:rFonts w:hint="eastAsia"/>
                      <w:b/>
                      <w:bCs/>
                      <w:color w:val="auto"/>
                      <w:sz w:val="21"/>
                      <w:szCs w:val="21"/>
                      <w:lang w:val="en-US" w:eastAsia="zh-CN"/>
                    </w:rPr>
                    <w:t>臭气浓度</w:t>
                  </w:r>
                </w:p>
              </w:tc>
              <w:tc>
                <w:tcPr>
                  <w:tcW w:w="271" w:type="pct"/>
                  <w:tcBorders>
                    <w:tl2br w:val="nil"/>
                    <w:tr2bl w:val="nil"/>
                  </w:tcBorders>
                  <w:noWrap/>
                  <w:vAlign w:val="center"/>
                </w:tcPr>
                <w:p w14:paraId="04F920B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b/>
                      <w:bCs/>
                      <w:color w:val="auto"/>
                      <w:sz w:val="21"/>
                      <w:szCs w:val="21"/>
                      <w:lang w:val="en-US" w:eastAsia="zh-CN"/>
                    </w:rPr>
                  </w:pPr>
                  <w:r>
                    <w:rPr>
                      <w:rFonts w:hint="eastAsia"/>
                      <w:b/>
                      <w:bCs/>
                      <w:color w:val="auto"/>
                      <w:sz w:val="21"/>
                      <w:szCs w:val="21"/>
                      <w:lang w:val="en-US" w:eastAsia="zh-CN"/>
                    </w:rPr>
                    <w:t>氟化物</w:t>
                  </w:r>
                </w:p>
              </w:tc>
            </w:tr>
            <w:tr w14:paraId="6F46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507" w:type="pct"/>
                  <w:vMerge w:val="restart"/>
                  <w:tcBorders>
                    <w:tl2br w:val="nil"/>
                    <w:tr2bl w:val="nil"/>
                  </w:tcBorders>
                  <w:noWrap/>
                  <w:tcMar>
                    <w:left w:w="0" w:type="dxa"/>
                    <w:right w:w="0" w:type="dxa"/>
                  </w:tcMar>
                  <w:vAlign w:val="center"/>
                </w:tcPr>
                <w:p w14:paraId="6B672C65">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r>
                    <w:rPr>
                      <w:rFonts w:hint="default" w:ascii="Times New Roman" w:hAnsi="Times New Roman" w:eastAsia="宋体" w:cs="Times New Roman"/>
                      <w:color w:val="auto"/>
                      <w:sz w:val="21"/>
                      <w:szCs w:val="21"/>
                      <w:lang w:val="en-US" w:eastAsia="zh-CN"/>
                    </w:rPr>
                    <w:t>《固定污染源挥发性有机物综合排放标准》（DB44/2367-2022）中表</w:t>
                  </w:r>
                  <w:r>
                    <w:rPr>
                      <w:rFonts w:hint="eastAsia" w:cs="Times New Roman"/>
                      <w:color w:val="auto"/>
                      <w:sz w:val="21"/>
                      <w:szCs w:val="21"/>
                      <w:lang w:val="en-US" w:eastAsia="zh-CN"/>
                    </w:rPr>
                    <w:t>1挥发性有机物排放限值</w:t>
                  </w:r>
                </w:p>
              </w:tc>
              <w:tc>
                <w:tcPr>
                  <w:tcW w:w="481" w:type="pct"/>
                  <w:vMerge w:val="restart"/>
                  <w:tcBorders>
                    <w:tl2br w:val="nil"/>
                    <w:tr2bl w:val="nil"/>
                  </w:tcBorders>
                  <w:noWrap/>
                  <w:tcMar>
                    <w:left w:w="0" w:type="dxa"/>
                    <w:right w:w="0" w:type="dxa"/>
                  </w:tcMar>
                  <w:vAlign w:val="center"/>
                </w:tcPr>
                <w:p w14:paraId="03BF7B4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auto"/>
                      <w:sz w:val="21"/>
                      <w:szCs w:val="21"/>
                      <w:lang w:val="en-US" w:eastAsia="zh-CN"/>
                    </w:rPr>
                  </w:pPr>
                  <w:r>
                    <w:rPr>
                      <w:rFonts w:hint="eastAsia"/>
                      <w:b/>
                      <w:bCs/>
                      <w:color w:val="auto"/>
                      <w:sz w:val="21"/>
                      <w:szCs w:val="21"/>
                      <w:lang w:val="en-US" w:eastAsia="zh-CN"/>
                    </w:rPr>
                    <w:t>/</w:t>
                  </w:r>
                </w:p>
              </w:tc>
              <w:tc>
                <w:tcPr>
                  <w:tcW w:w="1852" w:type="pct"/>
                  <w:gridSpan w:val="2"/>
                  <w:tcBorders>
                    <w:tl2br w:val="nil"/>
                    <w:tr2bl w:val="nil"/>
                  </w:tcBorders>
                  <w:noWrap/>
                  <w:vAlign w:val="center"/>
                </w:tcPr>
                <w:p w14:paraId="1C4068C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厂内NMHC</w:t>
                  </w:r>
                </w:p>
              </w:tc>
              <w:tc>
                <w:tcPr>
                  <w:tcW w:w="471" w:type="pct"/>
                  <w:vMerge w:val="restart"/>
                  <w:tcBorders>
                    <w:tl2br w:val="nil"/>
                    <w:tr2bl w:val="nil"/>
                  </w:tcBorders>
                  <w:noWrap/>
                  <w:vAlign w:val="center"/>
                </w:tcPr>
                <w:p w14:paraId="141ECC6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w:t>
                  </w:r>
                </w:p>
              </w:tc>
              <w:tc>
                <w:tcPr>
                  <w:tcW w:w="415" w:type="pct"/>
                  <w:vMerge w:val="restart"/>
                  <w:tcBorders>
                    <w:tl2br w:val="nil"/>
                    <w:tr2bl w:val="nil"/>
                  </w:tcBorders>
                  <w:noWrap/>
                  <w:vAlign w:val="center"/>
                </w:tcPr>
                <w:p w14:paraId="64409FC6">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r>
                    <w:rPr>
                      <w:rFonts w:hint="eastAsia"/>
                      <w:color w:val="auto"/>
                      <w:sz w:val="21"/>
                      <w:szCs w:val="21"/>
                    </w:rPr>
                    <w:t>/</w:t>
                  </w:r>
                </w:p>
              </w:tc>
              <w:tc>
                <w:tcPr>
                  <w:tcW w:w="271" w:type="pct"/>
                  <w:vMerge w:val="restart"/>
                  <w:tcBorders>
                    <w:tl2br w:val="nil"/>
                    <w:tr2bl w:val="nil"/>
                  </w:tcBorders>
                  <w:noWrap/>
                  <w:vAlign w:val="center"/>
                </w:tcPr>
                <w:p w14:paraId="0E44FB6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auto"/>
                      <w:sz w:val="21"/>
                      <w:szCs w:val="21"/>
                      <w:lang w:val="en-US" w:eastAsia="zh-CN"/>
                    </w:rPr>
                  </w:pPr>
                  <w:r>
                    <w:rPr>
                      <w:rFonts w:hint="eastAsia"/>
                      <w:color w:val="auto"/>
                      <w:sz w:val="21"/>
                      <w:szCs w:val="21"/>
                      <w:lang w:val="en-US" w:eastAsia="zh-CN"/>
                    </w:rPr>
                    <w:t>/</w:t>
                  </w:r>
                </w:p>
              </w:tc>
            </w:tr>
            <w:tr w14:paraId="467F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507" w:type="pct"/>
                  <w:vMerge w:val="continue"/>
                  <w:tcBorders>
                    <w:tl2br w:val="nil"/>
                    <w:tr2bl w:val="nil"/>
                  </w:tcBorders>
                  <w:noWrap/>
                  <w:tcMar>
                    <w:left w:w="0" w:type="dxa"/>
                    <w:right w:w="0" w:type="dxa"/>
                  </w:tcMar>
                  <w:vAlign w:val="center"/>
                </w:tcPr>
                <w:p w14:paraId="37DC50F6">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p>
              </w:tc>
              <w:tc>
                <w:tcPr>
                  <w:tcW w:w="481" w:type="pct"/>
                  <w:vMerge w:val="continue"/>
                  <w:tcBorders>
                    <w:tl2br w:val="nil"/>
                    <w:tr2bl w:val="nil"/>
                  </w:tcBorders>
                  <w:noWrap/>
                  <w:tcMar>
                    <w:left w:w="0" w:type="dxa"/>
                    <w:right w:w="0" w:type="dxa"/>
                  </w:tcMar>
                  <w:vAlign w:val="center"/>
                </w:tcPr>
                <w:p w14:paraId="113DF0B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auto"/>
                      <w:sz w:val="21"/>
                      <w:szCs w:val="21"/>
                      <w:lang w:val="en-US" w:eastAsia="zh-CN"/>
                    </w:rPr>
                  </w:pPr>
                </w:p>
              </w:tc>
              <w:tc>
                <w:tcPr>
                  <w:tcW w:w="945" w:type="pct"/>
                  <w:tcBorders>
                    <w:tl2br w:val="nil"/>
                    <w:tr2bl w:val="nil"/>
                  </w:tcBorders>
                  <w:noWrap/>
                  <w:vAlign w:val="center"/>
                </w:tcPr>
                <w:p w14:paraId="4B7427F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6（</w:t>
                  </w:r>
                  <w:r>
                    <w:rPr>
                      <w:rFonts w:hint="default" w:ascii="Times New Roman" w:hAnsi="Times New Roman" w:eastAsia="宋体" w:cs="Times New Roman"/>
                      <w:color w:val="auto"/>
                      <w:sz w:val="21"/>
                      <w:szCs w:val="21"/>
                    </w:rPr>
                    <w:t>监控点处1h平均浓度值</w:t>
                  </w:r>
                  <w:r>
                    <w:rPr>
                      <w:rFonts w:hint="eastAsia"/>
                      <w:color w:val="auto"/>
                      <w:sz w:val="21"/>
                      <w:szCs w:val="21"/>
                      <w:lang w:val="en-US" w:eastAsia="zh-CN"/>
                    </w:rPr>
                    <w:t>）</w:t>
                  </w:r>
                </w:p>
              </w:tc>
              <w:tc>
                <w:tcPr>
                  <w:tcW w:w="907" w:type="pct"/>
                  <w:tcBorders>
                    <w:tl2br w:val="nil"/>
                    <w:tr2bl w:val="nil"/>
                  </w:tcBorders>
                  <w:noWrap/>
                  <w:vAlign w:val="center"/>
                </w:tcPr>
                <w:p w14:paraId="4190DC6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20（</w:t>
                  </w:r>
                  <w:r>
                    <w:rPr>
                      <w:rFonts w:hint="default" w:ascii="Times New Roman" w:hAnsi="Times New Roman" w:eastAsia="宋体" w:cs="Times New Roman"/>
                      <w:color w:val="auto"/>
                      <w:sz w:val="21"/>
                      <w:szCs w:val="21"/>
                    </w:rPr>
                    <w:t>监控点处任意一次浓度值</w:t>
                  </w:r>
                  <w:r>
                    <w:rPr>
                      <w:rFonts w:hint="eastAsia"/>
                      <w:color w:val="auto"/>
                      <w:sz w:val="21"/>
                      <w:szCs w:val="21"/>
                      <w:lang w:val="en-US" w:eastAsia="zh-CN"/>
                    </w:rPr>
                    <w:t>）</w:t>
                  </w:r>
                </w:p>
              </w:tc>
              <w:tc>
                <w:tcPr>
                  <w:tcW w:w="471" w:type="pct"/>
                  <w:vMerge w:val="continue"/>
                  <w:tcBorders>
                    <w:tl2br w:val="nil"/>
                    <w:tr2bl w:val="nil"/>
                  </w:tcBorders>
                  <w:noWrap/>
                  <w:vAlign w:val="center"/>
                </w:tcPr>
                <w:p w14:paraId="3C9B87A4">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p>
              </w:tc>
              <w:tc>
                <w:tcPr>
                  <w:tcW w:w="415" w:type="pct"/>
                  <w:vMerge w:val="continue"/>
                  <w:tcBorders>
                    <w:tl2br w:val="nil"/>
                    <w:tr2bl w:val="nil"/>
                  </w:tcBorders>
                  <w:noWrap/>
                  <w:vAlign w:val="center"/>
                </w:tcPr>
                <w:p w14:paraId="6AF67800">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p>
              </w:tc>
              <w:tc>
                <w:tcPr>
                  <w:tcW w:w="271" w:type="pct"/>
                  <w:vMerge w:val="continue"/>
                  <w:tcBorders>
                    <w:tl2br w:val="nil"/>
                    <w:tr2bl w:val="nil"/>
                  </w:tcBorders>
                  <w:noWrap/>
                  <w:vAlign w:val="center"/>
                </w:tcPr>
                <w:p w14:paraId="0050B40A">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p>
              </w:tc>
            </w:tr>
            <w:tr w14:paraId="7B25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3" w:hRule="atLeast"/>
                <w:jc w:val="center"/>
              </w:trPr>
              <w:tc>
                <w:tcPr>
                  <w:tcW w:w="1507" w:type="pct"/>
                  <w:tcBorders>
                    <w:tl2br w:val="nil"/>
                    <w:tr2bl w:val="nil"/>
                  </w:tcBorders>
                  <w:noWrap/>
                  <w:tcMar>
                    <w:left w:w="0" w:type="dxa"/>
                    <w:right w:w="0" w:type="dxa"/>
                  </w:tcMar>
                  <w:vAlign w:val="center"/>
                </w:tcPr>
                <w:p w14:paraId="7452F8E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pacing w:val="-2"/>
                      <w:sz w:val="21"/>
                      <w:szCs w:val="21"/>
                      <w:highlight w:val="none"/>
                    </w:rPr>
                    <w:t>《恶臭污染物排放标准》（GB14554-93）</w:t>
                  </w:r>
                  <w:r>
                    <w:rPr>
                      <w:rFonts w:hint="default" w:ascii="Times New Roman" w:hAnsi="Times New Roman" w:eastAsia="宋体" w:cs="Times New Roman"/>
                      <w:b w:val="0"/>
                      <w:bCs w:val="0"/>
                      <w:color w:val="auto"/>
                      <w:sz w:val="21"/>
                      <w:szCs w:val="21"/>
                    </w:rPr>
                    <w:t>表1恶臭污染物厂界标准值二级新扩改建标准</w:t>
                  </w:r>
                </w:p>
              </w:tc>
              <w:tc>
                <w:tcPr>
                  <w:tcW w:w="481" w:type="pct"/>
                  <w:tcBorders>
                    <w:tl2br w:val="nil"/>
                    <w:tr2bl w:val="nil"/>
                  </w:tcBorders>
                  <w:noWrap/>
                  <w:tcMar>
                    <w:left w:w="0" w:type="dxa"/>
                    <w:right w:w="0" w:type="dxa"/>
                  </w:tcMar>
                  <w:vAlign w:val="center"/>
                </w:tcPr>
                <w:p w14:paraId="05D2EC0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b/>
                      <w:bCs/>
                      <w:color w:val="auto"/>
                      <w:sz w:val="21"/>
                      <w:szCs w:val="21"/>
                      <w:lang w:val="en-US" w:eastAsia="zh-CN"/>
                    </w:rPr>
                  </w:pPr>
                  <w:r>
                    <w:rPr>
                      <w:rFonts w:hint="eastAsia"/>
                      <w:b/>
                      <w:bCs/>
                      <w:color w:val="auto"/>
                      <w:sz w:val="21"/>
                      <w:szCs w:val="21"/>
                      <w:lang w:val="en-US" w:eastAsia="zh-CN"/>
                    </w:rPr>
                    <w:t>/</w:t>
                  </w:r>
                </w:p>
              </w:tc>
              <w:tc>
                <w:tcPr>
                  <w:tcW w:w="1852" w:type="pct"/>
                  <w:gridSpan w:val="2"/>
                  <w:tcBorders>
                    <w:tl2br w:val="nil"/>
                    <w:tr2bl w:val="nil"/>
                  </w:tcBorders>
                  <w:noWrap/>
                  <w:vAlign w:val="center"/>
                </w:tcPr>
                <w:p w14:paraId="25AD600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auto"/>
                      <w:sz w:val="21"/>
                      <w:szCs w:val="21"/>
                      <w:lang w:val="en-US" w:eastAsia="zh-CN"/>
                    </w:rPr>
                  </w:pPr>
                  <w:r>
                    <w:rPr>
                      <w:rFonts w:hint="eastAsia"/>
                      <w:color w:val="auto"/>
                      <w:sz w:val="21"/>
                      <w:szCs w:val="21"/>
                      <w:lang w:val="en-US" w:eastAsia="zh-CN"/>
                    </w:rPr>
                    <w:t>/</w:t>
                  </w:r>
                </w:p>
              </w:tc>
              <w:tc>
                <w:tcPr>
                  <w:tcW w:w="471" w:type="pct"/>
                  <w:tcBorders>
                    <w:tl2br w:val="nil"/>
                    <w:tr2bl w:val="nil"/>
                  </w:tcBorders>
                  <w:noWrap/>
                  <w:vAlign w:val="center"/>
                </w:tcPr>
                <w:p w14:paraId="54E847D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eastAsia="宋体"/>
                      <w:color w:val="auto"/>
                      <w:sz w:val="21"/>
                      <w:szCs w:val="21"/>
                      <w:lang w:val="en-US" w:eastAsia="zh-CN"/>
                    </w:rPr>
                  </w:pPr>
                  <w:r>
                    <w:rPr>
                      <w:rFonts w:hint="eastAsia"/>
                      <w:color w:val="auto"/>
                      <w:sz w:val="21"/>
                      <w:szCs w:val="21"/>
                      <w:lang w:val="en-US" w:eastAsia="zh-CN"/>
                    </w:rPr>
                    <w:t>/</w:t>
                  </w:r>
                </w:p>
              </w:tc>
              <w:tc>
                <w:tcPr>
                  <w:tcW w:w="415" w:type="pct"/>
                  <w:tcBorders>
                    <w:tl2br w:val="nil"/>
                    <w:tr2bl w:val="nil"/>
                  </w:tcBorders>
                  <w:noWrap/>
                  <w:vAlign w:val="center"/>
                </w:tcPr>
                <w:p w14:paraId="49177B1F">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20</w:t>
                  </w:r>
                </w:p>
              </w:tc>
              <w:tc>
                <w:tcPr>
                  <w:tcW w:w="271" w:type="pct"/>
                  <w:tcBorders>
                    <w:tl2br w:val="nil"/>
                    <w:tr2bl w:val="nil"/>
                  </w:tcBorders>
                  <w:noWrap/>
                  <w:vAlign w:val="center"/>
                </w:tcPr>
                <w:p w14:paraId="526D02B7">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w:t>
                  </w:r>
                </w:p>
              </w:tc>
            </w:tr>
            <w:tr w14:paraId="2A5E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1507" w:type="pct"/>
                  <w:tcBorders>
                    <w:tl2br w:val="nil"/>
                    <w:tr2bl w:val="nil"/>
                  </w:tcBorders>
                  <w:noWrap/>
                  <w:tcMar>
                    <w:left w:w="0" w:type="dxa"/>
                    <w:right w:w="0" w:type="dxa"/>
                  </w:tcMar>
                  <w:vAlign w:val="center"/>
                </w:tcPr>
                <w:p w14:paraId="29F4B48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ascii="Times New Roman" w:hAnsi="Times New Roman" w:cs="Times New Roman"/>
                      <w:b w:val="0"/>
                      <w:bCs/>
                      <w:color w:val="auto"/>
                      <w:spacing w:val="-2"/>
                      <w:sz w:val="21"/>
                      <w:szCs w:val="21"/>
                      <w:highlight w:val="none"/>
                    </w:rPr>
                  </w:pPr>
                  <w:r>
                    <w:rPr>
                      <w:rFonts w:hint="eastAsia" w:ascii="Times New Roman" w:hAnsi="Times New Roman" w:eastAsia="宋体" w:cs="Times New Roman"/>
                      <w:b w:val="0"/>
                      <w:bCs/>
                      <w:color w:val="auto"/>
                      <w:kern w:val="2"/>
                      <w:sz w:val="21"/>
                      <w:szCs w:val="21"/>
                      <w:lang w:val="en-US" w:eastAsia="zh-CN" w:bidi="ar-SA"/>
                    </w:rPr>
                    <w:t>《大气污染物排放限值》(DB44/27-2001)第二时段无组织排放监控浓度限值</w:t>
                  </w:r>
                </w:p>
              </w:tc>
              <w:tc>
                <w:tcPr>
                  <w:tcW w:w="481" w:type="pct"/>
                  <w:tcBorders>
                    <w:tl2br w:val="nil"/>
                    <w:tr2bl w:val="nil"/>
                  </w:tcBorders>
                  <w:noWrap/>
                  <w:tcMar>
                    <w:left w:w="0" w:type="dxa"/>
                    <w:right w:w="0" w:type="dxa"/>
                  </w:tcMar>
                  <w:vAlign w:val="center"/>
                </w:tcPr>
                <w:p w14:paraId="311D98F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b w:val="0"/>
                      <w:bCs/>
                      <w:color w:val="auto"/>
                      <w:sz w:val="21"/>
                      <w:szCs w:val="21"/>
                      <w:lang w:val="en-US" w:eastAsia="zh-CN"/>
                    </w:rPr>
                  </w:pPr>
                  <w:r>
                    <w:rPr>
                      <w:rFonts w:hint="eastAsia"/>
                      <w:b w:val="0"/>
                      <w:bCs/>
                      <w:color w:val="auto"/>
                      <w:sz w:val="21"/>
                      <w:szCs w:val="21"/>
                      <w:lang w:val="en-US" w:eastAsia="zh-CN"/>
                    </w:rPr>
                    <w:t>1.0</w:t>
                  </w:r>
                </w:p>
              </w:tc>
              <w:tc>
                <w:tcPr>
                  <w:tcW w:w="1852" w:type="pct"/>
                  <w:gridSpan w:val="2"/>
                  <w:tcBorders>
                    <w:tl2br w:val="nil"/>
                    <w:tr2bl w:val="nil"/>
                  </w:tcBorders>
                  <w:noWrap/>
                  <w:vAlign w:val="center"/>
                </w:tcPr>
                <w:p w14:paraId="5E3C22E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b w:val="0"/>
                      <w:bCs/>
                      <w:color w:val="auto"/>
                      <w:sz w:val="21"/>
                      <w:szCs w:val="21"/>
                      <w:lang w:val="en-US" w:eastAsia="zh-CN"/>
                    </w:rPr>
                  </w:pPr>
                  <w:r>
                    <w:rPr>
                      <w:rFonts w:hint="eastAsia"/>
                      <w:b w:val="0"/>
                      <w:bCs/>
                      <w:color w:val="auto"/>
                      <w:sz w:val="21"/>
                      <w:szCs w:val="21"/>
                      <w:lang w:val="en-US" w:eastAsia="zh-CN"/>
                    </w:rPr>
                    <w:t>4.0</w:t>
                  </w:r>
                </w:p>
              </w:tc>
              <w:tc>
                <w:tcPr>
                  <w:tcW w:w="471" w:type="pct"/>
                  <w:tcBorders>
                    <w:tl2br w:val="nil"/>
                    <w:tr2bl w:val="nil"/>
                  </w:tcBorders>
                  <w:noWrap/>
                  <w:vAlign w:val="center"/>
                </w:tcPr>
                <w:p w14:paraId="1685392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二甲苯1.2</w:t>
                  </w:r>
                </w:p>
              </w:tc>
              <w:tc>
                <w:tcPr>
                  <w:tcW w:w="415" w:type="pct"/>
                  <w:tcBorders>
                    <w:tl2br w:val="nil"/>
                    <w:tr2bl w:val="nil"/>
                  </w:tcBorders>
                  <w:noWrap/>
                  <w:vAlign w:val="center"/>
                </w:tcPr>
                <w:p w14:paraId="239747F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w:t>
                  </w:r>
                </w:p>
              </w:tc>
              <w:tc>
                <w:tcPr>
                  <w:tcW w:w="271" w:type="pct"/>
                  <w:tcBorders>
                    <w:tl2br w:val="nil"/>
                    <w:tr2bl w:val="nil"/>
                  </w:tcBorders>
                  <w:noWrap/>
                  <w:vAlign w:val="center"/>
                </w:tcPr>
                <w:p w14:paraId="3E41521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0.02</w:t>
                  </w:r>
                </w:p>
              </w:tc>
            </w:tr>
            <w:tr w14:paraId="1C8E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 w:hRule="atLeast"/>
                <w:jc w:val="center"/>
              </w:trPr>
              <w:tc>
                <w:tcPr>
                  <w:tcW w:w="1507" w:type="pct"/>
                  <w:vMerge w:val="restart"/>
                  <w:tcBorders>
                    <w:tl2br w:val="nil"/>
                    <w:tr2bl w:val="nil"/>
                  </w:tcBorders>
                  <w:noWrap/>
                  <w:tcMar>
                    <w:left w:w="0" w:type="dxa"/>
                    <w:right w:w="0" w:type="dxa"/>
                  </w:tcMar>
                  <w:vAlign w:val="center"/>
                </w:tcPr>
                <w:p w14:paraId="1209621A">
                  <w:pPr>
                    <w:keepNext w:val="0"/>
                    <w:keepLines w:val="0"/>
                    <w:pageBreakBefore w:val="0"/>
                    <w:widowControl w:val="0"/>
                    <w:kinsoku/>
                    <w:wordWrap/>
                    <w:overflowPunct/>
                    <w:topLinePunct w:val="0"/>
                    <w:autoSpaceDE/>
                    <w:autoSpaceDN/>
                    <w:bidi w:val="0"/>
                    <w:adjustRightInd/>
                    <w:spacing w:line="240" w:lineRule="auto"/>
                    <w:jc w:val="center"/>
                    <w:textAlignment w:val="auto"/>
                    <w:rPr>
                      <w:color w:val="auto"/>
                      <w:sz w:val="21"/>
                      <w:szCs w:val="21"/>
                    </w:rPr>
                  </w:pPr>
                  <w:r>
                    <w:rPr>
                      <w:rFonts w:hint="eastAsia"/>
                      <w:color w:val="auto"/>
                      <w:sz w:val="21"/>
                      <w:szCs w:val="21"/>
                      <w:lang w:val="en-US" w:eastAsia="zh-CN"/>
                    </w:rPr>
                    <w:t>本项目</w:t>
                  </w:r>
                  <w:r>
                    <w:rPr>
                      <w:color w:val="auto"/>
                      <w:sz w:val="21"/>
                      <w:szCs w:val="21"/>
                    </w:rPr>
                    <w:t>执行限值</w:t>
                  </w:r>
                </w:p>
              </w:tc>
              <w:tc>
                <w:tcPr>
                  <w:tcW w:w="481" w:type="pct"/>
                  <w:vMerge w:val="restart"/>
                  <w:tcBorders>
                    <w:tl2br w:val="nil"/>
                    <w:tr2bl w:val="nil"/>
                  </w:tcBorders>
                  <w:noWrap/>
                  <w:tcMar>
                    <w:left w:w="0" w:type="dxa"/>
                    <w:right w:w="0" w:type="dxa"/>
                  </w:tcMar>
                  <w:vAlign w:val="center"/>
                </w:tcPr>
                <w:p w14:paraId="32DFE25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1.0</w:t>
                  </w:r>
                </w:p>
              </w:tc>
              <w:tc>
                <w:tcPr>
                  <w:tcW w:w="945" w:type="pct"/>
                  <w:tcBorders>
                    <w:tl2br w:val="nil"/>
                    <w:tr2bl w:val="nil"/>
                  </w:tcBorders>
                  <w:noWrap/>
                  <w:vAlign w:val="center"/>
                </w:tcPr>
                <w:p w14:paraId="6163B58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厂内：6（</w:t>
                  </w:r>
                  <w:r>
                    <w:rPr>
                      <w:rFonts w:hint="default" w:ascii="Times New Roman" w:hAnsi="Times New Roman" w:eastAsia="宋体" w:cs="Times New Roman"/>
                      <w:color w:val="auto"/>
                      <w:sz w:val="21"/>
                      <w:szCs w:val="21"/>
                    </w:rPr>
                    <w:t>监控点处1h平均浓度值</w:t>
                  </w:r>
                  <w:r>
                    <w:rPr>
                      <w:rFonts w:hint="eastAsia"/>
                      <w:color w:val="auto"/>
                      <w:sz w:val="21"/>
                      <w:szCs w:val="21"/>
                      <w:lang w:val="en-US" w:eastAsia="zh-CN"/>
                    </w:rPr>
                    <w:t>）</w:t>
                  </w:r>
                </w:p>
              </w:tc>
              <w:tc>
                <w:tcPr>
                  <w:tcW w:w="907" w:type="pct"/>
                  <w:tcBorders>
                    <w:tl2br w:val="nil"/>
                    <w:tr2bl w:val="nil"/>
                  </w:tcBorders>
                  <w:noWrap/>
                  <w:vAlign w:val="center"/>
                </w:tcPr>
                <w:p w14:paraId="31947B5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厂内：20（</w:t>
                  </w:r>
                  <w:r>
                    <w:rPr>
                      <w:rFonts w:hint="default" w:ascii="Times New Roman" w:hAnsi="Times New Roman" w:eastAsia="宋体" w:cs="Times New Roman"/>
                      <w:color w:val="auto"/>
                      <w:sz w:val="21"/>
                      <w:szCs w:val="21"/>
                    </w:rPr>
                    <w:t>监控点处任意一次浓度值</w:t>
                  </w:r>
                  <w:r>
                    <w:rPr>
                      <w:rFonts w:hint="eastAsia"/>
                      <w:color w:val="auto"/>
                      <w:sz w:val="21"/>
                      <w:szCs w:val="21"/>
                      <w:lang w:val="en-US" w:eastAsia="zh-CN"/>
                    </w:rPr>
                    <w:t>）</w:t>
                  </w:r>
                </w:p>
              </w:tc>
              <w:tc>
                <w:tcPr>
                  <w:tcW w:w="471" w:type="pct"/>
                  <w:vMerge w:val="restart"/>
                  <w:tcBorders>
                    <w:tl2br w:val="nil"/>
                    <w:tr2bl w:val="nil"/>
                  </w:tcBorders>
                  <w:noWrap/>
                  <w:vAlign w:val="center"/>
                </w:tcPr>
                <w:p w14:paraId="0751780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1.2</w:t>
                  </w:r>
                </w:p>
              </w:tc>
              <w:tc>
                <w:tcPr>
                  <w:tcW w:w="415" w:type="pct"/>
                  <w:vMerge w:val="restart"/>
                  <w:tcBorders>
                    <w:tl2br w:val="nil"/>
                    <w:tr2bl w:val="nil"/>
                  </w:tcBorders>
                  <w:noWrap/>
                  <w:vAlign w:val="center"/>
                </w:tcPr>
                <w:p w14:paraId="0094788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eastAsia="宋体"/>
                      <w:color w:val="auto"/>
                      <w:sz w:val="21"/>
                      <w:szCs w:val="21"/>
                      <w:lang w:val="en-US" w:eastAsia="zh-CN"/>
                    </w:rPr>
                  </w:pPr>
                  <w:r>
                    <w:rPr>
                      <w:rFonts w:hint="eastAsia"/>
                      <w:color w:val="auto"/>
                      <w:sz w:val="21"/>
                      <w:szCs w:val="21"/>
                      <w:lang w:val="en-US" w:eastAsia="zh-CN"/>
                    </w:rPr>
                    <w:t>20（无量纲）</w:t>
                  </w:r>
                </w:p>
              </w:tc>
              <w:tc>
                <w:tcPr>
                  <w:tcW w:w="271" w:type="pct"/>
                  <w:vMerge w:val="restart"/>
                  <w:tcBorders>
                    <w:tl2br w:val="nil"/>
                    <w:tr2bl w:val="nil"/>
                  </w:tcBorders>
                  <w:noWrap/>
                  <w:vAlign w:val="center"/>
                </w:tcPr>
                <w:p w14:paraId="37A90A98">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0.02</w:t>
                  </w:r>
                </w:p>
              </w:tc>
            </w:tr>
            <w:tr w14:paraId="44F4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507" w:type="pct"/>
                  <w:vMerge w:val="continue"/>
                  <w:tcBorders>
                    <w:tl2br w:val="nil"/>
                    <w:tr2bl w:val="nil"/>
                  </w:tcBorders>
                  <w:noWrap/>
                  <w:tcMar>
                    <w:left w:w="0" w:type="dxa"/>
                    <w:right w:w="0" w:type="dxa"/>
                  </w:tcMar>
                  <w:vAlign w:val="center"/>
                </w:tcPr>
                <w:p w14:paraId="4A1061EC">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z w:val="21"/>
                      <w:szCs w:val="21"/>
                      <w:lang w:val="en-US" w:eastAsia="zh-CN"/>
                    </w:rPr>
                  </w:pPr>
                </w:p>
              </w:tc>
              <w:tc>
                <w:tcPr>
                  <w:tcW w:w="481" w:type="pct"/>
                  <w:vMerge w:val="continue"/>
                  <w:tcBorders>
                    <w:tl2br w:val="nil"/>
                    <w:tr2bl w:val="nil"/>
                  </w:tcBorders>
                  <w:noWrap/>
                  <w:tcMar>
                    <w:left w:w="0" w:type="dxa"/>
                    <w:right w:w="0" w:type="dxa"/>
                  </w:tcMar>
                  <w:vAlign w:val="center"/>
                </w:tcPr>
                <w:p w14:paraId="09E9C7B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z w:val="21"/>
                      <w:szCs w:val="21"/>
                      <w:lang w:val="en-US" w:eastAsia="zh-CN"/>
                    </w:rPr>
                  </w:pPr>
                </w:p>
              </w:tc>
              <w:tc>
                <w:tcPr>
                  <w:tcW w:w="1852" w:type="pct"/>
                  <w:gridSpan w:val="2"/>
                  <w:tcBorders>
                    <w:tl2br w:val="nil"/>
                    <w:tr2bl w:val="nil"/>
                  </w:tcBorders>
                  <w:noWrap/>
                  <w:vAlign w:val="center"/>
                </w:tcPr>
                <w:p w14:paraId="6FC91D1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default"/>
                      <w:color w:val="auto"/>
                      <w:sz w:val="21"/>
                      <w:szCs w:val="21"/>
                      <w:lang w:val="en-US" w:eastAsia="zh-CN"/>
                    </w:rPr>
                  </w:pPr>
                  <w:r>
                    <w:rPr>
                      <w:rFonts w:hint="eastAsia"/>
                      <w:color w:val="auto"/>
                      <w:sz w:val="21"/>
                      <w:szCs w:val="21"/>
                      <w:lang w:val="en-US" w:eastAsia="zh-CN"/>
                    </w:rPr>
                    <w:t>厂界：</w:t>
                  </w:r>
                  <w:r>
                    <w:rPr>
                      <w:rFonts w:hint="eastAsia"/>
                      <w:b w:val="0"/>
                      <w:bCs/>
                      <w:color w:val="auto"/>
                      <w:sz w:val="21"/>
                      <w:szCs w:val="21"/>
                      <w:lang w:val="en-US" w:eastAsia="zh-CN"/>
                    </w:rPr>
                    <w:t>4.0（周界外浓度最高点）</w:t>
                  </w:r>
                </w:p>
              </w:tc>
              <w:tc>
                <w:tcPr>
                  <w:tcW w:w="471" w:type="pct"/>
                  <w:vMerge w:val="continue"/>
                  <w:tcBorders>
                    <w:tl2br w:val="nil"/>
                    <w:tr2bl w:val="nil"/>
                  </w:tcBorders>
                  <w:noWrap/>
                  <w:vAlign w:val="center"/>
                </w:tcPr>
                <w:p w14:paraId="373EFC4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z w:val="21"/>
                      <w:szCs w:val="21"/>
                      <w:lang w:val="en-US" w:eastAsia="zh-CN"/>
                    </w:rPr>
                  </w:pPr>
                </w:p>
              </w:tc>
              <w:tc>
                <w:tcPr>
                  <w:tcW w:w="415" w:type="pct"/>
                  <w:vMerge w:val="continue"/>
                  <w:tcBorders>
                    <w:tl2br w:val="nil"/>
                    <w:tr2bl w:val="nil"/>
                  </w:tcBorders>
                  <w:noWrap/>
                  <w:vAlign w:val="center"/>
                </w:tcPr>
                <w:p w14:paraId="7F143DD9">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z w:val="21"/>
                      <w:szCs w:val="21"/>
                      <w:lang w:val="en-US" w:eastAsia="zh-CN"/>
                    </w:rPr>
                  </w:pPr>
                </w:p>
              </w:tc>
              <w:tc>
                <w:tcPr>
                  <w:tcW w:w="271" w:type="pct"/>
                  <w:vMerge w:val="continue"/>
                  <w:tcBorders>
                    <w:tl2br w:val="nil"/>
                    <w:tr2bl w:val="nil"/>
                  </w:tcBorders>
                  <w:noWrap/>
                  <w:vAlign w:val="center"/>
                </w:tcPr>
                <w:p w14:paraId="6A427592">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color w:val="auto"/>
                      <w:sz w:val="21"/>
                      <w:szCs w:val="21"/>
                      <w:lang w:val="en-US" w:eastAsia="zh-CN"/>
                    </w:rPr>
                  </w:pPr>
                </w:p>
              </w:tc>
            </w:tr>
          </w:tbl>
          <w:p w14:paraId="4536F276">
            <w:pPr>
              <w:pStyle w:val="2"/>
              <w:rPr>
                <w:rFonts w:hint="default"/>
                <w:color w:val="auto"/>
                <w:lang w:val="en-US" w:eastAsia="zh-CN"/>
              </w:rPr>
            </w:pPr>
          </w:p>
          <w:p w14:paraId="34789723">
            <w:pPr>
              <w:spacing w:line="360" w:lineRule="auto"/>
              <w:ind w:firstLine="482" w:firstLineChars="200"/>
              <w:rPr>
                <w:rFonts w:hint="eastAsia" w:ascii="Times New Roman" w:hAnsi="Times New Roman" w:eastAsia="宋体" w:cs="Times New Roman"/>
                <w:b/>
                <w:bCs/>
                <w:color w:val="auto"/>
                <w:kern w:val="0"/>
                <w:sz w:val="24"/>
                <w:highlight w:val="none"/>
                <w:lang w:val="en-US" w:eastAsia="zh-CN" w:bidi="ar"/>
              </w:rPr>
            </w:pPr>
            <w:r>
              <w:rPr>
                <w:rFonts w:hint="eastAsia" w:cs="Times New Roman"/>
                <w:b/>
                <w:bCs/>
                <w:color w:val="auto"/>
                <w:kern w:val="0"/>
                <w:sz w:val="24"/>
                <w:highlight w:val="none"/>
                <w:lang w:val="en-US" w:eastAsia="zh-CN" w:bidi="ar"/>
              </w:rPr>
              <w:t>④</w:t>
            </w:r>
            <w:r>
              <w:rPr>
                <w:rFonts w:hint="eastAsia" w:ascii="Times New Roman" w:hAnsi="Times New Roman" w:eastAsia="宋体" w:cs="Times New Roman"/>
                <w:b/>
                <w:bCs/>
                <w:color w:val="auto"/>
                <w:kern w:val="0"/>
                <w:sz w:val="24"/>
                <w:highlight w:val="none"/>
                <w:lang w:val="en-US" w:eastAsia="zh-CN" w:bidi="ar"/>
              </w:rPr>
              <w:t>污水处理站恶臭</w:t>
            </w:r>
          </w:p>
          <w:p w14:paraId="5A0FFB57">
            <w:pPr>
              <w:spacing w:line="360" w:lineRule="auto"/>
              <w:ind w:firstLine="480" w:firstLineChars="200"/>
              <w:rPr>
                <w:rFonts w:hint="default" w:ascii="Times New Roman" w:hAnsi="Times New Roman" w:cs="Times New Roman"/>
                <w:b/>
                <w:bCs/>
                <w:color w:val="auto"/>
                <w:sz w:val="21"/>
                <w:szCs w:val="21"/>
                <w:highlight w:val="none"/>
                <w:lang w:val="en-US" w:eastAsia="zh-CN"/>
              </w:rPr>
            </w:pPr>
            <w:r>
              <w:rPr>
                <w:rFonts w:hint="eastAsia" w:ascii="Times New Roman" w:hAnsi="Times New Roman" w:eastAsia="宋体" w:cs="Times New Roman"/>
                <w:color w:val="auto"/>
                <w:kern w:val="0"/>
                <w:sz w:val="24"/>
                <w:highlight w:val="none"/>
                <w:lang w:val="en-US" w:eastAsia="zh-CN" w:bidi="ar"/>
              </w:rPr>
              <w:t>本项目</w:t>
            </w:r>
            <w:r>
              <w:rPr>
                <w:rFonts w:hint="default" w:ascii="Times New Roman" w:hAnsi="Times New Roman" w:eastAsia="宋体" w:cs="Times New Roman"/>
                <w:color w:val="auto"/>
                <w:kern w:val="0"/>
                <w:sz w:val="24"/>
                <w:highlight w:val="none"/>
                <w:lang w:val="en-US" w:eastAsia="zh-CN" w:bidi="ar"/>
              </w:rPr>
              <w:t>厂界氨气、硫化氢、臭气浓度排放浓度执行《恶臭污染物排放标准》（GB14554-93）中表1二级标准中“新改扩建”限值要求。</w:t>
            </w:r>
          </w:p>
          <w:p w14:paraId="2C3898D7">
            <w:pPr>
              <w:numPr>
                <w:ilvl w:val="0"/>
                <w:numId w:val="14"/>
              </w:numPr>
              <w:spacing w:line="240" w:lineRule="auto"/>
              <w:ind w:left="0" w:leftChars="0" w:firstLine="40" w:firstLineChars="0"/>
              <w:jc w:val="center"/>
              <w:rPr>
                <w:rFonts w:hint="default" w:cs="Times New Roman"/>
                <w:color w:val="auto"/>
                <w:highlight w:val="none"/>
                <w:lang w:val="en-US" w:eastAsia="zh-CN"/>
              </w:rPr>
            </w:pPr>
            <w:r>
              <w:rPr>
                <w:rFonts w:hint="eastAsia"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rPr>
              <w:t>污水处理站恶臭排放标准（单位：mg/m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bCs/>
                <w:color w:val="auto"/>
                <w:sz w:val="21"/>
                <w:szCs w:val="21"/>
                <w:highlight w:val="none"/>
              </w:rPr>
              <w:t>）</w:t>
            </w:r>
          </w:p>
          <w:tbl>
            <w:tblPr>
              <w:tblStyle w:val="48"/>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63"/>
              <w:gridCol w:w="1625"/>
              <w:gridCol w:w="1898"/>
              <w:gridCol w:w="3152"/>
            </w:tblGrid>
            <w:tr w14:paraId="32C91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97" w:type="pct"/>
                  <w:tcBorders>
                    <w:top w:val="single" w:color="000000" w:sz="4" w:space="0"/>
                    <w:left w:val="single" w:color="000000" w:sz="4" w:space="0"/>
                    <w:bottom w:val="single" w:color="000000" w:sz="4" w:space="0"/>
                    <w:right w:val="single" w:color="000000" w:sz="4" w:space="0"/>
                  </w:tcBorders>
                  <w:noWrap w:val="0"/>
                  <w:vAlign w:val="center"/>
                </w:tcPr>
                <w:p w14:paraId="6579008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污染物类别</w:t>
                  </w:r>
                </w:p>
              </w:tc>
              <w:tc>
                <w:tcPr>
                  <w:tcW w:w="974" w:type="pct"/>
                  <w:tcBorders>
                    <w:top w:val="single" w:color="000000" w:sz="4" w:space="0"/>
                    <w:left w:val="single" w:color="000000" w:sz="4" w:space="0"/>
                    <w:bottom w:val="single" w:color="000000" w:sz="4" w:space="0"/>
                    <w:right w:val="single" w:color="000000" w:sz="4" w:space="0"/>
                  </w:tcBorders>
                  <w:noWrap w:val="0"/>
                  <w:vAlign w:val="center"/>
                </w:tcPr>
                <w:p w14:paraId="3518AF7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位置</w:t>
                  </w:r>
                </w:p>
              </w:tc>
              <w:tc>
                <w:tcPr>
                  <w:tcW w:w="1138" w:type="pct"/>
                  <w:tcBorders>
                    <w:top w:val="single" w:color="000000" w:sz="4" w:space="0"/>
                    <w:left w:val="single" w:color="000000" w:sz="4" w:space="0"/>
                    <w:bottom w:val="single" w:color="000000" w:sz="4" w:space="0"/>
                    <w:right w:val="single" w:color="000000" w:sz="4" w:space="0"/>
                  </w:tcBorders>
                  <w:noWrap w:val="0"/>
                  <w:vAlign w:val="center"/>
                </w:tcPr>
                <w:p w14:paraId="3ED4FA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污染因子</w:t>
                  </w:r>
                </w:p>
              </w:tc>
              <w:tc>
                <w:tcPr>
                  <w:tcW w:w="1889" w:type="pct"/>
                  <w:tcBorders>
                    <w:top w:val="single" w:color="000000" w:sz="4" w:space="0"/>
                    <w:left w:val="single" w:color="000000" w:sz="4" w:space="0"/>
                    <w:bottom w:val="single" w:color="000000" w:sz="4" w:space="0"/>
                    <w:right w:val="single" w:color="000000" w:sz="4" w:space="0"/>
                  </w:tcBorders>
                  <w:noWrap w:val="0"/>
                  <w:vAlign w:val="center"/>
                </w:tcPr>
                <w:p w14:paraId="361A49D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无组织排放限值</w:t>
                  </w:r>
                </w:p>
              </w:tc>
            </w:tr>
            <w:tr w14:paraId="26282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97" w:type="pct"/>
                  <w:vMerge w:val="restart"/>
                  <w:tcBorders>
                    <w:top w:val="single" w:color="000000" w:sz="4" w:space="0"/>
                    <w:left w:val="single" w:color="000000" w:sz="4" w:space="0"/>
                    <w:bottom w:val="single" w:color="000000" w:sz="4" w:space="0"/>
                    <w:right w:val="single" w:color="000000" w:sz="4" w:space="0"/>
                  </w:tcBorders>
                  <w:noWrap w:val="0"/>
                  <w:vAlign w:val="center"/>
                </w:tcPr>
                <w:p w14:paraId="27FEC35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恶臭污染物</w:t>
                  </w:r>
                </w:p>
              </w:tc>
              <w:tc>
                <w:tcPr>
                  <w:tcW w:w="974" w:type="pct"/>
                  <w:vMerge w:val="restart"/>
                  <w:tcBorders>
                    <w:top w:val="single" w:color="000000" w:sz="4" w:space="0"/>
                    <w:left w:val="single" w:color="000000" w:sz="4" w:space="0"/>
                    <w:bottom w:val="single" w:color="000000" w:sz="4" w:space="0"/>
                    <w:right w:val="single" w:color="000000" w:sz="4" w:space="0"/>
                  </w:tcBorders>
                  <w:noWrap w:val="0"/>
                  <w:vAlign w:val="center"/>
                </w:tcPr>
                <w:p w14:paraId="464723A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厂界</w:t>
                  </w:r>
                </w:p>
              </w:tc>
              <w:tc>
                <w:tcPr>
                  <w:tcW w:w="1138" w:type="pct"/>
                  <w:tcBorders>
                    <w:top w:val="single" w:color="000000" w:sz="4" w:space="0"/>
                    <w:left w:val="single" w:color="000000" w:sz="4" w:space="0"/>
                    <w:bottom w:val="single" w:color="000000" w:sz="4" w:space="0"/>
                    <w:right w:val="single" w:color="000000" w:sz="4" w:space="0"/>
                  </w:tcBorders>
                  <w:noWrap w:val="0"/>
                  <w:vAlign w:val="center"/>
                </w:tcPr>
                <w:p w14:paraId="0A1CA2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氨</w:t>
                  </w:r>
                </w:p>
              </w:tc>
              <w:tc>
                <w:tcPr>
                  <w:tcW w:w="1889" w:type="pct"/>
                  <w:tcBorders>
                    <w:top w:val="single" w:color="000000" w:sz="4" w:space="0"/>
                    <w:left w:val="single" w:color="000000" w:sz="4" w:space="0"/>
                    <w:bottom w:val="single" w:color="000000" w:sz="4" w:space="0"/>
                    <w:right w:val="single" w:color="000000" w:sz="4" w:space="0"/>
                  </w:tcBorders>
                  <w:noWrap w:val="0"/>
                  <w:vAlign w:val="center"/>
                </w:tcPr>
                <w:p w14:paraId="766A09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r>
            <w:tr w14:paraId="7233E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5A1FBF">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9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917B9A">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38" w:type="pct"/>
                  <w:tcBorders>
                    <w:top w:val="single" w:color="000000" w:sz="4" w:space="0"/>
                    <w:left w:val="single" w:color="000000" w:sz="4" w:space="0"/>
                    <w:bottom w:val="single" w:color="000000" w:sz="4" w:space="0"/>
                    <w:right w:val="single" w:color="000000" w:sz="4" w:space="0"/>
                  </w:tcBorders>
                  <w:noWrap w:val="0"/>
                  <w:vAlign w:val="center"/>
                </w:tcPr>
                <w:p w14:paraId="3569D5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硫化氢</w:t>
                  </w:r>
                </w:p>
              </w:tc>
              <w:tc>
                <w:tcPr>
                  <w:tcW w:w="1889" w:type="pct"/>
                  <w:tcBorders>
                    <w:top w:val="single" w:color="000000" w:sz="4" w:space="0"/>
                    <w:left w:val="single" w:color="000000" w:sz="4" w:space="0"/>
                    <w:bottom w:val="single" w:color="000000" w:sz="4" w:space="0"/>
                    <w:right w:val="single" w:color="000000" w:sz="4" w:space="0"/>
                  </w:tcBorders>
                  <w:noWrap w:val="0"/>
                  <w:vAlign w:val="center"/>
                </w:tcPr>
                <w:p w14:paraId="292593E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0.06</w:t>
                  </w:r>
                </w:p>
              </w:tc>
            </w:tr>
            <w:tr w14:paraId="2EFBD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99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A8B599">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97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F4C9A0">
                  <w:pPr>
                    <w:keepNext w:val="0"/>
                    <w:keepLines w:val="0"/>
                    <w:pageBreakBefore w:val="0"/>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1138" w:type="pct"/>
                  <w:tcBorders>
                    <w:top w:val="single" w:color="000000" w:sz="4" w:space="0"/>
                    <w:left w:val="single" w:color="000000" w:sz="4" w:space="0"/>
                    <w:bottom w:val="single" w:color="000000" w:sz="4" w:space="0"/>
                    <w:right w:val="single" w:color="000000" w:sz="4" w:space="0"/>
                  </w:tcBorders>
                  <w:noWrap w:val="0"/>
                  <w:vAlign w:val="center"/>
                </w:tcPr>
                <w:p w14:paraId="77B7C5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臭气浓度</w:t>
                  </w:r>
                </w:p>
              </w:tc>
              <w:tc>
                <w:tcPr>
                  <w:tcW w:w="1889" w:type="pct"/>
                  <w:tcBorders>
                    <w:top w:val="single" w:color="000000" w:sz="4" w:space="0"/>
                    <w:left w:val="single" w:color="000000" w:sz="4" w:space="0"/>
                    <w:bottom w:val="single" w:color="000000" w:sz="4" w:space="0"/>
                    <w:right w:val="single" w:color="000000" w:sz="4" w:space="0"/>
                  </w:tcBorders>
                  <w:noWrap w:val="0"/>
                  <w:vAlign w:val="center"/>
                </w:tcPr>
                <w:p w14:paraId="29CB4DA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20（无量纲）</w:t>
                  </w:r>
                </w:p>
              </w:tc>
            </w:tr>
          </w:tbl>
          <w:p w14:paraId="4A0055A5">
            <w:pPr>
              <w:spacing w:line="120" w:lineRule="auto"/>
              <w:rPr>
                <w:rFonts w:hint="default" w:ascii="Times New Roman" w:hAnsi="Times New Roman" w:cs="Times New Roman"/>
                <w:color w:val="auto"/>
                <w:sz w:val="20"/>
                <w:szCs w:val="20"/>
                <w:highlight w:val="none"/>
              </w:rPr>
            </w:pPr>
          </w:p>
          <w:p w14:paraId="4253A943">
            <w:pPr>
              <w:spacing w:line="360" w:lineRule="auto"/>
              <w:ind w:firstLine="482" w:firstLineChars="200"/>
              <w:rPr>
                <w:rFonts w:hint="default" w:ascii="Times New Roman" w:hAnsi="Times New Roman" w:eastAsia="宋体" w:cs="Times New Roman"/>
                <w:b/>
                <w:bCs/>
                <w:color w:val="auto"/>
                <w:kern w:val="0"/>
                <w:sz w:val="24"/>
                <w:highlight w:val="none"/>
                <w:lang w:val="en-US" w:eastAsia="zh-CN" w:bidi="ar"/>
              </w:rPr>
            </w:pPr>
            <w:r>
              <w:rPr>
                <w:rFonts w:hint="eastAsia" w:cs="Times New Roman"/>
                <w:b/>
                <w:bCs/>
                <w:color w:val="auto"/>
                <w:kern w:val="0"/>
                <w:sz w:val="24"/>
                <w:highlight w:val="none"/>
                <w:lang w:val="en-US" w:eastAsia="zh-CN" w:bidi="ar"/>
              </w:rPr>
              <w:t>⑤</w:t>
            </w:r>
            <w:r>
              <w:rPr>
                <w:rFonts w:hint="default" w:ascii="Times New Roman" w:hAnsi="Times New Roman" w:eastAsia="宋体" w:cs="Times New Roman"/>
                <w:b/>
                <w:bCs/>
                <w:color w:val="auto"/>
                <w:kern w:val="0"/>
                <w:sz w:val="24"/>
                <w:highlight w:val="none"/>
                <w:lang w:val="en-US" w:eastAsia="zh-CN" w:bidi="ar"/>
              </w:rPr>
              <w:t>食堂油烟</w:t>
            </w:r>
          </w:p>
          <w:p w14:paraId="5E11A4D1">
            <w:pPr>
              <w:spacing w:line="360" w:lineRule="auto"/>
              <w:ind w:firstLine="480" w:firstLineChars="200"/>
              <w:rPr>
                <w:rFonts w:hint="default" w:ascii="Times New Roman" w:hAnsi="Times New Roman" w:cs="Times New Roman"/>
                <w:b/>
                <w:bCs/>
                <w:color w:val="auto"/>
                <w:sz w:val="21"/>
                <w:szCs w:val="21"/>
                <w:highlight w:val="none"/>
              </w:rPr>
            </w:pPr>
            <w:r>
              <w:rPr>
                <w:rFonts w:hint="default" w:ascii="Times New Roman" w:hAnsi="Times New Roman" w:eastAsia="宋体" w:cs="Times New Roman"/>
                <w:color w:val="auto"/>
                <w:kern w:val="0"/>
                <w:sz w:val="24"/>
                <w:highlight w:val="none"/>
                <w:lang w:val="en-US" w:eastAsia="zh-CN" w:bidi="ar"/>
              </w:rPr>
              <w:t>执行《饮食业油烟排放标准（试行）》（GB 18483-2001）</w:t>
            </w:r>
            <w:r>
              <w:rPr>
                <w:rFonts w:hint="eastAsia" w:cs="Times New Roman"/>
                <w:color w:val="auto"/>
                <w:kern w:val="0"/>
                <w:sz w:val="24"/>
                <w:highlight w:val="none"/>
                <w:lang w:val="en-US" w:eastAsia="zh-CN" w:bidi="ar"/>
              </w:rPr>
              <w:t>中型标准</w:t>
            </w:r>
            <w:r>
              <w:rPr>
                <w:rFonts w:hint="default" w:ascii="Times New Roman" w:hAnsi="Times New Roman" w:eastAsia="宋体" w:cs="Times New Roman"/>
                <w:color w:val="auto"/>
                <w:kern w:val="0"/>
                <w:sz w:val="24"/>
                <w:highlight w:val="none"/>
                <w:lang w:val="en-US" w:eastAsia="zh-CN" w:bidi="ar"/>
              </w:rPr>
              <w:t>。</w:t>
            </w:r>
          </w:p>
          <w:p w14:paraId="1B94CC7E">
            <w:pPr>
              <w:numPr>
                <w:ilvl w:val="0"/>
                <w:numId w:val="14"/>
              </w:numPr>
              <w:spacing w:line="240" w:lineRule="auto"/>
              <w:ind w:left="0" w:leftChars="0" w:firstLine="4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eastAsia" w:ascii="Times New Roman" w:hAnsi="Times New Roman" w:cs="Times New Roman"/>
                <w:b/>
                <w:bCs/>
                <w:color w:val="auto"/>
                <w:sz w:val="21"/>
                <w:szCs w:val="21"/>
                <w:highlight w:val="none"/>
                <w:lang w:val="en-US" w:eastAsia="zh-CN"/>
              </w:rPr>
              <w:t xml:space="preserve"> </w:t>
            </w:r>
            <w:r>
              <w:rPr>
                <w:rFonts w:hint="default" w:ascii="Times New Roman" w:hAnsi="Times New Roman" w:eastAsia="宋体" w:cs="Times New Roman"/>
                <w:b/>
                <w:color w:val="auto"/>
                <w:kern w:val="2"/>
                <w:sz w:val="21"/>
                <w:szCs w:val="21"/>
                <w:highlight w:val="none"/>
                <w:lang w:val="en-US" w:eastAsia="zh-CN" w:bidi="ar-SA"/>
              </w:rPr>
              <w:t>饮食业油烟排放标准</w:t>
            </w:r>
          </w:p>
          <w:p w14:paraId="0C1DA991">
            <w:pPr>
              <w:keepNext w:val="0"/>
              <w:keepLines w:val="0"/>
              <w:pageBreakBefore w:val="0"/>
              <w:widowControl w:val="0"/>
              <w:bidi w:val="0"/>
              <w:spacing w:line="26" w:lineRule="exact"/>
              <w:rPr>
                <w:rFonts w:hint="default" w:ascii="Times New Roman" w:hAnsi="Times New Roman" w:eastAsia="宋体" w:cs="Times New Roman"/>
                <w:color w:val="auto"/>
                <w:sz w:val="21"/>
                <w:szCs w:val="21"/>
                <w:highlight w:val="none"/>
              </w:rPr>
            </w:pPr>
          </w:p>
          <w:tbl>
            <w:tblPr>
              <w:tblStyle w:val="132"/>
              <w:tblW w:w="501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93"/>
              <w:gridCol w:w="1951"/>
              <w:gridCol w:w="1801"/>
              <w:gridCol w:w="1513"/>
            </w:tblGrid>
            <w:tr w14:paraId="63C43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850" w:type="pct"/>
                  <w:noWrap w:val="0"/>
                  <w:vAlign w:val="center"/>
                </w:tcPr>
                <w:p w14:paraId="29EFD576">
                  <w:pPr>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3"/>
                      <w:sz w:val="21"/>
                      <w:szCs w:val="21"/>
                      <w:highlight w:val="none"/>
                    </w:rPr>
                    <w:t>规模</w:t>
                  </w:r>
                </w:p>
              </w:tc>
              <w:tc>
                <w:tcPr>
                  <w:tcW w:w="1167" w:type="pct"/>
                  <w:noWrap w:val="0"/>
                  <w:vAlign w:val="center"/>
                </w:tcPr>
                <w:p w14:paraId="3F1EDE55">
                  <w:pPr>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1"/>
                      <w:sz w:val="21"/>
                      <w:szCs w:val="21"/>
                      <w:highlight w:val="none"/>
                    </w:rPr>
                    <w:t>小型</w:t>
                  </w:r>
                </w:p>
              </w:tc>
              <w:tc>
                <w:tcPr>
                  <w:tcW w:w="1077" w:type="pct"/>
                  <w:noWrap w:val="0"/>
                  <w:vAlign w:val="center"/>
                </w:tcPr>
                <w:p w14:paraId="1D0FBE1E">
                  <w:pPr>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6"/>
                      <w:sz w:val="21"/>
                      <w:szCs w:val="21"/>
                      <w:highlight w:val="none"/>
                    </w:rPr>
                    <w:t>中型</w:t>
                  </w:r>
                </w:p>
              </w:tc>
              <w:tc>
                <w:tcPr>
                  <w:tcW w:w="904" w:type="pct"/>
                  <w:noWrap w:val="0"/>
                  <w:vAlign w:val="center"/>
                </w:tcPr>
                <w:p w14:paraId="56803D1E">
                  <w:pPr>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pacing w:val="2"/>
                      <w:sz w:val="21"/>
                      <w:szCs w:val="21"/>
                      <w:highlight w:val="none"/>
                    </w:rPr>
                    <w:t>大型</w:t>
                  </w:r>
                </w:p>
              </w:tc>
            </w:tr>
            <w:tr w14:paraId="57DAF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850" w:type="pct"/>
                  <w:noWrap w:val="0"/>
                  <w:vAlign w:val="center"/>
                </w:tcPr>
                <w:p w14:paraId="1DC23223">
                  <w:pPr>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8"/>
                      <w:sz w:val="21"/>
                      <w:szCs w:val="21"/>
                      <w:highlight w:val="none"/>
                    </w:rPr>
                    <w:t>基准灶头数</w:t>
                  </w:r>
                </w:p>
              </w:tc>
              <w:tc>
                <w:tcPr>
                  <w:tcW w:w="1167" w:type="pct"/>
                  <w:noWrap w:val="0"/>
                  <w:vAlign w:val="center"/>
                </w:tcPr>
                <w:p w14:paraId="0745C08D">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spacing w:val="-22"/>
                      <w:sz w:val="21"/>
                      <w:szCs w:val="21"/>
                      <w:highlight w:val="none"/>
                      <w:lang w:eastAsia="zh-CN"/>
                    </w:rPr>
                    <w:t>，</w:t>
                  </w:r>
                  <w:r>
                    <w:rPr>
                      <w:rFonts w:hint="default" w:ascii="Times New Roman" w:hAnsi="Times New Roman" w:eastAsia="宋体" w:cs="Times New Roman"/>
                      <w:color w:val="auto"/>
                      <w:sz w:val="21"/>
                      <w:szCs w:val="21"/>
                      <w:highlight w:val="none"/>
                    </w:rPr>
                    <w:t>&lt;3</w:t>
                  </w:r>
                </w:p>
              </w:tc>
              <w:tc>
                <w:tcPr>
                  <w:tcW w:w="1077" w:type="pct"/>
                  <w:noWrap w:val="0"/>
                  <w:vAlign w:val="center"/>
                </w:tcPr>
                <w:p w14:paraId="4AAE662E">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≥3</w:t>
                  </w:r>
                  <w:r>
                    <w:rPr>
                      <w:rFonts w:hint="default" w:ascii="Times New Roman" w:hAnsi="Times New Roman" w:eastAsia="宋体" w:cs="Times New Roman"/>
                      <w:b/>
                      <w:bCs/>
                      <w:color w:val="auto"/>
                      <w:spacing w:val="-24"/>
                      <w:sz w:val="21"/>
                      <w:szCs w:val="21"/>
                      <w:highlight w:val="none"/>
                      <w:lang w:eastAsia="zh-CN"/>
                    </w:rPr>
                    <w:t>，</w:t>
                  </w:r>
                  <w:r>
                    <w:rPr>
                      <w:rFonts w:hint="default" w:ascii="Times New Roman" w:hAnsi="Times New Roman" w:eastAsia="宋体" w:cs="Times New Roman"/>
                      <w:b/>
                      <w:bCs/>
                      <w:color w:val="auto"/>
                      <w:sz w:val="21"/>
                      <w:szCs w:val="21"/>
                      <w:highlight w:val="none"/>
                    </w:rPr>
                    <w:t>&lt;6</w:t>
                  </w:r>
                </w:p>
              </w:tc>
              <w:tc>
                <w:tcPr>
                  <w:tcW w:w="904" w:type="pct"/>
                  <w:noWrap w:val="0"/>
                  <w:vAlign w:val="center"/>
                </w:tcPr>
                <w:p w14:paraId="10C18F56">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3"/>
                      <w:sz w:val="21"/>
                      <w:szCs w:val="21"/>
                      <w:highlight w:val="none"/>
                    </w:rPr>
                    <w:t>≥6</w:t>
                  </w:r>
                </w:p>
              </w:tc>
            </w:tr>
            <w:tr w14:paraId="7FA05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850" w:type="pct"/>
                  <w:noWrap w:val="0"/>
                  <w:vAlign w:val="center"/>
                </w:tcPr>
                <w:p w14:paraId="5B34C01E">
                  <w:pPr>
                    <w:pStyle w:val="136"/>
                    <w:keepNext w:val="0"/>
                    <w:keepLines w:val="0"/>
                    <w:pageBreakBefore w:val="0"/>
                    <w:widowControl w:val="0"/>
                    <w:bidi w:val="0"/>
                    <w:spacing w:before="0" w:line="240" w:lineRule="auto"/>
                    <w:ind w:left="0" w:leftChars="0"/>
                    <w:jc w:val="center"/>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color w:val="auto"/>
                      <w:spacing w:val="8"/>
                      <w:sz w:val="21"/>
                      <w:szCs w:val="21"/>
                      <w:highlight w:val="none"/>
                    </w:rPr>
                    <w:t>最高允许排放浓度（</w:t>
                  </w:r>
                  <w:r>
                    <w:rPr>
                      <w:rFonts w:hint="default" w:ascii="Times New Roman" w:hAnsi="Times New Roman" w:eastAsia="宋体" w:cs="Times New Roman"/>
                      <w:color w:val="auto"/>
                      <w:sz w:val="21"/>
                      <w:szCs w:val="21"/>
                      <w:highlight w:val="none"/>
                    </w:rPr>
                    <w:t>mg</w:t>
                  </w:r>
                  <w:r>
                    <w:rPr>
                      <w:rFonts w:hint="default" w:ascii="Times New Roman" w:hAnsi="Times New Roman" w:eastAsia="宋体" w:cs="Times New Roman"/>
                      <w:color w:val="auto"/>
                      <w:spacing w:val="8"/>
                      <w:sz w:val="21"/>
                      <w:szCs w:val="21"/>
                      <w:highlight w:val="none"/>
                    </w:rPr>
                    <w:t>/</w:t>
                  </w:r>
                  <w:r>
                    <w:rPr>
                      <w:rFonts w:hint="default" w:ascii="Times New Roman" w:hAnsi="Times New Roman" w:eastAsia="宋体" w:cs="Times New Roman"/>
                      <w:b w:val="0"/>
                      <w:bCs w:val="0"/>
                      <w:color w:val="auto"/>
                      <w:sz w:val="21"/>
                      <w:szCs w:val="21"/>
                      <w:highlight w:val="none"/>
                      <w:lang w:val="en-US" w:bidi="ar"/>
                    </w:rPr>
                    <w:t>m</w:t>
                  </w:r>
                  <w:r>
                    <w:rPr>
                      <w:rFonts w:hint="default" w:ascii="Times New Roman" w:hAnsi="Times New Roman" w:eastAsia="宋体" w:cs="Times New Roman"/>
                      <w:b w:val="0"/>
                      <w:bCs w:val="0"/>
                      <w:color w:val="auto"/>
                      <w:sz w:val="21"/>
                      <w:szCs w:val="21"/>
                      <w:highlight w:val="none"/>
                      <w:vertAlign w:val="superscript"/>
                      <w:lang w:val="en-US" w:bidi="ar"/>
                    </w:rPr>
                    <w:t>3</w:t>
                  </w:r>
                  <w:r>
                    <w:rPr>
                      <w:rFonts w:hint="default" w:ascii="Times New Roman" w:hAnsi="Times New Roman" w:eastAsia="宋体" w:cs="Times New Roman"/>
                      <w:color w:val="auto"/>
                      <w:spacing w:val="8"/>
                      <w:sz w:val="21"/>
                      <w:szCs w:val="21"/>
                      <w:highlight w:val="none"/>
                    </w:rPr>
                    <w:t>）</w:t>
                  </w:r>
                </w:p>
              </w:tc>
              <w:tc>
                <w:tcPr>
                  <w:tcW w:w="3149" w:type="pct"/>
                  <w:gridSpan w:val="3"/>
                  <w:noWrap w:val="0"/>
                  <w:vAlign w:val="center"/>
                </w:tcPr>
                <w:p w14:paraId="5A880670">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pacing w:val="3"/>
                      <w:sz w:val="21"/>
                      <w:szCs w:val="21"/>
                      <w:highlight w:val="none"/>
                    </w:rPr>
                  </w:pPr>
                  <w:r>
                    <w:rPr>
                      <w:rFonts w:hint="default" w:ascii="Times New Roman" w:hAnsi="Times New Roman" w:eastAsia="宋体" w:cs="Times New Roman"/>
                      <w:b/>
                      <w:bCs/>
                      <w:color w:val="auto"/>
                      <w:spacing w:val="2"/>
                      <w:sz w:val="21"/>
                      <w:szCs w:val="21"/>
                      <w:highlight w:val="none"/>
                    </w:rPr>
                    <w:t>2.0</w:t>
                  </w:r>
                </w:p>
              </w:tc>
            </w:tr>
            <w:tr w14:paraId="67BAF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1850" w:type="pct"/>
                  <w:noWrap w:val="0"/>
                  <w:vAlign w:val="center"/>
                </w:tcPr>
                <w:p w14:paraId="5B2A8A88">
                  <w:pPr>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pacing w:val="8"/>
                      <w:sz w:val="21"/>
                      <w:szCs w:val="21"/>
                      <w:highlight w:val="none"/>
                      <w:lang w:val="en-US" w:eastAsia="zh-CN"/>
                    </w:rPr>
                  </w:pPr>
                  <w:r>
                    <w:rPr>
                      <w:rFonts w:hint="eastAsia" w:ascii="Times New Roman" w:hAnsi="Times New Roman" w:cs="Times New Roman"/>
                      <w:color w:val="auto"/>
                      <w:spacing w:val="8"/>
                      <w:sz w:val="21"/>
                      <w:szCs w:val="21"/>
                      <w:highlight w:val="none"/>
                      <w:lang w:val="en-US" w:eastAsia="zh-CN"/>
                    </w:rPr>
                    <w:t>净化设施最低去除效率（%）</w:t>
                  </w:r>
                </w:p>
              </w:tc>
              <w:tc>
                <w:tcPr>
                  <w:tcW w:w="1167" w:type="pct"/>
                  <w:noWrap w:val="0"/>
                  <w:vAlign w:val="center"/>
                </w:tcPr>
                <w:p w14:paraId="00A0411F">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60</w:t>
                  </w:r>
                </w:p>
              </w:tc>
              <w:tc>
                <w:tcPr>
                  <w:tcW w:w="1077" w:type="pct"/>
                  <w:noWrap w:val="0"/>
                  <w:vAlign w:val="center"/>
                </w:tcPr>
                <w:p w14:paraId="00637BBE">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75</w:t>
                  </w:r>
                </w:p>
              </w:tc>
              <w:tc>
                <w:tcPr>
                  <w:tcW w:w="904" w:type="pct"/>
                  <w:noWrap w:val="0"/>
                  <w:vAlign w:val="center"/>
                </w:tcPr>
                <w:p w14:paraId="0D92B098">
                  <w:pPr>
                    <w:pStyle w:val="136"/>
                    <w:keepNext w:val="0"/>
                    <w:keepLines w:val="0"/>
                    <w:pageBreakBefore w:val="0"/>
                    <w:widowControl w:val="0"/>
                    <w:bidi w:val="0"/>
                    <w:spacing w:before="0" w:line="240" w:lineRule="auto"/>
                    <w:ind w:left="0"/>
                    <w:jc w:val="center"/>
                    <w:rPr>
                      <w:rFonts w:hint="default" w:ascii="Times New Roman" w:hAnsi="Times New Roman" w:eastAsia="宋体" w:cs="Times New Roman"/>
                      <w:color w:val="auto"/>
                      <w:spacing w:val="3"/>
                      <w:sz w:val="21"/>
                      <w:szCs w:val="21"/>
                      <w:highlight w:val="none"/>
                      <w:lang w:val="en-US" w:eastAsia="zh-CN"/>
                    </w:rPr>
                  </w:pPr>
                  <w:r>
                    <w:rPr>
                      <w:rFonts w:hint="eastAsia" w:ascii="Times New Roman" w:hAnsi="Times New Roman" w:eastAsia="宋体" w:cs="Times New Roman"/>
                      <w:color w:val="auto"/>
                      <w:spacing w:val="3"/>
                      <w:sz w:val="21"/>
                      <w:szCs w:val="21"/>
                      <w:highlight w:val="none"/>
                      <w:lang w:val="en-US" w:eastAsia="zh-CN"/>
                    </w:rPr>
                    <w:t>85</w:t>
                  </w:r>
                </w:p>
              </w:tc>
            </w:tr>
          </w:tbl>
          <w:p w14:paraId="464B709F">
            <w:pPr>
              <w:keepNext w:val="0"/>
              <w:keepLines w:val="0"/>
              <w:pageBreakBefore w:val="0"/>
              <w:widowControl w:val="0"/>
              <w:kinsoku/>
              <w:wordWrap/>
              <w:overflowPunct/>
              <w:topLinePunct w:val="0"/>
              <w:autoSpaceDE/>
              <w:autoSpaceDN/>
              <w:bidi w:val="0"/>
              <w:adjustRightInd/>
              <w:snapToGrid/>
              <w:spacing w:line="100" w:lineRule="exact"/>
              <w:ind w:firstLine="480" w:firstLineChars="200"/>
              <w:textAlignment w:val="auto"/>
              <w:rPr>
                <w:rFonts w:hint="default" w:ascii="Times New Roman" w:hAnsi="Times New Roman" w:eastAsia="宋体" w:cs="Times New Roman"/>
                <w:color w:val="auto"/>
                <w:kern w:val="0"/>
                <w:sz w:val="24"/>
                <w:highlight w:val="none"/>
                <w:lang w:val="en-US" w:eastAsia="zh-CN" w:bidi="ar"/>
              </w:rPr>
            </w:pPr>
          </w:p>
          <w:p w14:paraId="3148896F">
            <w:pPr>
              <w:spacing w:line="360" w:lineRule="auto"/>
              <w:ind w:firstLine="482" w:firstLineChars="200"/>
              <w:rPr>
                <w:rFonts w:hint="default" w:ascii="Times New Roman" w:hAnsi="Times New Roman" w:cs="Times New Roman"/>
                <w:color w:val="auto"/>
                <w:kern w:val="0"/>
                <w:sz w:val="24"/>
                <w:highlight w:val="none"/>
              </w:rPr>
            </w:pPr>
            <w:r>
              <w:rPr>
                <w:rFonts w:hint="default" w:ascii="Times New Roman" w:hAnsi="Times New Roman" w:cs="Times New Roman"/>
                <w:b/>
                <w:color w:val="auto"/>
                <w:sz w:val="24"/>
                <w:highlight w:val="none"/>
              </w:rPr>
              <w:t>2、</w:t>
            </w:r>
            <w:r>
              <w:rPr>
                <w:rFonts w:hint="default" w:ascii="Times New Roman" w:hAnsi="Times New Roman" w:cs="Times New Roman"/>
                <w:b/>
                <w:bCs/>
                <w:color w:val="auto"/>
                <w:sz w:val="24"/>
                <w:highlight w:val="none"/>
              </w:rPr>
              <w:t>水污染物排放标准</w:t>
            </w:r>
          </w:p>
          <w:p w14:paraId="5F1555E9">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val="0"/>
                <w:color w:val="auto"/>
                <w:kern w:val="0"/>
                <w:sz w:val="24"/>
                <w:szCs w:val="21"/>
                <w:highlight w:val="none"/>
                <w:lang w:val="en-US" w:eastAsia="zh-CN" w:bidi="ar-SA"/>
              </w:rPr>
            </w:pPr>
            <w:r>
              <w:rPr>
                <w:rFonts w:hint="default" w:ascii="Times New Roman" w:hAnsi="Times New Roman" w:eastAsia="宋体" w:cs="Times New Roman"/>
                <w:snapToGrid w:val="0"/>
                <w:color w:val="auto"/>
                <w:kern w:val="0"/>
                <w:sz w:val="24"/>
                <w:szCs w:val="21"/>
                <w:highlight w:val="none"/>
                <w:lang w:val="en-US" w:eastAsia="zh-CN" w:bidi="ar-SA"/>
              </w:rPr>
              <w:t>本项目运营期废水主要为员工生活污水</w:t>
            </w:r>
            <w:r>
              <w:rPr>
                <w:rFonts w:hint="eastAsia" w:cs="Times New Roman"/>
                <w:snapToGrid w:val="0"/>
                <w:color w:val="auto"/>
                <w:kern w:val="0"/>
                <w:sz w:val="24"/>
                <w:szCs w:val="21"/>
                <w:highlight w:val="none"/>
                <w:lang w:val="en-US" w:eastAsia="zh-CN" w:bidi="ar-SA"/>
              </w:rPr>
              <w:t>、</w:t>
            </w:r>
            <w:r>
              <w:rPr>
                <w:rFonts w:hint="default" w:ascii="Times New Roman" w:hAnsi="Times New Roman" w:eastAsia="宋体" w:cs="Times New Roman"/>
                <w:snapToGrid w:val="0"/>
                <w:color w:val="auto"/>
                <w:kern w:val="0"/>
                <w:sz w:val="24"/>
                <w:szCs w:val="21"/>
                <w:highlight w:val="none"/>
                <w:lang w:val="en-US" w:eastAsia="zh-CN" w:bidi="ar-SA"/>
              </w:rPr>
              <w:t>前处理废水</w:t>
            </w:r>
            <w:r>
              <w:rPr>
                <w:rFonts w:hint="eastAsia" w:cs="Times New Roman"/>
                <w:snapToGrid w:val="0"/>
                <w:color w:val="auto"/>
                <w:kern w:val="0"/>
                <w:sz w:val="24"/>
                <w:szCs w:val="21"/>
                <w:highlight w:val="none"/>
                <w:lang w:val="en-US" w:eastAsia="zh-CN" w:bidi="ar-SA"/>
              </w:rPr>
              <w:t>、水帘柜废水和喷淋废水</w:t>
            </w:r>
            <w:r>
              <w:rPr>
                <w:rFonts w:hint="default" w:ascii="Times New Roman" w:hAnsi="Times New Roman" w:eastAsia="宋体" w:cs="Times New Roman"/>
                <w:snapToGrid w:val="0"/>
                <w:color w:val="auto"/>
                <w:kern w:val="0"/>
                <w:sz w:val="24"/>
                <w:szCs w:val="21"/>
                <w:highlight w:val="none"/>
                <w:lang w:val="en-US" w:eastAsia="zh-CN" w:bidi="ar-SA"/>
              </w:rPr>
              <w:t>。</w:t>
            </w:r>
          </w:p>
          <w:p w14:paraId="4733D4B4">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val="0"/>
                <w:color w:val="auto"/>
                <w:kern w:val="0"/>
                <w:sz w:val="24"/>
                <w:szCs w:val="21"/>
                <w:highlight w:val="none"/>
                <w:lang w:val="en-US" w:eastAsia="zh-CN" w:bidi="ar-SA"/>
              </w:rPr>
            </w:pPr>
            <w:r>
              <w:rPr>
                <w:rFonts w:hint="default" w:ascii="Times New Roman" w:hAnsi="Times New Roman" w:cs="Times New Roman"/>
                <w:color w:val="auto"/>
                <w:sz w:val="24"/>
                <w:szCs w:val="24"/>
                <w:highlight w:val="none"/>
                <w:lang w:val="en-US" w:eastAsia="zh-CN"/>
              </w:rPr>
              <w:t>生活污水经“三级化粪池+隔油隔渣池”处理达到广东省地方标准《水污染物排放限值》（DB44/26-2001）第二时段三级标准</w:t>
            </w:r>
            <w:r>
              <w:rPr>
                <w:rFonts w:hint="eastAsia" w:ascii="Times New Roman" w:hAnsi="Times New Roman" w:cs="Times New Roman"/>
                <w:color w:val="auto"/>
                <w:sz w:val="24"/>
                <w:szCs w:val="24"/>
                <w:highlight w:val="none"/>
                <w:lang w:val="en-US" w:eastAsia="zh-CN"/>
              </w:rPr>
              <w:t>以及</w:t>
            </w:r>
            <w:r>
              <w:rPr>
                <w:rFonts w:hint="default" w:ascii="Times New Roman" w:hAnsi="Times New Roman" w:cs="Times New Roman"/>
                <w:color w:val="auto"/>
                <w:sz w:val="24"/>
                <w:szCs w:val="24"/>
                <w:highlight w:val="none"/>
                <w:lang w:val="en-US" w:eastAsia="zh-CN"/>
              </w:rPr>
              <w:t>园区污水处理厂接管水质要求</w:t>
            </w:r>
            <w:r>
              <w:rPr>
                <w:rFonts w:hint="eastAsia" w:ascii="Times New Roman" w:hAnsi="Times New Roman" w:cs="Times New Roman"/>
                <w:color w:val="auto"/>
                <w:sz w:val="24"/>
                <w:szCs w:val="24"/>
                <w:highlight w:val="none"/>
                <w:lang w:val="en-US" w:eastAsia="zh-CN"/>
              </w:rPr>
              <w:t>两</w:t>
            </w:r>
            <w:r>
              <w:rPr>
                <w:rFonts w:hint="default" w:ascii="Times New Roman" w:hAnsi="Times New Roman" w:cs="Times New Roman"/>
                <w:color w:val="auto"/>
                <w:sz w:val="24"/>
                <w:szCs w:val="24"/>
                <w:highlight w:val="none"/>
                <w:lang w:val="en-US" w:eastAsia="zh-CN"/>
              </w:rPr>
              <w:t>者较严值后，</w:t>
            </w:r>
            <w:r>
              <w:rPr>
                <w:rFonts w:hint="default" w:ascii="Times New Roman" w:hAnsi="Times New Roman" w:cs="Times New Roman"/>
                <w:color w:val="auto"/>
                <w:sz w:val="24"/>
                <w:szCs w:val="24"/>
                <w:highlight w:val="none"/>
              </w:rPr>
              <w:t>排入园区污水处理厂处理</w:t>
            </w:r>
            <w:r>
              <w:rPr>
                <w:rFonts w:hint="eastAsia" w:ascii="Times New Roman" w:hAnsi="Times New Roman" w:eastAsia="宋体" w:cs="Times New Roman"/>
                <w:snapToGrid w:val="0"/>
                <w:color w:val="auto"/>
                <w:kern w:val="0"/>
                <w:sz w:val="24"/>
                <w:szCs w:val="21"/>
                <w:highlight w:val="none"/>
                <w:lang w:val="en-US" w:eastAsia="zh-CN" w:bidi="ar-SA"/>
              </w:rPr>
              <w:t>；</w:t>
            </w:r>
            <w:r>
              <w:rPr>
                <w:rFonts w:hint="default" w:ascii="Times New Roman" w:hAnsi="Times New Roman" w:eastAsia="宋体" w:cs="Times New Roman"/>
                <w:snapToGrid w:val="0"/>
                <w:color w:val="auto"/>
                <w:kern w:val="0"/>
                <w:sz w:val="24"/>
                <w:szCs w:val="21"/>
                <w:highlight w:val="none"/>
                <w:lang w:val="en-US" w:eastAsia="zh-CN" w:bidi="ar-SA"/>
              </w:rPr>
              <w:t>根据《电镀水污染物排放标准》（DB44/1597-2015），钝化工艺属于化学转移膜类，适用电镀行业标准，根据标准“4.2.7 企业（含电镀专业园区）向公共污水处理系统排放废水时，总铬、六价铬、总镍、总镉、总银、总铅、总汞等第一类污染物执行表 1、表 2 相应的排放限值；pH 排放限值为 6～9，其他污染物的排放不超过本标准现有项目相应排放限值的200%。”，</w:t>
            </w:r>
            <w:r>
              <w:rPr>
                <w:rFonts w:hint="eastAsia" w:cs="Times New Roman"/>
                <w:snapToGrid w:val="0"/>
                <w:color w:val="auto"/>
                <w:kern w:val="0"/>
                <w:sz w:val="24"/>
                <w:szCs w:val="21"/>
                <w:highlight w:val="none"/>
                <w:lang w:val="en-US" w:eastAsia="zh-CN" w:bidi="ar-SA"/>
              </w:rPr>
              <w:t>外排</w:t>
            </w:r>
            <w:r>
              <w:rPr>
                <w:rFonts w:hint="default" w:ascii="Times New Roman" w:hAnsi="Times New Roman" w:eastAsia="宋体" w:cs="Times New Roman"/>
                <w:snapToGrid w:val="0"/>
                <w:color w:val="auto"/>
                <w:kern w:val="0"/>
                <w:sz w:val="24"/>
                <w:szCs w:val="21"/>
                <w:highlight w:val="none"/>
                <w:lang w:val="en-US" w:eastAsia="zh-CN" w:bidi="ar-SA"/>
              </w:rPr>
              <w:t>生产废水应满足中间接排放标准，因此</w:t>
            </w:r>
            <w:r>
              <w:rPr>
                <w:rFonts w:hint="eastAsia" w:cs="Times New Roman"/>
                <w:snapToGrid w:val="0"/>
                <w:color w:val="auto"/>
                <w:kern w:val="0"/>
                <w:sz w:val="24"/>
                <w:szCs w:val="21"/>
                <w:highlight w:val="none"/>
                <w:lang w:val="en-US" w:eastAsia="zh-CN" w:bidi="ar-SA"/>
              </w:rPr>
              <w:t>项目外排生产</w:t>
            </w:r>
            <w:r>
              <w:rPr>
                <w:rFonts w:hint="default" w:ascii="Times New Roman" w:hAnsi="Times New Roman" w:eastAsia="宋体" w:cs="Times New Roman"/>
                <w:snapToGrid w:val="0"/>
                <w:color w:val="auto"/>
                <w:kern w:val="0"/>
                <w:sz w:val="24"/>
                <w:szCs w:val="21"/>
                <w:highlight w:val="none"/>
                <w:lang w:val="en-US" w:eastAsia="zh-CN" w:bidi="ar-SA"/>
              </w:rPr>
              <w:t>废水经自建污水处理站处理，园区污水处理厂接管水质要求、广东省《水污染物排放限值》（DB44/26-2001）第二时段三级标准以及《电镀水污染物排放标准》（DB44/1597-2015）</w:t>
            </w:r>
            <w:r>
              <w:rPr>
                <w:rFonts w:hint="eastAsia" w:cs="Times New Roman"/>
                <w:snapToGrid w:val="0"/>
                <w:color w:val="auto"/>
                <w:kern w:val="0"/>
                <w:sz w:val="24"/>
                <w:szCs w:val="21"/>
                <w:highlight w:val="none"/>
                <w:lang w:val="en-US" w:eastAsia="zh-CN" w:bidi="ar-SA"/>
              </w:rPr>
              <w:t>表1现有项目水污染物非珠三角排放限值200%（其中总铝按</w:t>
            </w:r>
            <w:r>
              <w:rPr>
                <w:rFonts w:hint="eastAsia" w:ascii="Times New Roman" w:hAnsi="Times New Roman" w:eastAsia="宋体" w:cs="Times New Roman"/>
                <w:color w:val="auto"/>
                <w:kern w:val="2"/>
                <w:sz w:val="24"/>
                <w:szCs w:val="24"/>
                <w:highlight w:val="none"/>
                <w:lang w:val="en-US" w:eastAsia="zh-CN" w:bidi="ar-SA"/>
              </w:rPr>
              <w:t>表2新建项目水污染物排放限值-非珠三角地区执行</w:t>
            </w:r>
            <w:r>
              <w:rPr>
                <w:rFonts w:hint="eastAsia" w:cs="Times New Roman"/>
                <w:snapToGrid w:val="0"/>
                <w:color w:val="auto"/>
                <w:kern w:val="0"/>
                <w:sz w:val="24"/>
                <w:szCs w:val="21"/>
                <w:highlight w:val="none"/>
                <w:lang w:val="en-US" w:eastAsia="zh-CN" w:bidi="ar-SA"/>
              </w:rPr>
              <w:t>）</w:t>
            </w:r>
            <w:r>
              <w:rPr>
                <w:rFonts w:hint="default" w:ascii="Times New Roman" w:hAnsi="Times New Roman" w:eastAsia="宋体" w:cs="Times New Roman"/>
                <w:snapToGrid w:val="0"/>
                <w:color w:val="auto"/>
                <w:kern w:val="0"/>
                <w:sz w:val="24"/>
                <w:szCs w:val="21"/>
                <w:highlight w:val="none"/>
                <w:lang w:val="en-US" w:eastAsia="zh-CN" w:bidi="ar-SA"/>
              </w:rPr>
              <w:t>三者较严值要求，</w:t>
            </w:r>
            <w:r>
              <w:rPr>
                <w:rFonts w:hint="eastAsia" w:cs="Times New Roman"/>
                <w:snapToGrid w:val="0"/>
                <w:color w:val="auto"/>
                <w:kern w:val="0"/>
                <w:sz w:val="24"/>
                <w:szCs w:val="21"/>
                <w:highlight w:val="none"/>
                <w:lang w:val="en-US" w:eastAsia="zh-CN" w:bidi="ar-SA"/>
              </w:rPr>
              <w:t>经处理的废水最后</w:t>
            </w:r>
            <w:r>
              <w:rPr>
                <w:rFonts w:hint="default" w:ascii="Times New Roman" w:hAnsi="Times New Roman" w:eastAsia="宋体" w:cs="Times New Roman"/>
                <w:snapToGrid w:val="0"/>
                <w:color w:val="auto"/>
                <w:kern w:val="0"/>
                <w:sz w:val="24"/>
                <w:szCs w:val="21"/>
                <w:highlight w:val="none"/>
                <w:lang w:val="en-US" w:eastAsia="zh-CN" w:bidi="ar-SA"/>
              </w:rPr>
              <w:t>排入园区污水处理厂处理。</w:t>
            </w:r>
          </w:p>
          <w:p w14:paraId="35348C11">
            <w:pPr>
              <w:widowControl w:val="0"/>
              <w:kinsoku/>
              <w:autoSpaceDE/>
              <w:autoSpaceDN/>
              <w:adjustRightInd/>
              <w:snapToGrid/>
              <w:spacing w:line="360" w:lineRule="auto"/>
              <w:ind w:firstLine="480" w:firstLineChars="200"/>
              <w:jc w:val="both"/>
              <w:textAlignment w:val="auto"/>
              <w:rPr>
                <w:rFonts w:hint="default" w:ascii="Times New Roman" w:hAnsi="Times New Roman" w:cs="Times New Roman"/>
                <w:b/>
                <w:bCs/>
                <w:color w:val="auto"/>
                <w:sz w:val="21"/>
                <w:szCs w:val="21"/>
                <w:highlight w:val="none"/>
                <w:lang w:val="en-US" w:eastAsia="zh-CN"/>
              </w:rPr>
            </w:pPr>
            <w:r>
              <w:rPr>
                <w:rFonts w:hint="default" w:ascii="Times New Roman" w:hAnsi="Times New Roman" w:eastAsia="宋体" w:cs="Times New Roman"/>
                <w:snapToGrid w:val="0"/>
                <w:color w:val="auto"/>
                <w:kern w:val="0"/>
                <w:sz w:val="24"/>
                <w:szCs w:val="21"/>
                <w:highlight w:val="none"/>
                <w:lang w:val="en-US" w:eastAsia="zh-CN" w:bidi="ar-SA"/>
              </w:rPr>
              <w:t>园区污水处理厂出水水质标准执行广东省《</w:t>
            </w:r>
            <w:r>
              <w:rPr>
                <w:rFonts w:hint="eastAsia" w:ascii="Times New Roman" w:hAnsi="Times New Roman" w:eastAsia="宋体" w:cs="Times New Roman"/>
                <w:snapToGrid w:val="0"/>
                <w:color w:val="auto"/>
                <w:kern w:val="0"/>
                <w:sz w:val="24"/>
                <w:szCs w:val="21"/>
                <w:highlight w:val="none"/>
                <w:lang w:val="en-US" w:eastAsia="zh-CN" w:bidi="ar-SA"/>
              </w:rPr>
              <w:t>水污染物排放限值</w:t>
            </w:r>
            <w:r>
              <w:rPr>
                <w:rFonts w:hint="default" w:ascii="Times New Roman" w:hAnsi="Times New Roman" w:eastAsia="宋体" w:cs="Times New Roman"/>
                <w:snapToGrid w:val="0"/>
                <w:color w:val="auto"/>
                <w:kern w:val="0"/>
                <w:sz w:val="24"/>
                <w:szCs w:val="21"/>
                <w:highlight w:val="none"/>
                <w:lang w:val="en-US" w:eastAsia="zh-CN" w:bidi="ar-SA"/>
              </w:rPr>
              <w:t>》（DB44/26-2001）第二时段一级标准和《城镇污水处理厂污染物排放标准》（</w:t>
            </w:r>
            <w:r>
              <w:rPr>
                <w:rFonts w:hint="eastAsia" w:cs="Times New Roman"/>
                <w:snapToGrid w:val="0"/>
                <w:color w:val="auto"/>
                <w:kern w:val="0"/>
                <w:sz w:val="24"/>
                <w:szCs w:val="21"/>
                <w:highlight w:val="none"/>
                <w:lang w:val="en-US" w:eastAsia="zh-CN" w:bidi="ar-SA"/>
              </w:rPr>
              <w:t>GB18918-2002</w:t>
            </w:r>
            <w:r>
              <w:rPr>
                <w:rFonts w:hint="default" w:ascii="Times New Roman" w:hAnsi="Times New Roman" w:eastAsia="宋体" w:cs="Times New Roman"/>
                <w:snapToGrid w:val="0"/>
                <w:color w:val="auto"/>
                <w:kern w:val="0"/>
                <w:sz w:val="24"/>
                <w:szCs w:val="21"/>
                <w:highlight w:val="none"/>
                <w:lang w:val="en-US" w:eastAsia="zh-CN" w:bidi="ar-SA"/>
              </w:rPr>
              <w:t>）</w:t>
            </w:r>
            <w:r>
              <w:rPr>
                <w:rFonts w:hint="eastAsia" w:cs="Times New Roman"/>
                <w:snapToGrid w:val="0"/>
                <w:color w:val="auto"/>
                <w:kern w:val="0"/>
                <w:sz w:val="24"/>
                <w:szCs w:val="21"/>
                <w:highlight w:val="none"/>
                <w:lang w:val="en-US" w:eastAsia="zh-CN" w:bidi="ar-SA"/>
              </w:rPr>
              <w:t>及其修改单一级 A 标准</w:t>
            </w:r>
            <w:r>
              <w:rPr>
                <w:rFonts w:hint="default" w:ascii="Times New Roman" w:hAnsi="Times New Roman" w:eastAsia="宋体" w:cs="Times New Roman"/>
                <w:snapToGrid w:val="0"/>
                <w:color w:val="auto"/>
                <w:kern w:val="0"/>
                <w:sz w:val="24"/>
                <w:szCs w:val="21"/>
                <w:highlight w:val="none"/>
                <w:lang w:val="en-US" w:eastAsia="zh-CN" w:bidi="ar-SA"/>
              </w:rPr>
              <w:t>中严者。</w:t>
            </w:r>
            <w:r>
              <w:rPr>
                <w:rFonts w:hint="default" w:ascii="Times New Roman" w:hAnsi="Times New Roman" w:eastAsia="宋体" w:cs="Times New Roman"/>
                <w:snapToGrid w:val="0"/>
                <w:color w:val="auto"/>
                <w:kern w:val="0"/>
                <w:sz w:val="24"/>
                <w:szCs w:val="21"/>
                <w:highlight w:val="none"/>
                <w:lang w:val="zh-CN" w:eastAsia="zh-CN" w:bidi="ar-SA"/>
              </w:rPr>
              <w:t>相关排放标准情况</w:t>
            </w:r>
            <w:r>
              <w:rPr>
                <w:rFonts w:hint="default" w:ascii="Times New Roman" w:hAnsi="Times New Roman" w:eastAsia="宋体" w:cs="Times New Roman"/>
                <w:snapToGrid w:val="0"/>
                <w:color w:val="auto"/>
                <w:kern w:val="0"/>
                <w:sz w:val="24"/>
                <w:szCs w:val="21"/>
                <w:highlight w:val="none"/>
                <w:lang w:val="en-US" w:eastAsia="zh-CN" w:bidi="ar-SA"/>
              </w:rPr>
              <w:t>见下表</w:t>
            </w:r>
            <w:r>
              <w:rPr>
                <w:rFonts w:hint="eastAsia" w:cs="Times New Roman"/>
                <w:snapToGrid w:val="0"/>
                <w:color w:val="auto"/>
                <w:kern w:val="0"/>
                <w:sz w:val="24"/>
                <w:szCs w:val="21"/>
                <w:highlight w:val="none"/>
                <w:lang w:val="en-US" w:eastAsia="zh-CN" w:bidi="ar-SA"/>
              </w:rPr>
              <w:t>。</w:t>
            </w:r>
          </w:p>
          <w:p w14:paraId="37F905F6">
            <w:pPr>
              <w:numPr>
                <w:ilvl w:val="0"/>
                <w:numId w:val="14"/>
              </w:numPr>
              <w:spacing w:line="240" w:lineRule="auto"/>
              <w:ind w:left="0" w:leftChars="0" w:firstLine="40" w:firstLineChars="0"/>
              <w:jc w:val="center"/>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lang w:val="en-US" w:eastAsia="zh-CN"/>
              </w:rPr>
              <w:t>本项目水污染物排放标准</w:t>
            </w:r>
            <w:r>
              <w:rPr>
                <w:rFonts w:hint="default" w:ascii="Times New Roman" w:hAnsi="Times New Roman" w:cs="Times New Roman"/>
                <w:b/>
                <w:bCs/>
                <w:color w:val="auto"/>
                <w:sz w:val="21"/>
                <w:szCs w:val="21"/>
                <w:highlight w:val="none"/>
              </w:rPr>
              <w:t xml:space="preserve"> </w:t>
            </w:r>
            <w:r>
              <w:rPr>
                <w:rFonts w:hint="default" w:ascii="Times New Roman" w:hAnsi="Times New Roman" w:cs="Times New Roman"/>
                <w:b/>
                <w:bCs/>
                <w:color w:val="auto"/>
                <w:sz w:val="21"/>
                <w:szCs w:val="21"/>
                <w:highlight w:val="none"/>
                <w:lang w:val="en-US" w:eastAsia="zh-CN"/>
              </w:rPr>
              <w:t>单位：</w:t>
            </w:r>
            <w:r>
              <w:rPr>
                <w:rFonts w:hint="default" w:ascii="Times New Roman" w:hAnsi="Times New Roman" w:cs="Times New Roman"/>
                <w:b/>
                <w:bCs/>
                <w:color w:val="auto"/>
                <w:sz w:val="21"/>
                <w:szCs w:val="21"/>
                <w:highlight w:val="none"/>
              </w:rPr>
              <w:t>mg/L，pH为无量纲</w:t>
            </w:r>
          </w:p>
          <w:tbl>
            <w:tblPr>
              <w:tblStyle w:val="48"/>
              <w:tblW w:w="8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40"/>
              <w:gridCol w:w="465"/>
              <w:gridCol w:w="660"/>
              <w:gridCol w:w="720"/>
              <w:gridCol w:w="600"/>
              <w:gridCol w:w="615"/>
              <w:gridCol w:w="675"/>
              <w:gridCol w:w="630"/>
              <w:gridCol w:w="585"/>
              <w:gridCol w:w="652"/>
              <w:gridCol w:w="600"/>
              <w:gridCol w:w="638"/>
              <w:gridCol w:w="434"/>
            </w:tblGrid>
            <w:tr w14:paraId="3BCD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3" w:hRule="atLeast"/>
                <w:jc w:val="center"/>
              </w:trPr>
              <w:tc>
                <w:tcPr>
                  <w:tcW w:w="1240" w:type="dxa"/>
                  <w:tcBorders>
                    <w:tl2br w:val="nil"/>
                    <w:tr2bl w:val="nil"/>
                  </w:tcBorders>
                  <w:noWrap/>
                  <w:tcMar>
                    <w:left w:w="0" w:type="dxa"/>
                    <w:right w:w="0" w:type="dxa"/>
                  </w:tcMar>
                  <w:vAlign w:val="center"/>
                </w:tcPr>
                <w:p w14:paraId="308ACF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465" w:type="dxa"/>
                  <w:tcBorders>
                    <w:tl2br w:val="nil"/>
                    <w:tr2bl w:val="nil"/>
                  </w:tcBorders>
                  <w:noWrap/>
                  <w:tcMar>
                    <w:left w:w="0" w:type="dxa"/>
                    <w:right w:w="0" w:type="dxa"/>
                  </w:tcMar>
                  <w:vAlign w:val="center"/>
                </w:tcPr>
                <w:p w14:paraId="2244B0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pH</w:t>
                  </w:r>
                </w:p>
              </w:tc>
              <w:tc>
                <w:tcPr>
                  <w:tcW w:w="660" w:type="dxa"/>
                  <w:tcBorders>
                    <w:tl2br w:val="nil"/>
                    <w:tr2bl w:val="nil"/>
                  </w:tcBorders>
                  <w:noWrap/>
                  <w:tcMar>
                    <w:left w:w="0" w:type="dxa"/>
                    <w:right w:w="0" w:type="dxa"/>
                  </w:tcMar>
                  <w:vAlign w:val="center"/>
                </w:tcPr>
                <w:p w14:paraId="52FB04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vertAlign w:val="subscript"/>
                    </w:rPr>
                  </w:pPr>
                  <w:r>
                    <w:rPr>
                      <w:rFonts w:hint="default" w:ascii="Times New Roman" w:hAnsi="Times New Roman" w:cs="Times New Roman"/>
                      <w:b/>
                      <w:bCs/>
                      <w:color w:val="auto"/>
                      <w:sz w:val="21"/>
                      <w:szCs w:val="21"/>
                      <w:highlight w:val="none"/>
                    </w:rPr>
                    <w:t>COD</w:t>
                  </w:r>
                  <w:r>
                    <w:rPr>
                      <w:rFonts w:hint="default" w:ascii="Times New Roman" w:hAnsi="Times New Roman" w:cs="Times New Roman"/>
                      <w:b/>
                      <w:bCs/>
                      <w:color w:val="auto"/>
                      <w:sz w:val="21"/>
                      <w:szCs w:val="21"/>
                      <w:highlight w:val="none"/>
                      <w:vertAlign w:val="subscript"/>
                    </w:rPr>
                    <w:t>Cr</w:t>
                  </w:r>
                </w:p>
              </w:tc>
              <w:tc>
                <w:tcPr>
                  <w:tcW w:w="720" w:type="dxa"/>
                  <w:tcBorders>
                    <w:tl2br w:val="nil"/>
                    <w:tr2bl w:val="nil"/>
                  </w:tcBorders>
                  <w:noWrap/>
                  <w:vAlign w:val="center"/>
                </w:tcPr>
                <w:p w14:paraId="74B83F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vertAlign w:val="subscript"/>
                    </w:rPr>
                  </w:pPr>
                  <w:r>
                    <w:rPr>
                      <w:rFonts w:hint="default" w:ascii="Times New Roman" w:hAnsi="Times New Roman" w:cs="Times New Roman"/>
                      <w:b/>
                      <w:bCs/>
                      <w:color w:val="auto"/>
                      <w:sz w:val="21"/>
                      <w:szCs w:val="21"/>
                      <w:highlight w:val="none"/>
                    </w:rPr>
                    <w:t>BOD</w:t>
                  </w:r>
                  <w:r>
                    <w:rPr>
                      <w:rFonts w:hint="default" w:ascii="Times New Roman" w:hAnsi="Times New Roman" w:cs="Times New Roman"/>
                      <w:b/>
                      <w:bCs/>
                      <w:color w:val="auto"/>
                      <w:sz w:val="21"/>
                      <w:szCs w:val="21"/>
                      <w:highlight w:val="none"/>
                      <w:vertAlign w:val="subscript"/>
                    </w:rPr>
                    <w:t>5</w:t>
                  </w:r>
                </w:p>
              </w:tc>
              <w:tc>
                <w:tcPr>
                  <w:tcW w:w="600" w:type="dxa"/>
                  <w:tcBorders>
                    <w:tl2br w:val="nil"/>
                    <w:tr2bl w:val="nil"/>
                  </w:tcBorders>
                  <w:noWrap/>
                  <w:vAlign w:val="center"/>
                </w:tcPr>
                <w:p w14:paraId="15A9FA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SS</w:t>
                  </w:r>
                </w:p>
              </w:tc>
              <w:tc>
                <w:tcPr>
                  <w:tcW w:w="615" w:type="dxa"/>
                  <w:tcBorders>
                    <w:tl2br w:val="nil"/>
                    <w:tr2bl w:val="nil"/>
                  </w:tcBorders>
                  <w:noWrap/>
                  <w:vAlign w:val="center"/>
                </w:tcPr>
                <w:p w14:paraId="37C135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氨氮</w:t>
                  </w:r>
                </w:p>
              </w:tc>
              <w:tc>
                <w:tcPr>
                  <w:tcW w:w="675" w:type="dxa"/>
                  <w:tcBorders>
                    <w:tl2br w:val="nil"/>
                    <w:tr2bl w:val="nil"/>
                  </w:tcBorders>
                  <w:noWrap/>
                  <w:vAlign w:val="center"/>
                </w:tcPr>
                <w:p w14:paraId="78F157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LAS</w:t>
                  </w:r>
                </w:p>
              </w:tc>
              <w:tc>
                <w:tcPr>
                  <w:tcW w:w="630" w:type="dxa"/>
                  <w:tcBorders>
                    <w:tl2br w:val="nil"/>
                    <w:tr2bl w:val="nil"/>
                  </w:tcBorders>
                  <w:noWrap/>
                  <w:vAlign w:val="center"/>
                </w:tcPr>
                <w:p w14:paraId="49267A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氟化物</w:t>
                  </w:r>
                </w:p>
              </w:tc>
              <w:tc>
                <w:tcPr>
                  <w:tcW w:w="585" w:type="dxa"/>
                  <w:tcBorders>
                    <w:tl2br w:val="nil"/>
                    <w:tr2bl w:val="nil"/>
                  </w:tcBorders>
                  <w:noWrap/>
                  <w:vAlign w:val="center"/>
                </w:tcPr>
                <w:p w14:paraId="3BBC6F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石油类</w:t>
                  </w:r>
                </w:p>
              </w:tc>
              <w:tc>
                <w:tcPr>
                  <w:tcW w:w="652" w:type="dxa"/>
                  <w:tcBorders>
                    <w:tl2br w:val="nil"/>
                    <w:tr2bl w:val="nil"/>
                  </w:tcBorders>
                  <w:noWrap/>
                  <w:vAlign w:val="center"/>
                </w:tcPr>
                <w:p w14:paraId="6F4338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总磷</w:t>
                  </w:r>
                </w:p>
              </w:tc>
              <w:tc>
                <w:tcPr>
                  <w:tcW w:w="600" w:type="dxa"/>
                  <w:tcBorders>
                    <w:tl2br w:val="nil"/>
                    <w:tr2bl w:val="nil"/>
                  </w:tcBorders>
                  <w:noWrap/>
                  <w:vAlign w:val="center"/>
                </w:tcPr>
                <w:p w14:paraId="60C7D5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动植物油</w:t>
                  </w:r>
                </w:p>
              </w:tc>
              <w:tc>
                <w:tcPr>
                  <w:tcW w:w="638" w:type="dxa"/>
                  <w:tcBorders>
                    <w:tl2br w:val="nil"/>
                    <w:tr2bl w:val="nil"/>
                  </w:tcBorders>
                  <w:noWrap/>
                  <w:vAlign w:val="center"/>
                </w:tcPr>
                <w:p w14:paraId="6FF56F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总铝</w:t>
                  </w:r>
                </w:p>
              </w:tc>
              <w:tc>
                <w:tcPr>
                  <w:tcW w:w="434" w:type="dxa"/>
                  <w:tcBorders>
                    <w:tl2br w:val="nil"/>
                    <w:tr2bl w:val="nil"/>
                  </w:tcBorders>
                  <w:noWrap/>
                  <w:vAlign w:val="center"/>
                </w:tcPr>
                <w:p w14:paraId="16C016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TN</w:t>
                  </w:r>
                </w:p>
              </w:tc>
            </w:tr>
            <w:tr w14:paraId="7C04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8" w:hRule="atLeast"/>
                <w:jc w:val="center"/>
              </w:trPr>
              <w:tc>
                <w:tcPr>
                  <w:tcW w:w="1240" w:type="dxa"/>
                  <w:tcBorders>
                    <w:tl2br w:val="nil"/>
                    <w:tr2bl w:val="nil"/>
                  </w:tcBorders>
                  <w:noWrap/>
                  <w:tcMar>
                    <w:left w:w="0" w:type="dxa"/>
                    <w:right w:w="0" w:type="dxa"/>
                  </w:tcMar>
                  <w:vAlign w:val="center"/>
                </w:tcPr>
                <w:p w14:paraId="18DB4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园区污水处理厂接管水质要求</w:t>
                  </w:r>
                </w:p>
              </w:tc>
              <w:tc>
                <w:tcPr>
                  <w:tcW w:w="465" w:type="dxa"/>
                  <w:tcBorders>
                    <w:tl2br w:val="nil"/>
                    <w:tr2bl w:val="nil"/>
                  </w:tcBorders>
                  <w:noWrap/>
                  <w:tcMar>
                    <w:left w:w="0" w:type="dxa"/>
                    <w:right w:w="0" w:type="dxa"/>
                  </w:tcMar>
                  <w:vAlign w:val="center"/>
                </w:tcPr>
                <w:p w14:paraId="3F1983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6-9</w:t>
                  </w:r>
                </w:p>
              </w:tc>
              <w:tc>
                <w:tcPr>
                  <w:tcW w:w="660" w:type="dxa"/>
                  <w:tcBorders>
                    <w:tl2br w:val="nil"/>
                    <w:tr2bl w:val="nil"/>
                  </w:tcBorders>
                  <w:noWrap/>
                  <w:tcMar>
                    <w:left w:w="0" w:type="dxa"/>
                    <w:right w:w="0" w:type="dxa"/>
                  </w:tcMar>
                  <w:vAlign w:val="center"/>
                </w:tcPr>
                <w:p w14:paraId="1C174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r>
                    <w:rPr>
                      <w:rFonts w:hint="eastAsia"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0</w:t>
                  </w:r>
                </w:p>
              </w:tc>
              <w:tc>
                <w:tcPr>
                  <w:tcW w:w="720" w:type="dxa"/>
                  <w:tcBorders>
                    <w:tl2br w:val="nil"/>
                    <w:tr2bl w:val="nil"/>
                  </w:tcBorders>
                  <w:noWrap/>
                  <w:vAlign w:val="center"/>
                </w:tcPr>
                <w:p w14:paraId="3B73C2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150</w:t>
                  </w:r>
                </w:p>
              </w:tc>
              <w:tc>
                <w:tcPr>
                  <w:tcW w:w="600" w:type="dxa"/>
                  <w:tcBorders>
                    <w:tl2br w:val="nil"/>
                    <w:tr2bl w:val="nil"/>
                  </w:tcBorders>
                  <w:noWrap/>
                  <w:vAlign w:val="center"/>
                </w:tcPr>
                <w:p w14:paraId="0CAFE3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30</w:t>
                  </w:r>
                  <w:r>
                    <w:rPr>
                      <w:rFonts w:hint="default" w:ascii="Times New Roman" w:hAnsi="Times New Roman" w:cs="Times New Roman"/>
                      <w:color w:val="auto"/>
                      <w:sz w:val="21"/>
                      <w:szCs w:val="21"/>
                      <w:highlight w:val="none"/>
                    </w:rPr>
                    <w:t>0</w:t>
                  </w:r>
                </w:p>
              </w:tc>
              <w:tc>
                <w:tcPr>
                  <w:tcW w:w="615" w:type="dxa"/>
                  <w:tcBorders>
                    <w:tl2br w:val="nil"/>
                    <w:tr2bl w:val="nil"/>
                  </w:tcBorders>
                  <w:noWrap/>
                  <w:vAlign w:val="center"/>
                </w:tcPr>
                <w:p w14:paraId="3D4824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w:t>
                  </w:r>
                </w:p>
              </w:tc>
              <w:tc>
                <w:tcPr>
                  <w:tcW w:w="675" w:type="dxa"/>
                  <w:tcBorders>
                    <w:tl2br w:val="nil"/>
                    <w:tr2bl w:val="nil"/>
                  </w:tcBorders>
                  <w:noWrap/>
                  <w:vAlign w:val="center"/>
                </w:tcPr>
                <w:p w14:paraId="1E357A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630" w:type="dxa"/>
                  <w:tcBorders>
                    <w:tl2br w:val="nil"/>
                    <w:tr2bl w:val="nil"/>
                  </w:tcBorders>
                  <w:noWrap/>
                  <w:vAlign w:val="center"/>
                </w:tcPr>
                <w:p w14:paraId="0CC2BC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585" w:type="dxa"/>
                  <w:tcBorders>
                    <w:tl2br w:val="nil"/>
                    <w:tr2bl w:val="nil"/>
                  </w:tcBorders>
                  <w:noWrap/>
                  <w:vAlign w:val="center"/>
                </w:tcPr>
                <w:p w14:paraId="033DC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w:t>
                  </w:r>
                </w:p>
              </w:tc>
              <w:tc>
                <w:tcPr>
                  <w:tcW w:w="652" w:type="dxa"/>
                  <w:tcBorders>
                    <w:tl2br w:val="nil"/>
                    <w:tr2bl w:val="nil"/>
                  </w:tcBorders>
                  <w:noWrap/>
                  <w:vAlign w:val="center"/>
                </w:tcPr>
                <w:p w14:paraId="413344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4.0</w:t>
                  </w:r>
                </w:p>
              </w:tc>
              <w:tc>
                <w:tcPr>
                  <w:tcW w:w="600" w:type="dxa"/>
                  <w:tcBorders>
                    <w:tl2br w:val="nil"/>
                    <w:tr2bl w:val="nil"/>
                  </w:tcBorders>
                  <w:noWrap/>
                  <w:vAlign w:val="center"/>
                </w:tcPr>
                <w:p w14:paraId="3B8905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c>
                <w:tcPr>
                  <w:tcW w:w="638" w:type="dxa"/>
                  <w:tcBorders>
                    <w:tl2br w:val="nil"/>
                    <w:tr2bl w:val="nil"/>
                  </w:tcBorders>
                  <w:noWrap/>
                  <w:vAlign w:val="center"/>
                </w:tcPr>
                <w:p w14:paraId="102087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434" w:type="dxa"/>
                  <w:tcBorders>
                    <w:tl2br w:val="nil"/>
                    <w:tr2bl w:val="nil"/>
                  </w:tcBorders>
                  <w:noWrap/>
                  <w:vAlign w:val="center"/>
                </w:tcPr>
                <w:p w14:paraId="43EA56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4656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58" w:hRule="atLeast"/>
                <w:jc w:val="center"/>
              </w:trPr>
              <w:tc>
                <w:tcPr>
                  <w:tcW w:w="1240" w:type="dxa"/>
                  <w:tcBorders>
                    <w:tl2br w:val="nil"/>
                    <w:tr2bl w:val="nil"/>
                  </w:tcBorders>
                  <w:noWrap/>
                  <w:tcMar>
                    <w:left w:w="0" w:type="dxa"/>
                    <w:right w:w="0" w:type="dxa"/>
                  </w:tcMar>
                  <w:vAlign w:val="center"/>
                </w:tcPr>
                <w:p w14:paraId="4DA466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DB44/26-2001第二时段三级标准</w:t>
                  </w:r>
                </w:p>
              </w:tc>
              <w:tc>
                <w:tcPr>
                  <w:tcW w:w="465" w:type="dxa"/>
                  <w:tcBorders>
                    <w:tl2br w:val="nil"/>
                    <w:tr2bl w:val="nil"/>
                  </w:tcBorders>
                  <w:noWrap/>
                  <w:tcMar>
                    <w:left w:w="0" w:type="dxa"/>
                    <w:right w:w="0" w:type="dxa"/>
                  </w:tcMar>
                  <w:vAlign w:val="center"/>
                </w:tcPr>
                <w:p w14:paraId="629B8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6-9</w:t>
                  </w:r>
                </w:p>
              </w:tc>
              <w:tc>
                <w:tcPr>
                  <w:tcW w:w="660" w:type="dxa"/>
                  <w:tcBorders>
                    <w:tl2br w:val="nil"/>
                    <w:tr2bl w:val="nil"/>
                  </w:tcBorders>
                  <w:noWrap/>
                  <w:tcMar>
                    <w:left w:w="0" w:type="dxa"/>
                    <w:right w:w="0" w:type="dxa"/>
                  </w:tcMar>
                  <w:vAlign w:val="center"/>
                </w:tcPr>
                <w:p w14:paraId="2D9DF2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500</w:t>
                  </w:r>
                </w:p>
              </w:tc>
              <w:tc>
                <w:tcPr>
                  <w:tcW w:w="720" w:type="dxa"/>
                  <w:tcBorders>
                    <w:tl2br w:val="nil"/>
                    <w:tr2bl w:val="nil"/>
                  </w:tcBorders>
                  <w:noWrap/>
                  <w:vAlign w:val="center"/>
                </w:tcPr>
                <w:p w14:paraId="244B62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300</w:t>
                  </w:r>
                </w:p>
              </w:tc>
              <w:tc>
                <w:tcPr>
                  <w:tcW w:w="600" w:type="dxa"/>
                  <w:tcBorders>
                    <w:tl2br w:val="nil"/>
                    <w:tr2bl w:val="nil"/>
                  </w:tcBorders>
                  <w:noWrap/>
                  <w:vAlign w:val="center"/>
                </w:tcPr>
                <w:p w14:paraId="288231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400</w:t>
                  </w:r>
                </w:p>
              </w:tc>
              <w:tc>
                <w:tcPr>
                  <w:tcW w:w="615" w:type="dxa"/>
                  <w:tcBorders>
                    <w:tl2br w:val="nil"/>
                    <w:tr2bl w:val="nil"/>
                  </w:tcBorders>
                  <w:noWrap/>
                  <w:vAlign w:val="center"/>
                </w:tcPr>
                <w:p w14:paraId="0A6F04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675" w:type="dxa"/>
                  <w:tcBorders>
                    <w:tl2br w:val="nil"/>
                    <w:tr2bl w:val="nil"/>
                  </w:tcBorders>
                  <w:noWrap/>
                  <w:vAlign w:val="center"/>
                </w:tcPr>
                <w:p w14:paraId="696597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c>
                <w:tcPr>
                  <w:tcW w:w="630" w:type="dxa"/>
                  <w:tcBorders>
                    <w:tl2br w:val="nil"/>
                    <w:tr2bl w:val="nil"/>
                  </w:tcBorders>
                  <w:noWrap/>
                  <w:vAlign w:val="center"/>
                </w:tcPr>
                <w:p w14:paraId="45C7C9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20</w:t>
                  </w:r>
                </w:p>
              </w:tc>
              <w:tc>
                <w:tcPr>
                  <w:tcW w:w="585" w:type="dxa"/>
                  <w:tcBorders>
                    <w:tl2br w:val="nil"/>
                    <w:tr2bl w:val="nil"/>
                  </w:tcBorders>
                  <w:noWrap/>
                  <w:vAlign w:val="center"/>
                </w:tcPr>
                <w:p w14:paraId="1114E6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20</w:t>
                  </w:r>
                </w:p>
              </w:tc>
              <w:tc>
                <w:tcPr>
                  <w:tcW w:w="652" w:type="dxa"/>
                  <w:tcBorders>
                    <w:tl2br w:val="nil"/>
                    <w:tr2bl w:val="nil"/>
                  </w:tcBorders>
                  <w:noWrap/>
                  <w:vAlign w:val="center"/>
                </w:tcPr>
                <w:p w14:paraId="2A3D76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600" w:type="dxa"/>
                  <w:tcBorders>
                    <w:tl2br w:val="nil"/>
                    <w:tr2bl w:val="nil"/>
                  </w:tcBorders>
                  <w:noWrap/>
                  <w:vAlign w:val="center"/>
                </w:tcPr>
                <w:p w14:paraId="095C4D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100</w:t>
                  </w:r>
                </w:p>
              </w:tc>
              <w:tc>
                <w:tcPr>
                  <w:tcW w:w="638" w:type="dxa"/>
                  <w:tcBorders>
                    <w:tl2br w:val="nil"/>
                    <w:tr2bl w:val="nil"/>
                  </w:tcBorders>
                  <w:noWrap/>
                  <w:vAlign w:val="center"/>
                </w:tcPr>
                <w:p w14:paraId="4D3F8D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434" w:type="dxa"/>
                  <w:tcBorders>
                    <w:tl2br w:val="nil"/>
                    <w:tr2bl w:val="nil"/>
                  </w:tcBorders>
                  <w:noWrap/>
                  <w:vAlign w:val="center"/>
                </w:tcPr>
                <w:p w14:paraId="0F72A2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573F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81" w:hRule="atLeast"/>
                <w:jc w:val="center"/>
              </w:trPr>
              <w:tc>
                <w:tcPr>
                  <w:tcW w:w="1240" w:type="dxa"/>
                  <w:tcBorders>
                    <w:tl2br w:val="nil"/>
                    <w:tr2bl w:val="nil"/>
                  </w:tcBorders>
                  <w:noWrap/>
                  <w:tcMar>
                    <w:left w:w="0" w:type="dxa"/>
                    <w:right w:w="0" w:type="dxa"/>
                  </w:tcMar>
                  <w:vAlign w:val="center"/>
                </w:tcPr>
                <w:p w14:paraId="0563C4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DB44/1597-2015</w:t>
                  </w:r>
                  <w:r>
                    <w:rPr>
                      <w:rFonts w:hint="eastAsia" w:cs="Times New Roman"/>
                      <w:color w:val="auto"/>
                      <w:sz w:val="21"/>
                      <w:szCs w:val="21"/>
                      <w:highlight w:val="none"/>
                      <w:lang w:val="en-US" w:eastAsia="zh-CN"/>
                    </w:rPr>
                    <w:t>表1现有项目水污染排放限值-非珠三角</w:t>
                  </w:r>
                </w:p>
              </w:tc>
              <w:tc>
                <w:tcPr>
                  <w:tcW w:w="465" w:type="dxa"/>
                  <w:tcBorders>
                    <w:tl2br w:val="nil"/>
                    <w:tr2bl w:val="nil"/>
                  </w:tcBorders>
                  <w:noWrap/>
                  <w:tcMar>
                    <w:left w:w="0" w:type="dxa"/>
                    <w:right w:w="0" w:type="dxa"/>
                  </w:tcMar>
                  <w:vAlign w:val="center"/>
                </w:tcPr>
                <w:p w14:paraId="28D628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6-9</w:t>
                  </w:r>
                </w:p>
              </w:tc>
              <w:tc>
                <w:tcPr>
                  <w:tcW w:w="660" w:type="dxa"/>
                  <w:tcBorders>
                    <w:tl2br w:val="nil"/>
                    <w:tr2bl w:val="nil"/>
                  </w:tcBorders>
                  <w:noWrap/>
                  <w:tcMar>
                    <w:left w:w="0" w:type="dxa"/>
                    <w:right w:w="0" w:type="dxa"/>
                  </w:tcMar>
                  <w:vAlign w:val="center"/>
                </w:tcPr>
                <w:p w14:paraId="41D8E8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160</w:t>
                  </w:r>
                </w:p>
              </w:tc>
              <w:tc>
                <w:tcPr>
                  <w:tcW w:w="720" w:type="dxa"/>
                  <w:tcBorders>
                    <w:tl2br w:val="nil"/>
                    <w:tr2bl w:val="nil"/>
                  </w:tcBorders>
                  <w:noWrap/>
                  <w:vAlign w:val="center"/>
                </w:tcPr>
                <w:p w14:paraId="010FAB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c>
                <w:tcPr>
                  <w:tcW w:w="600" w:type="dxa"/>
                  <w:tcBorders>
                    <w:tl2br w:val="nil"/>
                    <w:tr2bl w:val="nil"/>
                  </w:tcBorders>
                  <w:noWrap/>
                  <w:vAlign w:val="center"/>
                </w:tcPr>
                <w:p w14:paraId="344876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100</w:t>
                  </w:r>
                </w:p>
              </w:tc>
              <w:tc>
                <w:tcPr>
                  <w:tcW w:w="615" w:type="dxa"/>
                  <w:tcBorders>
                    <w:tl2br w:val="nil"/>
                    <w:tr2bl w:val="nil"/>
                  </w:tcBorders>
                  <w:noWrap/>
                  <w:vAlign w:val="center"/>
                </w:tcPr>
                <w:p w14:paraId="7542D3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30</w:t>
                  </w:r>
                </w:p>
              </w:tc>
              <w:tc>
                <w:tcPr>
                  <w:tcW w:w="675" w:type="dxa"/>
                  <w:tcBorders>
                    <w:tl2br w:val="nil"/>
                    <w:tr2bl w:val="nil"/>
                  </w:tcBorders>
                  <w:noWrap/>
                  <w:vAlign w:val="center"/>
                </w:tcPr>
                <w:p w14:paraId="75C749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c>
                <w:tcPr>
                  <w:tcW w:w="630" w:type="dxa"/>
                  <w:tcBorders>
                    <w:tl2br w:val="nil"/>
                    <w:tr2bl w:val="nil"/>
                  </w:tcBorders>
                  <w:noWrap/>
                  <w:vAlign w:val="center"/>
                </w:tcPr>
                <w:p w14:paraId="37074F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20</w:t>
                  </w:r>
                </w:p>
              </w:tc>
              <w:tc>
                <w:tcPr>
                  <w:tcW w:w="585" w:type="dxa"/>
                  <w:tcBorders>
                    <w:tl2br w:val="nil"/>
                    <w:tr2bl w:val="nil"/>
                  </w:tcBorders>
                  <w:noWrap/>
                  <w:vAlign w:val="center"/>
                </w:tcPr>
                <w:p w14:paraId="54888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6.0</w:t>
                  </w:r>
                </w:p>
              </w:tc>
              <w:tc>
                <w:tcPr>
                  <w:tcW w:w="652" w:type="dxa"/>
                  <w:tcBorders>
                    <w:tl2br w:val="nil"/>
                    <w:tr2bl w:val="nil"/>
                  </w:tcBorders>
                  <w:noWrap/>
                  <w:vAlign w:val="center"/>
                </w:tcPr>
                <w:p w14:paraId="7041D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2.0</w:t>
                  </w:r>
                </w:p>
              </w:tc>
              <w:tc>
                <w:tcPr>
                  <w:tcW w:w="600" w:type="dxa"/>
                  <w:tcBorders>
                    <w:tl2br w:val="nil"/>
                    <w:tr2bl w:val="nil"/>
                  </w:tcBorders>
                  <w:noWrap/>
                  <w:vAlign w:val="center"/>
                </w:tcPr>
                <w:p w14:paraId="2855E8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638" w:type="dxa"/>
                  <w:tcBorders>
                    <w:tl2br w:val="nil"/>
                    <w:tr2bl w:val="nil"/>
                  </w:tcBorders>
                  <w:noWrap/>
                  <w:vAlign w:val="center"/>
                </w:tcPr>
                <w:p w14:paraId="6D9E5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6.0</w:t>
                  </w:r>
                </w:p>
              </w:tc>
              <w:tc>
                <w:tcPr>
                  <w:tcW w:w="434" w:type="dxa"/>
                  <w:tcBorders>
                    <w:tl2br w:val="nil"/>
                    <w:tr2bl w:val="nil"/>
                  </w:tcBorders>
                  <w:noWrap/>
                  <w:vAlign w:val="center"/>
                </w:tcPr>
                <w:p w14:paraId="66FB42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40</w:t>
                  </w:r>
                </w:p>
              </w:tc>
            </w:tr>
            <w:tr w14:paraId="6FA4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9" w:hRule="atLeast"/>
                <w:jc w:val="center"/>
              </w:trPr>
              <w:tc>
                <w:tcPr>
                  <w:tcW w:w="1240" w:type="dxa"/>
                  <w:tcBorders>
                    <w:tl2br w:val="nil"/>
                    <w:tr2bl w:val="nil"/>
                  </w:tcBorders>
                  <w:noWrap/>
                  <w:tcMar>
                    <w:left w:w="0" w:type="dxa"/>
                    <w:right w:w="0" w:type="dxa"/>
                  </w:tcMar>
                  <w:vAlign w:val="center"/>
                </w:tcPr>
                <w:p w14:paraId="6B8379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eastAsia" w:ascii="Times New Roman" w:hAnsi="Times New Roman" w:cs="Times New Roman"/>
                      <w:b/>
                      <w:bCs/>
                      <w:color w:val="auto"/>
                      <w:sz w:val="21"/>
                      <w:szCs w:val="21"/>
                      <w:highlight w:val="none"/>
                      <w:lang w:val="en-US" w:eastAsia="zh-CN"/>
                    </w:rPr>
                    <w:t>生活污水排放</w:t>
                  </w:r>
                  <w:r>
                    <w:rPr>
                      <w:rFonts w:hint="default" w:ascii="Times New Roman" w:hAnsi="Times New Roman" w:cs="Times New Roman"/>
                      <w:b/>
                      <w:bCs/>
                      <w:color w:val="auto"/>
                      <w:sz w:val="21"/>
                      <w:szCs w:val="21"/>
                      <w:highlight w:val="none"/>
                    </w:rPr>
                    <w:t>限值</w:t>
                  </w:r>
                </w:p>
              </w:tc>
              <w:tc>
                <w:tcPr>
                  <w:tcW w:w="465" w:type="dxa"/>
                  <w:tcBorders>
                    <w:tl2br w:val="nil"/>
                    <w:tr2bl w:val="nil"/>
                  </w:tcBorders>
                  <w:noWrap/>
                  <w:tcMar>
                    <w:left w:w="0" w:type="dxa"/>
                    <w:right w:w="0" w:type="dxa"/>
                  </w:tcMar>
                  <w:vAlign w:val="center"/>
                </w:tcPr>
                <w:p w14:paraId="37A4B2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6-9</w:t>
                  </w:r>
                </w:p>
              </w:tc>
              <w:tc>
                <w:tcPr>
                  <w:tcW w:w="660" w:type="dxa"/>
                  <w:tcBorders>
                    <w:tl2br w:val="nil"/>
                    <w:tr2bl w:val="nil"/>
                  </w:tcBorders>
                  <w:noWrap/>
                  <w:tcMar>
                    <w:left w:w="0" w:type="dxa"/>
                    <w:right w:w="0" w:type="dxa"/>
                  </w:tcMar>
                  <w:vAlign w:val="center"/>
                </w:tcPr>
                <w:p w14:paraId="1A3954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3</w:t>
                  </w:r>
                  <w:r>
                    <w:rPr>
                      <w:rFonts w:hint="eastAsia" w:cs="Times New Roman"/>
                      <w:b/>
                      <w:bCs/>
                      <w:color w:val="auto"/>
                      <w:sz w:val="21"/>
                      <w:szCs w:val="21"/>
                      <w:highlight w:val="none"/>
                      <w:lang w:val="en-US" w:eastAsia="zh-CN"/>
                    </w:rPr>
                    <w:t>5</w:t>
                  </w:r>
                  <w:r>
                    <w:rPr>
                      <w:rFonts w:hint="default" w:ascii="Times New Roman" w:hAnsi="Times New Roman" w:cs="Times New Roman"/>
                      <w:b/>
                      <w:bCs/>
                      <w:color w:val="auto"/>
                      <w:sz w:val="21"/>
                      <w:szCs w:val="21"/>
                      <w:highlight w:val="none"/>
                    </w:rPr>
                    <w:t>0</w:t>
                  </w:r>
                </w:p>
              </w:tc>
              <w:tc>
                <w:tcPr>
                  <w:tcW w:w="720" w:type="dxa"/>
                  <w:tcBorders>
                    <w:tl2br w:val="nil"/>
                    <w:tr2bl w:val="nil"/>
                  </w:tcBorders>
                  <w:noWrap/>
                  <w:vAlign w:val="center"/>
                </w:tcPr>
                <w:p w14:paraId="1FA773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150</w:t>
                  </w:r>
                </w:p>
              </w:tc>
              <w:tc>
                <w:tcPr>
                  <w:tcW w:w="600" w:type="dxa"/>
                  <w:tcBorders>
                    <w:tl2br w:val="nil"/>
                    <w:tr2bl w:val="nil"/>
                  </w:tcBorders>
                  <w:noWrap/>
                  <w:vAlign w:val="center"/>
                </w:tcPr>
                <w:p w14:paraId="0E645F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eastAsia" w:cs="Times New Roman"/>
                      <w:b/>
                      <w:bCs/>
                      <w:color w:val="auto"/>
                      <w:sz w:val="21"/>
                      <w:szCs w:val="21"/>
                      <w:highlight w:val="none"/>
                      <w:lang w:val="en-US" w:eastAsia="zh-CN"/>
                    </w:rPr>
                    <w:t>30</w:t>
                  </w:r>
                  <w:r>
                    <w:rPr>
                      <w:rFonts w:hint="default" w:ascii="Times New Roman" w:hAnsi="Times New Roman" w:cs="Times New Roman"/>
                      <w:b/>
                      <w:bCs/>
                      <w:color w:val="auto"/>
                      <w:sz w:val="21"/>
                      <w:szCs w:val="21"/>
                      <w:highlight w:val="none"/>
                    </w:rPr>
                    <w:t>0</w:t>
                  </w:r>
                </w:p>
              </w:tc>
              <w:tc>
                <w:tcPr>
                  <w:tcW w:w="615" w:type="dxa"/>
                  <w:tcBorders>
                    <w:tl2br w:val="nil"/>
                    <w:tr2bl w:val="nil"/>
                  </w:tcBorders>
                  <w:noWrap/>
                  <w:vAlign w:val="center"/>
                </w:tcPr>
                <w:p w14:paraId="720EF4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40</w:t>
                  </w:r>
                </w:p>
              </w:tc>
              <w:tc>
                <w:tcPr>
                  <w:tcW w:w="675" w:type="dxa"/>
                  <w:tcBorders>
                    <w:tl2br w:val="nil"/>
                    <w:tr2bl w:val="nil"/>
                  </w:tcBorders>
                  <w:noWrap/>
                  <w:vAlign w:val="center"/>
                </w:tcPr>
                <w:p w14:paraId="06E32C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20</w:t>
                  </w:r>
                </w:p>
              </w:tc>
              <w:tc>
                <w:tcPr>
                  <w:tcW w:w="630" w:type="dxa"/>
                  <w:tcBorders>
                    <w:tl2br w:val="nil"/>
                    <w:tr2bl w:val="nil"/>
                  </w:tcBorders>
                  <w:noWrap/>
                  <w:vAlign w:val="center"/>
                </w:tcPr>
                <w:p w14:paraId="485453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20</w:t>
                  </w:r>
                </w:p>
              </w:tc>
              <w:tc>
                <w:tcPr>
                  <w:tcW w:w="585" w:type="dxa"/>
                  <w:tcBorders>
                    <w:tl2br w:val="nil"/>
                    <w:tr2bl w:val="nil"/>
                  </w:tcBorders>
                  <w:noWrap/>
                  <w:vAlign w:val="center"/>
                </w:tcPr>
                <w:p w14:paraId="38941D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20</w:t>
                  </w:r>
                </w:p>
              </w:tc>
              <w:tc>
                <w:tcPr>
                  <w:tcW w:w="652" w:type="dxa"/>
                  <w:tcBorders>
                    <w:tl2br w:val="nil"/>
                    <w:tr2bl w:val="nil"/>
                  </w:tcBorders>
                  <w:noWrap/>
                  <w:vAlign w:val="center"/>
                </w:tcPr>
                <w:p w14:paraId="30E408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4.0</w:t>
                  </w:r>
                </w:p>
              </w:tc>
              <w:tc>
                <w:tcPr>
                  <w:tcW w:w="600" w:type="dxa"/>
                  <w:tcBorders>
                    <w:tl2br w:val="nil"/>
                    <w:tr2bl w:val="nil"/>
                  </w:tcBorders>
                  <w:noWrap/>
                  <w:vAlign w:val="center"/>
                </w:tcPr>
                <w:p w14:paraId="12DD5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100</w:t>
                  </w:r>
                </w:p>
              </w:tc>
              <w:tc>
                <w:tcPr>
                  <w:tcW w:w="638" w:type="dxa"/>
                  <w:tcBorders>
                    <w:tl2br w:val="nil"/>
                    <w:tr2bl w:val="nil"/>
                  </w:tcBorders>
                  <w:noWrap/>
                  <w:vAlign w:val="center"/>
                </w:tcPr>
                <w:p w14:paraId="6B1DB4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w:t>
                  </w:r>
                </w:p>
              </w:tc>
              <w:tc>
                <w:tcPr>
                  <w:tcW w:w="434" w:type="dxa"/>
                  <w:tcBorders>
                    <w:tl2br w:val="nil"/>
                    <w:tr2bl w:val="nil"/>
                  </w:tcBorders>
                  <w:noWrap/>
                  <w:vAlign w:val="center"/>
                </w:tcPr>
                <w:p w14:paraId="527F72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w:t>
                  </w:r>
                </w:p>
              </w:tc>
            </w:tr>
            <w:tr w14:paraId="11FB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1240" w:type="dxa"/>
                  <w:tcBorders>
                    <w:tl2br w:val="nil"/>
                    <w:tr2bl w:val="nil"/>
                  </w:tcBorders>
                  <w:noWrap/>
                  <w:tcMar>
                    <w:left w:w="0" w:type="dxa"/>
                    <w:right w:w="0" w:type="dxa"/>
                  </w:tcMar>
                  <w:vAlign w:val="center"/>
                </w:tcPr>
                <w:p w14:paraId="3FFB8D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外排</w:t>
                  </w:r>
                  <w:r>
                    <w:rPr>
                      <w:rFonts w:hint="eastAsia" w:ascii="Times New Roman" w:hAnsi="Times New Roman" w:cs="Times New Roman"/>
                      <w:b/>
                      <w:bCs/>
                      <w:color w:val="auto"/>
                      <w:sz w:val="21"/>
                      <w:szCs w:val="21"/>
                      <w:highlight w:val="none"/>
                      <w:lang w:val="en-US" w:eastAsia="zh-CN"/>
                    </w:rPr>
                    <w:t>生产废水排放</w:t>
                  </w:r>
                  <w:r>
                    <w:rPr>
                      <w:rFonts w:hint="default" w:ascii="Times New Roman" w:hAnsi="Times New Roman" w:cs="Times New Roman"/>
                      <w:b/>
                      <w:bCs/>
                      <w:color w:val="auto"/>
                      <w:sz w:val="21"/>
                      <w:szCs w:val="21"/>
                      <w:highlight w:val="none"/>
                    </w:rPr>
                    <w:t>限值</w:t>
                  </w:r>
                </w:p>
              </w:tc>
              <w:tc>
                <w:tcPr>
                  <w:tcW w:w="465" w:type="dxa"/>
                  <w:tcBorders>
                    <w:tl2br w:val="nil"/>
                    <w:tr2bl w:val="nil"/>
                  </w:tcBorders>
                  <w:noWrap/>
                  <w:tcMar>
                    <w:left w:w="0" w:type="dxa"/>
                    <w:right w:w="0" w:type="dxa"/>
                  </w:tcMar>
                  <w:vAlign w:val="center"/>
                </w:tcPr>
                <w:p w14:paraId="62C42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6-9</w:t>
                  </w:r>
                </w:p>
              </w:tc>
              <w:tc>
                <w:tcPr>
                  <w:tcW w:w="660" w:type="dxa"/>
                  <w:tcBorders>
                    <w:tl2br w:val="nil"/>
                    <w:tr2bl w:val="nil"/>
                  </w:tcBorders>
                  <w:noWrap/>
                  <w:tcMar>
                    <w:left w:w="0" w:type="dxa"/>
                    <w:right w:w="0" w:type="dxa"/>
                  </w:tcMar>
                  <w:vAlign w:val="center"/>
                </w:tcPr>
                <w:p w14:paraId="2B603B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ascii="Times New Roman" w:hAnsi="Times New Roman"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160</w:t>
                  </w:r>
                </w:p>
              </w:tc>
              <w:tc>
                <w:tcPr>
                  <w:tcW w:w="720" w:type="dxa"/>
                  <w:tcBorders>
                    <w:tl2br w:val="nil"/>
                    <w:tr2bl w:val="nil"/>
                  </w:tcBorders>
                  <w:noWrap/>
                  <w:vAlign w:val="center"/>
                </w:tcPr>
                <w:p w14:paraId="62B510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150</w:t>
                  </w:r>
                </w:p>
              </w:tc>
              <w:tc>
                <w:tcPr>
                  <w:tcW w:w="600" w:type="dxa"/>
                  <w:tcBorders>
                    <w:tl2br w:val="nil"/>
                    <w:tr2bl w:val="nil"/>
                  </w:tcBorders>
                  <w:noWrap/>
                  <w:vAlign w:val="center"/>
                </w:tcPr>
                <w:p w14:paraId="147101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100</w:t>
                  </w:r>
                </w:p>
              </w:tc>
              <w:tc>
                <w:tcPr>
                  <w:tcW w:w="615" w:type="dxa"/>
                  <w:tcBorders>
                    <w:tl2br w:val="nil"/>
                    <w:tr2bl w:val="nil"/>
                  </w:tcBorders>
                  <w:noWrap/>
                  <w:vAlign w:val="center"/>
                </w:tcPr>
                <w:p w14:paraId="5A5F06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30</w:t>
                  </w:r>
                </w:p>
              </w:tc>
              <w:tc>
                <w:tcPr>
                  <w:tcW w:w="675" w:type="dxa"/>
                  <w:tcBorders>
                    <w:tl2br w:val="nil"/>
                    <w:tr2bl w:val="nil"/>
                  </w:tcBorders>
                  <w:noWrap/>
                  <w:vAlign w:val="center"/>
                </w:tcPr>
                <w:p w14:paraId="4BB8CE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ascii="Times New Roman" w:hAnsi="Times New Roman"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20</w:t>
                  </w:r>
                </w:p>
              </w:tc>
              <w:tc>
                <w:tcPr>
                  <w:tcW w:w="630" w:type="dxa"/>
                  <w:tcBorders>
                    <w:tl2br w:val="nil"/>
                    <w:tr2bl w:val="nil"/>
                  </w:tcBorders>
                  <w:noWrap/>
                  <w:vAlign w:val="center"/>
                </w:tcPr>
                <w:p w14:paraId="3677F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ascii="Times New Roman" w:hAnsi="Times New Roman"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20</w:t>
                  </w:r>
                </w:p>
              </w:tc>
              <w:tc>
                <w:tcPr>
                  <w:tcW w:w="585" w:type="dxa"/>
                  <w:tcBorders>
                    <w:tl2br w:val="nil"/>
                    <w:tr2bl w:val="nil"/>
                  </w:tcBorders>
                  <w:noWrap/>
                  <w:vAlign w:val="center"/>
                </w:tcPr>
                <w:p w14:paraId="165EA8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6.0</w:t>
                  </w:r>
                </w:p>
              </w:tc>
              <w:tc>
                <w:tcPr>
                  <w:tcW w:w="652" w:type="dxa"/>
                  <w:tcBorders>
                    <w:tl2br w:val="nil"/>
                    <w:tr2bl w:val="nil"/>
                  </w:tcBorders>
                  <w:noWrap/>
                  <w:vAlign w:val="center"/>
                </w:tcPr>
                <w:p w14:paraId="6060C4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eastAsia" w:ascii="Times New Roman" w:hAnsi="Times New Roman" w:cs="Times New Roman"/>
                      <w:b/>
                      <w:bCs/>
                      <w:color w:val="auto"/>
                      <w:kern w:val="2"/>
                      <w:sz w:val="21"/>
                      <w:szCs w:val="21"/>
                      <w:highlight w:val="none"/>
                      <w:lang w:val="en-US" w:eastAsia="zh-CN" w:bidi="ar-SA"/>
                    </w:rPr>
                  </w:pPr>
                  <w:r>
                    <w:rPr>
                      <w:rFonts w:hint="eastAsia" w:cs="Times New Roman"/>
                      <w:b/>
                      <w:bCs/>
                      <w:color w:val="auto"/>
                      <w:sz w:val="21"/>
                      <w:szCs w:val="21"/>
                      <w:highlight w:val="none"/>
                      <w:lang w:val="en-US" w:eastAsia="zh-CN"/>
                    </w:rPr>
                    <w:t>2.0</w:t>
                  </w:r>
                </w:p>
              </w:tc>
              <w:tc>
                <w:tcPr>
                  <w:tcW w:w="600" w:type="dxa"/>
                  <w:tcBorders>
                    <w:tl2br w:val="nil"/>
                    <w:tr2bl w:val="nil"/>
                  </w:tcBorders>
                  <w:noWrap/>
                  <w:vAlign w:val="center"/>
                </w:tcPr>
                <w:p w14:paraId="5DBD8E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w:t>
                  </w:r>
                </w:p>
              </w:tc>
              <w:tc>
                <w:tcPr>
                  <w:tcW w:w="638" w:type="dxa"/>
                  <w:tcBorders>
                    <w:tl2br w:val="nil"/>
                    <w:tr2bl w:val="nil"/>
                  </w:tcBorders>
                  <w:noWrap/>
                  <w:vAlign w:val="center"/>
                </w:tcPr>
                <w:p w14:paraId="16B6AE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2.0</w:t>
                  </w:r>
                </w:p>
              </w:tc>
              <w:tc>
                <w:tcPr>
                  <w:tcW w:w="434" w:type="dxa"/>
                  <w:tcBorders>
                    <w:tl2br w:val="nil"/>
                    <w:tr2bl w:val="nil"/>
                  </w:tcBorders>
                  <w:noWrap/>
                  <w:vAlign w:val="center"/>
                </w:tcPr>
                <w:p w14:paraId="65C1CE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center"/>
                    <w:textAlignment w:val="auto"/>
                    <w:rPr>
                      <w:rFonts w:hint="default"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40</w:t>
                  </w:r>
                </w:p>
              </w:tc>
            </w:tr>
            <w:tr w14:paraId="0E63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8514" w:type="dxa"/>
                  <w:gridSpan w:val="13"/>
                  <w:tcBorders>
                    <w:tl2br w:val="nil"/>
                    <w:tr2bl w:val="nil"/>
                  </w:tcBorders>
                  <w:noWrap/>
                  <w:tcMar>
                    <w:left w:w="0" w:type="dxa"/>
                    <w:right w:w="0" w:type="dxa"/>
                  </w:tcMar>
                  <w:vAlign w:val="center"/>
                </w:tcPr>
                <w:p w14:paraId="743C6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leftChars="0" w:right="0" w:rightChars="0"/>
                    <w:jc w:val="both"/>
                    <w:textAlignment w:val="auto"/>
                    <w:rPr>
                      <w:rFonts w:hint="default" w:cs="Times New Roman"/>
                      <w:b/>
                      <w:bCs/>
                      <w:color w:val="auto"/>
                      <w:sz w:val="21"/>
                      <w:szCs w:val="21"/>
                      <w:highlight w:val="none"/>
                      <w:lang w:val="en-US" w:eastAsia="zh-CN"/>
                    </w:rPr>
                  </w:pPr>
                  <w:r>
                    <w:rPr>
                      <w:rFonts w:hint="eastAsia" w:cs="Times New Roman"/>
                      <w:color w:val="auto"/>
                      <w:kern w:val="2"/>
                      <w:sz w:val="24"/>
                      <w:szCs w:val="24"/>
                      <w:highlight w:val="none"/>
                      <w:lang w:val="en-US" w:eastAsia="zh-CN" w:bidi="ar-SA"/>
                    </w:rPr>
                    <w:t>注：</w:t>
                  </w:r>
                  <w:r>
                    <w:rPr>
                      <w:rFonts w:hint="eastAsia" w:ascii="Times New Roman" w:hAnsi="Times New Roman" w:eastAsia="宋体" w:cs="Times New Roman"/>
                      <w:color w:val="auto"/>
                      <w:kern w:val="2"/>
                      <w:sz w:val="24"/>
                      <w:szCs w:val="24"/>
                      <w:highlight w:val="none"/>
                      <w:lang w:val="en-US" w:eastAsia="zh-CN" w:bidi="ar-SA"/>
                    </w:rPr>
                    <w:t>为预防和控制含重金废水对下游纳污河段的影响，根据有关专家和主管部门的建议，重金属离子参照废水直接排放标准执行，即按《电镀水污染物排放标准》（DB44/1597-2015）表2新建项目水污染物排放限值-非珠三角地区执行。</w:t>
                  </w:r>
                </w:p>
              </w:tc>
            </w:tr>
          </w:tbl>
          <w:p w14:paraId="4313CB64">
            <w:pPr>
              <w:numPr>
                <w:ilvl w:val="0"/>
                <w:numId w:val="14"/>
              </w:numPr>
              <w:spacing w:line="240" w:lineRule="auto"/>
              <w:ind w:left="0" w:leftChars="0" w:firstLine="40" w:firstLineChars="0"/>
              <w:jc w:val="center"/>
              <w:rPr>
                <w:rFonts w:hint="default" w:ascii="Times New Roman" w:hAnsi="Times New Roman" w:eastAsia="宋体" w:cs="Times New Roman"/>
                <w:b/>
                <w:bCs/>
                <w:color w:val="auto"/>
                <w:sz w:val="21"/>
                <w:szCs w:val="21"/>
                <w:highlight w:val="none"/>
                <w:lang w:eastAsia="zh-CN"/>
              </w:rPr>
            </w:pPr>
            <w:r>
              <w:rPr>
                <w:rFonts w:hint="eastAsia" w:ascii="Times New Roman" w:hAnsi="Times New Roman" w:cs="Times New Roman"/>
                <w:b/>
                <w:bCs/>
                <w:color w:val="auto"/>
                <w:sz w:val="21"/>
                <w:szCs w:val="21"/>
                <w:highlight w:val="none"/>
                <w:lang w:val="en-US" w:eastAsia="zh-CN"/>
              </w:rPr>
              <w:t xml:space="preserve"> </w:t>
            </w:r>
            <w:r>
              <w:rPr>
                <w:rFonts w:hint="default" w:ascii="Times New Roman" w:hAnsi="Times New Roman" w:cs="Times New Roman"/>
                <w:b/>
                <w:bCs/>
                <w:color w:val="auto"/>
                <w:sz w:val="21"/>
                <w:szCs w:val="21"/>
                <w:highlight w:val="none"/>
              </w:rPr>
              <w:t>园区污水处理厂水污染物排放限值（摘录）</w:t>
            </w:r>
            <w:r>
              <w:rPr>
                <w:rFonts w:hint="eastAsia" w:cs="Times New Roman"/>
                <w:b/>
                <w:bCs/>
                <w:color w:val="auto"/>
                <w:sz w:val="21"/>
                <w:szCs w:val="21"/>
                <w:highlight w:val="none"/>
                <w:lang w:val="en-US" w:eastAsia="zh-CN"/>
              </w:rPr>
              <w:t xml:space="preserve"> 单位：</w:t>
            </w:r>
            <w:r>
              <w:rPr>
                <w:rFonts w:hint="default" w:ascii="Times New Roman" w:hAnsi="Times New Roman" w:cs="Times New Roman"/>
                <w:b/>
                <w:bCs/>
                <w:color w:val="auto"/>
                <w:sz w:val="21"/>
                <w:szCs w:val="21"/>
                <w:highlight w:val="none"/>
              </w:rPr>
              <w:t>mg/L</w:t>
            </w:r>
            <w:r>
              <w:rPr>
                <w:rFonts w:hint="default" w:ascii="Times New Roman" w:hAnsi="Times New Roman" w:cs="Times New Roman"/>
                <w:b/>
                <w:bCs/>
                <w:color w:val="auto"/>
                <w:sz w:val="21"/>
                <w:szCs w:val="21"/>
                <w:highlight w:val="none"/>
                <w:lang w:eastAsia="zh-CN"/>
              </w:rPr>
              <w:t>，</w:t>
            </w:r>
            <w:r>
              <w:rPr>
                <w:rFonts w:hint="default" w:ascii="Times New Roman" w:hAnsi="Times New Roman" w:cs="Times New Roman"/>
                <w:b/>
                <w:bCs/>
                <w:color w:val="auto"/>
                <w:sz w:val="21"/>
                <w:szCs w:val="21"/>
                <w:highlight w:val="none"/>
              </w:rPr>
              <w:t>pH为无量纲</w:t>
            </w:r>
          </w:p>
          <w:tbl>
            <w:tblPr>
              <w:tblStyle w:val="4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622"/>
              <w:gridCol w:w="557"/>
              <w:gridCol w:w="962"/>
              <w:gridCol w:w="785"/>
              <w:gridCol w:w="656"/>
              <w:gridCol w:w="557"/>
              <w:gridCol w:w="632"/>
              <w:gridCol w:w="632"/>
              <w:gridCol w:w="701"/>
              <w:gridCol w:w="512"/>
              <w:gridCol w:w="709"/>
            </w:tblGrid>
            <w:tr w14:paraId="74E2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974" w:type="pct"/>
                  <w:shd w:val="clear" w:color="auto" w:fill="auto"/>
                  <w:tcMar>
                    <w:top w:w="0" w:type="dxa"/>
                    <w:left w:w="0" w:type="dxa"/>
                    <w:bottom w:w="0" w:type="dxa"/>
                    <w:right w:w="0" w:type="dxa"/>
                  </w:tcMar>
                  <w:vAlign w:val="center"/>
                </w:tcPr>
                <w:p w14:paraId="66EC1A60">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执行标准</w:t>
                  </w:r>
                </w:p>
              </w:tc>
              <w:tc>
                <w:tcPr>
                  <w:tcW w:w="334" w:type="pct"/>
                  <w:shd w:val="clear" w:color="auto" w:fill="auto"/>
                  <w:tcMar>
                    <w:top w:w="0" w:type="dxa"/>
                    <w:left w:w="0" w:type="dxa"/>
                    <w:bottom w:w="0" w:type="dxa"/>
                    <w:right w:w="0" w:type="dxa"/>
                  </w:tcMar>
                  <w:vAlign w:val="center"/>
                </w:tcPr>
                <w:p w14:paraId="1A92D6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pH</w:t>
                  </w:r>
                </w:p>
              </w:tc>
              <w:tc>
                <w:tcPr>
                  <w:tcW w:w="577" w:type="pct"/>
                  <w:shd w:val="clear" w:color="auto" w:fill="auto"/>
                  <w:tcMar>
                    <w:top w:w="0" w:type="dxa"/>
                    <w:left w:w="0" w:type="dxa"/>
                    <w:bottom w:w="0" w:type="dxa"/>
                    <w:right w:w="0" w:type="dxa"/>
                  </w:tcMar>
                  <w:vAlign w:val="center"/>
                </w:tcPr>
                <w:p w14:paraId="7F78AA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COD</w:t>
                  </w:r>
                </w:p>
              </w:tc>
              <w:tc>
                <w:tcPr>
                  <w:tcW w:w="471" w:type="pct"/>
                  <w:shd w:val="clear" w:color="auto" w:fill="auto"/>
                  <w:tcMar>
                    <w:top w:w="0" w:type="dxa"/>
                    <w:left w:w="0" w:type="dxa"/>
                    <w:bottom w:w="0" w:type="dxa"/>
                    <w:right w:w="0" w:type="dxa"/>
                  </w:tcMar>
                  <w:vAlign w:val="center"/>
                </w:tcPr>
                <w:p w14:paraId="69BEA3B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BOD</w:t>
                  </w:r>
                  <w:r>
                    <w:rPr>
                      <w:rFonts w:hint="default" w:ascii="Times New Roman" w:hAnsi="Times New Roman" w:eastAsia="宋体" w:cs="Times New Roman"/>
                      <w:b/>
                      <w:bCs/>
                      <w:i w:val="0"/>
                      <w:iCs w:val="0"/>
                      <w:color w:val="auto"/>
                      <w:kern w:val="0"/>
                      <w:sz w:val="21"/>
                      <w:szCs w:val="21"/>
                      <w:u w:val="none"/>
                      <w:vertAlign w:val="subscript"/>
                      <w:lang w:val="en-US" w:eastAsia="zh-CN" w:bidi="ar"/>
                    </w:rPr>
                    <w:t>5</w:t>
                  </w:r>
                </w:p>
              </w:tc>
              <w:tc>
                <w:tcPr>
                  <w:tcW w:w="393" w:type="pct"/>
                  <w:shd w:val="clear" w:color="auto" w:fill="auto"/>
                  <w:tcMar>
                    <w:top w:w="0" w:type="dxa"/>
                    <w:left w:w="0" w:type="dxa"/>
                    <w:bottom w:w="0" w:type="dxa"/>
                    <w:right w:w="0" w:type="dxa"/>
                  </w:tcMar>
                  <w:vAlign w:val="center"/>
                </w:tcPr>
                <w:p w14:paraId="167C715F">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SS</w:t>
                  </w:r>
                </w:p>
              </w:tc>
              <w:tc>
                <w:tcPr>
                  <w:tcW w:w="334" w:type="pct"/>
                  <w:shd w:val="clear" w:color="auto" w:fill="auto"/>
                  <w:tcMar>
                    <w:top w:w="0" w:type="dxa"/>
                    <w:left w:w="0" w:type="dxa"/>
                    <w:bottom w:w="0" w:type="dxa"/>
                    <w:right w:w="0" w:type="dxa"/>
                  </w:tcMar>
                  <w:vAlign w:val="center"/>
                </w:tcPr>
                <w:p w14:paraId="513E988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氨氮</w:t>
                  </w:r>
                </w:p>
              </w:tc>
              <w:tc>
                <w:tcPr>
                  <w:tcW w:w="379" w:type="pct"/>
                  <w:shd w:val="clear" w:color="auto" w:fill="auto"/>
                  <w:tcMar>
                    <w:top w:w="0" w:type="dxa"/>
                    <w:left w:w="0" w:type="dxa"/>
                    <w:bottom w:w="0" w:type="dxa"/>
                    <w:right w:w="0" w:type="dxa"/>
                  </w:tcMar>
                  <w:vAlign w:val="center"/>
                </w:tcPr>
                <w:p w14:paraId="0E64F2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总氮</w:t>
                  </w:r>
                </w:p>
              </w:tc>
              <w:tc>
                <w:tcPr>
                  <w:tcW w:w="379" w:type="pct"/>
                  <w:shd w:val="clear" w:color="auto" w:fill="auto"/>
                  <w:tcMar>
                    <w:top w:w="0" w:type="dxa"/>
                    <w:left w:w="0" w:type="dxa"/>
                    <w:bottom w:w="0" w:type="dxa"/>
                    <w:right w:w="0" w:type="dxa"/>
                  </w:tcMar>
                  <w:vAlign w:val="center"/>
                </w:tcPr>
                <w:p w14:paraId="31D66C0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TP</w:t>
                  </w:r>
                </w:p>
              </w:tc>
              <w:tc>
                <w:tcPr>
                  <w:tcW w:w="421" w:type="pct"/>
                  <w:shd w:val="clear" w:color="auto" w:fill="auto"/>
                  <w:tcMar>
                    <w:top w:w="0" w:type="dxa"/>
                    <w:left w:w="0" w:type="dxa"/>
                    <w:bottom w:w="0" w:type="dxa"/>
                    <w:right w:w="0" w:type="dxa"/>
                  </w:tcMar>
                  <w:vAlign w:val="center"/>
                </w:tcPr>
                <w:p w14:paraId="2A9016F9">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石油类</w:t>
                  </w:r>
                </w:p>
              </w:tc>
              <w:tc>
                <w:tcPr>
                  <w:tcW w:w="307" w:type="pct"/>
                  <w:shd w:val="clear" w:color="auto" w:fill="auto"/>
                  <w:tcMar>
                    <w:top w:w="0" w:type="dxa"/>
                    <w:left w:w="0" w:type="dxa"/>
                    <w:bottom w:w="0" w:type="dxa"/>
                    <w:right w:w="0" w:type="dxa"/>
                  </w:tcMar>
                  <w:vAlign w:val="center"/>
                </w:tcPr>
                <w:p w14:paraId="0591145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铜</w:t>
                  </w:r>
                </w:p>
              </w:tc>
              <w:tc>
                <w:tcPr>
                  <w:tcW w:w="425" w:type="pct"/>
                  <w:shd w:val="clear" w:color="auto" w:fill="auto"/>
                  <w:tcMar>
                    <w:top w:w="0" w:type="dxa"/>
                    <w:left w:w="0" w:type="dxa"/>
                    <w:bottom w:w="0" w:type="dxa"/>
                    <w:right w:w="0" w:type="dxa"/>
                  </w:tcMar>
                  <w:vAlign w:val="center"/>
                </w:tcPr>
                <w:p w14:paraId="44F0CE1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锌</w:t>
                  </w:r>
                </w:p>
              </w:tc>
            </w:tr>
            <w:tr w14:paraId="2F4C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74" w:type="pct"/>
                  <w:shd w:val="clear" w:color="auto" w:fill="auto"/>
                  <w:tcMar>
                    <w:top w:w="0" w:type="dxa"/>
                    <w:left w:w="0" w:type="dxa"/>
                    <w:bottom w:w="0" w:type="dxa"/>
                    <w:right w:w="0" w:type="dxa"/>
                  </w:tcMar>
                  <w:vAlign w:val="center"/>
                </w:tcPr>
                <w:p w14:paraId="6003FCFC">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GB18918-2002 </w:t>
                  </w:r>
                  <w:r>
                    <w:rPr>
                      <w:rFonts w:hint="eastAsia" w:ascii="Times New Roman" w:hAnsi="Times New Roman" w:eastAsia="宋体" w:cs="Times New Roman"/>
                      <w:i w:val="0"/>
                      <w:iCs w:val="0"/>
                      <w:color w:val="auto"/>
                      <w:kern w:val="0"/>
                      <w:sz w:val="21"/>
                      <w:szCs w:val="21"/>
                      <w:u w:val="none"/>
                      <w:lang w:val="en-US" w:eastAsia="zh-CN" w:bidi="ar"/>
                    </w:rPr>
                    <w:t>及其修改单</w:t>
                  </w:r>
                  <w:r>
                    <w:rPr>
                      <w:rFonts w:hint="eastAsia" w:ascii="宋体" w:hAnsi="宋体" w:eastAsia="宋体" w:cs="宋体"/>
                      <w:i w:val="0"/>
                      <w:iCs w:val="0"/>
                      <w:color w:val="auto"/>
                      <w:kern w:val="0"/>
                      <w:sz w:val="21"/>
                      <w:szCs w:val="21"/>
                      <w:u w:val="none"/>
                      <w:lang w:val="en-US" w:eastAsia="zh-CN" w:bidi="ar"/>
                    </w:rPr>
                    <w:t>一级</w:t>
                  </w:r>
                  <w:r>
                    <w:rPr>
                      <w:rFonts w:hint="default" w:ascii="Times New Roman" w:hAnsi="Times New Roman" w:eastAsia="宋体" w:cs="Times New Roman"/>
                      <w:i w:val="0"/>
                      <w:iCs w:val="0"/>
                      <w:color w:val="auto"/>
                      <w:kern w:val="0"/>
                      <w:sz w:val="21"/>
                      <w:szCs w:val="21"/>
                      <w:u w:val="none"/>
                      <w:lang w:val="en-US" w:eastAsia="zh-CN" w:bidi="ar"/>
                    </w:rPr>
                    <w:t xml:space="preserve"> A </w:t>
                  </w:r>
                  <w:r>
                    <w:rPr>
                      <w:rFonts w:hint="eastAsia" w:ascii="宋体" w:hAnsi="宋体" w:eastAsia="宋体" w:cs="宋体"/>
                      <w:i w:val="0"/>
                      <w:iCs w:val="0"/>
                      <w:color w:val="auto"/>
                      <w:kern w:val="0"/>
                      <w:sz w:val="21"/>
                      <w:szCs w:val="21"/>
                      <w:u w:val="none"/>
                      <w:lang w:val="en-US" w:eastAsia="zh-CN" w:bidi="ar"/>
                    </w:rPr>
                    <w:t>标准</w:t>
                  </w:r>
                </w:p>
              </w:tc>
              <w:tc>
                <w:tcPr>
                  <w:tcW w:w="334" w:type="pct"/>
                  <w:shd w:val="clear" w:color="auto" w:fill="auto"/>
                  <w:tcMar>
                    <w:top w:w="0" w:type="dxa"/>
                    <w:left w:w="0" w:type="dxa"/>
                    <w:bottom w:w="0" w:type="dxa"/>
                    <w:right w:w="0" w:type="dxa"/>
                  </w:tcMar>
                  <w:vAlign w:val="center"/>
                </w:tcPr>
                <w:p w14:paraId="19F4834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9</w:t>
                  </w:r>
                </w:p>
              </w:tc>
              <w:tc>
                <w:tcPr>
                  <w:tcW w:w="577" w:type="pct"/>
                  <w:shd w:val="clear" w:color="auto" w:fill="auto"/>
                  <w:tcMar>
                    <w:top w:w="0" w:type="dxa"/>
                    <w:left w:w="0" w:type="dxa"/>
                    <w:bottom w:w="0" w:type="dxa"/>
                    <w:right w:w="0" w:type="dxa"/>
                  </w:tcMar>
                  <w:vAlign w:val="center"/>
                </w:tcPr>
                <w:p w14:paraId="199755B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471" w:type="pct"/>
                  <w:shd w:val="clear" w:color="auto" w:fill="auto"/>
                  <w:tcMar>
                    <w:top w:w="0" w:type="dxa"/>
                    <w:left w:w="0" w:type="dxa"/>
                    <w:bottom w:w="0" w:type="dxa"/>
                    <w:right w:w="0" w:type="dxa"/>
                  </w:tcMar>
                  <w:vAlign w:val="center"/>
                </w:tcPr>
                <w:p w14:paraId="55C94DCE">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93" w:type="pct"/>
                  <w:shd w:val="clear" w:color="auto" w:fill="auto"/>
                  <w:tcMar>
                    <w:top w:w="0" w:type="dxa"/>
                    <w:left w:w="0" w:type="dxa"/>
                    <w:bottom w:w="0" w:type="dxa"/>
                    <w:right w:w="0" w:type="dxa"/>
                  </w:tcMar>
                  <w:vAlign w:val="center"/>
                </w:tcPr>
                <w:p w14:paraId="32586B4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34" w:type="pct"/>
                  <w:shd w:val="clear" w:color="auto" w:fill="auto"/>
                  <w:tcMar>
                    <w:top w:w="0" w:type="dxa"/>
                    <w:left w:w="0" w:type="dxa"/>
                    <w:bottom w:w="0" w:type="dxa"/>
                    <w:right w:w="0" w:type="dxa"/>
                  </w:tcMar>
                  <w:vAlign w:val="center"/>
                </w:tcPr>
                <w:p w14:paraId="5C950C9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379" w:type="pct"/>
                  <w:shd w:val="clear" w:color="auto" w:fill="auto"/>
                  <w:tcMar>
                    <w:top w:w="0" w:type="dxa"/>
                    <w:left w:w="0" w:type="dxa"/>
                    <w:bottom w:w="0" w:type="dxa"/>
                    <w:right w:w="0" w:type="dxa"/>
                  </w:tcMar>
                  <w:vAlign w:val="center"/>
                </w:tcPr>
                <w:p w14:paraId="15FE91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379" w:type="pct"/>
                  <w:shd w:val="clear" w:color="auto" w:fill="auto"/>
                  <w:tcMar>
                    <w:top w:w="0" w:type="dxa"/>
                    <w:left w:w="0" w:type="dxa"/>
                    <w:bottom w:w="0" w:type="dxa"/>
                    <w:right w:w="0" w:type="dxa"/>
                  </w:tcMar>
                  <w:vAlign w:val="center"/>
                </w:tcPr>
                <w:p w14:paraId="35652D9B">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421" w:type="pct"/>
                  <w:shd w:val="clear" w:color="auto" w:fill="auto"/>
                  <w:tcMar>
                    <w:top w:w="0" w:type="dxa"/>
                    <w:left w:w="0" w:type="dxa"/>
                    <w:bottom w:w="0" w:type="dxa"/>
                    <w:right w:w="0" w:type="dxa"/>
                  </w:tcMar>
                  <w:vAlign w:val="center"/>
                </w:tcPr>
                <w:p w14:paraId="0E5357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307" w:type="pct"/>
                  <w:shd w:val="clear" w:color="auto" w:fill="auto"/>
                  <w:tcMar>
                    <w:top w:w="0" w:type="dxa"/>
                    <w:left w:w="0" w:type="dxa"/>
                    <w:bottom w:w="0" w:type="dxa"/>
                    <w:right w:w="0" w:type="dxa"/>
                  </w:tcMar>
                  <w:vAlign w:val="center"/>
                </w:tcPr>
                <w:p w14:paraId="77D0022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425" w:type="pct"/>
                  <w:shd w:val="clear" w:color="auto" w:fill="auto"/>
                  <w:tcMar>
                    <w:top w:w="0" w:type="dxa"/>
                    <w:left w:w="0" w:type="dxa"/>
                    <w:bottom w:w="0" w:type="dxa"/>
                    <w:right w:w="0" w:type="dxa"/>
                  </w:tcMar>
                  <w:vAlign w:val="center"/>
                </w:tcPr>
                <w:p w14:paraId="07AFB943">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6E49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0" w:hRule="atLeast"/>
                <w:jc w:val="center"/>
              </w:trPr>
              <w:tc>
                <w:tcPr>
                  <w:tcW w:w="974" w:type="pct"/>
                  <w:shd w:val="clear" w:color="auto" w:fill="auto"/>
                  <w:tcMar>
                    <w:top w:w="0" w:type="dxa"/>
                    <w:left w:w="0" w:type="dxa"/>
                    <w:bottom w:w="0" w:type="dxa"/>
                    <w:right w:w="0" w:type="dxa"/>
                  </w:tcMar>
                  <w:vAlign w:val="center"/>
                </w:tcPr>
                <w:p w14:paraId="777CE6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DB44/26-2001 </w:t>
                  </w:r>
                  <w:r>
                    <w:rPr>
                      <w:rFonts w:hint="eastAsia" w:ascii="宋体" w:hAnsi="宋体" w:eastAsia="宋体" w:cs="宋体"/>
                      <w:i w:val="0"/>
                      <w:iCs w:val="0"/>
                      <w:color w:val="auto"/>
                      <w:kern w:val="0"/>
                      <w:sz w:val="21"/>
                      <w:szCs w:val="21"/>
                      <w:u w:val="none"/>
                      <w:lang w:val="en-US" w:eastAsia="zh-CN" w:bidi="ar"/>
                    </w:rPr>
                    <w:t>第二时段一级标准</w:t>
                  </w:r>
                </w:p>
              </w:tc>
              <w:tc>
                <w:tcPr>
                  <w:tcW w:w="334" w:type="pct"/>
                  <w:shd w:val="clear" w:color="auto" w:fill="auto"/>
                  <w:tcMar>
                    <w:top w:w="0" w:type="dxa"/>
                    <w:left w:w="0" w:type="dxa"/>
                    <w:bottom w:w="0" w:type="dxa"/>
                    <w:right w:w="0" w:type="dxa"/>
                  </w:tcMar>
                  <w:vAlign w:val="center"/>
                </w:tcPr>
                <w:p w14:paraId="3F8F40E7">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9</w:t>
                  </w:r>
                </w:p>
              </w:tc>
              <w:tc>
                <w:tcPr>
                  <w:tcW w:w="577" w:type="pct"/>
                  <w:shd w:val="clear" w:color="auto" w:fill="auto"/>
                  <w:tcMar>
                    <w:top w:w="0" w:type="dxa"/>
                    <w:left w:w="0" w:type="dxa"/>
                    <w:bottom w:w="0" w:type="dxa"/>
                    <w:right w:w="0" w:type="dxa"/>
                  </w:tcMar>
                  <w:vAlign w:val="center"/>
                </w:tcPr>
                <w:p w14:paraId="62DB629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471" w:type="pct"/>
                  <w:shd w:val="clear" w:color="auto" w:fill="auto"/>
                  <w:tcMar>
                    <w:top w:w="0" w:type="dxa"/>
                    <w:left w:w="0" w:type="dxa"/>
                    <w:bottom w:w="0" w:type="dxa"/>
                    <w:right w:w="0" w:type="dxa"/>
                  </w:tcMar>
                  <w:vAlign w:val="center"/>
                </w:tcPr>
                <w:p w14:paraId="100769E1">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393" w:type="pct"/>
                  <w:shd w:val="clear" w:color="auto" w:fill="auto"/>
                  <w:tcMar>
                    <w:top w:w="0" w:type="dxa"/>
                    <w:left w:w="0" w:type="dxa"/>
                    <w:bottom w:w="0" w:type="dxa"/>
                    <w:right w:w="0" w:type="dxa"/>
                  </w:tcMar>
                  <w:vAlign w:val="center"/>
                </w:tcPr>
                <w:p w14:paraId="6A6F980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334" w:type="pct"/>
                  <w:shd w:val="clear" w:color="auto" w:fill="auto"/>
                  <w:tcMar>
                    <w:top w:w="0" w:type="dxa"/>
                    <w:left w:w="0" w:type="dxa"/>
                    <w:bottom w:w="0" w:type="dxa"/>
                    <w:right w:w="0" w:type="dxa"/>
                  </w:tcMar>
                  <w:vAlign w:val="center"/>
                </w:tcPr>
                <w:p w14:paraId="6446688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79" w:type="pct"/>
                  <w:shd w:val="clear" w:color="auto" w:fill="auto"/>
                  <w:tcMar>
                    <w:top w:w="0" w:type="dxa"/>
                    <w:left w:w="0" w:type="dxa"/>
                    <w:bottom w:w="0" w:type="dxa"/>
                    <w:right w:w="0" w:type="dxa"/>
                  </w:tcMar>
                  <w:vAlign w:val="center"/>
                </w:tcPr>
                <w:p w14:paraId="3F0E08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379" w:type="pct"/>
                  <w:shd w:val="clear" w:color="auto" w:fill="auto"/>
                  <w:tcMar>
                    <w:top w:w="0" w:type="dxa"/>
                    <w:left w:w="0" w:type="dxa"/>
                    <w:bottom w:w="0" w:type="dxa"/>
                    <w:right w:w="0" w:type="dxa"/>
                  </w:tcMar>
                  <w:vAlign w:val="center"/>
                </w:tcPr>
                <w:p w14:paraId="09AFE5E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421" w:type="pct"/>
                  <w:shd w:val="clear" w:color="auto" w:fill="auto"/>
                  <w:tcMar>
                    <w:top w:w="0" w:type="dxa"/>
                    <w:left w:w="0" w:type="dxa"/>
                    <w:bottom w:w="0" w:type="dxa"/>
                    <w:right w:w="0" w:type="dxa"/>
                  </w:tcMar>
                  <w:vAlign w:val="center"/>
                </w:tcPr>
                <w:p w14:paraId="65A1F69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307" w:type="pct"/>
                  <w:shd w:val="clear" w:color="auto" w:fill="auto"/>
                  <w:tcMar>
                    <w:top w:w="0" w:type="dxa"/>
                    <w:left w:w="0" w:type="dxa"/>
                    <w:bottom w:w="0" w:type="dxa"/>
                    <w:right w:w="0" w:type="dxa"/>
                  </w:tcMar>
                  <w:vAlign w:val="center"/>
                </w:tcPr>
                <w:p w14:paraId="2729C13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425" w:type="pct"/>
                  <w:shd w:val="clear" w:color="auto" w:fill="auto"/>
                  <w:tcMar>
                    <w:top w:w="0" w:type="dxa"/>
                    <w:left w:w="0" w:type="dxa"/>
                    <w:bottom w:w="0" w:type="dxa"/>
                    <w:right w:w="0" w:type="dxa"/>
                  </w:tcMar>
                  <w:vAlign w:val="center"/>
                </w:tcPr>
                <w:p w14:paraId="200FCEE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r>
            <w:tr w14:paraId="4126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5" w:hRule="atLeast"/>
                <w:jc w:val="center"/>
              </w:trPr>
              <w:tc>
                <w:tcPr>
                  <w:tcW w:w="974" w:type="pct"/>
                  <w:shd w:val="clear" w:color="auto" w:fill="auto"/>
                  <w:tcMar>
                    <w:top w:w="0" w:type="dxa"/>
                    <w:left w:w="0" w:type="dxa"/>
                    <w:bottom w:w="0" w:type="dxa"/>
                    <w:right w:w="0" w:type="dxa"/>
                  </w:tcMar>
                  <w:vAlign w:val="center"/>
                </w:tcPr>
                <w:p w14:paraId="4DDAE2CD">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污水厂执行（两标准较严者）</w:t>
                  </w:r>
                </w:p>
              </w:tc>
              <w:tc>
                <w:tcPr>
                  <w:tcW w:w="334" w:type="pct"/>
                  <w:shd w:val="clear" w:color="auto" w:fill="auto"/>
                  <w:tcMar>
                    <w:top w:w="0" w:type="dxa"/>
                    <w:left w:w="0" w:type="dxa"/>
                    <w:bottom w:w="0" w:type="dxa"/>
                    <w:right w:w="0" w:type="dxa"/>
                  </w:tcMar>
                  <w:vAlign w:val="center"/>
                </w:tcPr>
                <w:p w14:paraId="4CA48A0A">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9</w:t>
                  </w:r>
                </w:p>
              </w:tc>
              <w:tc>
                <w:tcPr>
                  <w:tcW w:w="577" w:type="pct"/>
                  <w:shd w:val="clear" w:color="auto" w:fill="auto"/>
                  <w:tcMar>
                    <w:top w:w="0" w:type="dxa"/>
                    <w:left w:w="0" w:type="dxa"/>
                    <w:bottom w:w="0" w:type="dxa"/>
                    <w:right w:w="0" w:type="dxa"/>
                  </w:tcMar>
                  <w:vAlign w:val="center"/>
                </w:tcPr>
                <w:p w14:paraId="65E87E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471" w:type="pct"/>
                  <w:shd w:val="clear" w:color="auto" w:fill="auto"/>
                  <w:tcMar>
                    <w:top w:w="0" w:type="dxa"/>
                    <w:left w:w="0" w:type="dxa"/>
                    <w:bottom w:w="0" w:type="dxa"/>
                    <w:right w:w="0" w:type="dxa"/>
                  </w:tcMar>
                  <w:vAlign w:val="center"/>
                </w:tcPr>
                <w:p w14:paraId="3C4B676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93" w:type="pct"/>
                  <w:shd w:val="clear" w:color="auto" w:fill="auto"/>
                  <w:tcMar>
                    <w:top w:w="0" w:type="dxa"/>
                    <w:left w:w="0" w:type="dxa"/>
                    <w:bottom w:w="0" w:type="dxa"/>
                    <w:right w:w="0" w:type="dxa"/>
                  </w:tcMar>
                  <w:vAlign w:val="center"/>
                </w:tcPr>
                <w:p w14:paraId="18FF1CC6">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34" w:type="pct"/>
                  <w:shd w:val="clear" w:color="auto" w:fill="auto"/>
                  <w:tcMar>
                    <w:top w:w="0" w:type="dxa"/>
                    <w:left w:w="0" w:type="dxa"/>
                    <w:bottom w:w="0" w:type="dxa"/>
                    <w:right w:w="0" w:type="dxa"/>
                  </w:tcMar>
                  <w:vAlign w:val="center"/>
                </w:tcPr>
                <w:p w14:paraId="2359F514">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379" w:type="pct"/>
                  <w:shd w:val="clear" w:color="auto" w:fill="auto"/>
                  <w:tcMar>
                    <w:top w:w="0" w:type="dxa"/>
                    <w:left w:w="0" w:type="dxa"/>
                    <w:bottom w:w="0" w:type="dxa"/>
                    <w:right w:w="0" w:type="dxa"/>
                  </w:tcMar>
                  <w:vAlign w:val="center"/>
                </w:tcPr>
                <w:p w14:paraId="1AFCF91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379" w:type="pct"/>
                  <w:shd w:val="clear" w:color="auto" w:fill="auto"/>
                  <w:tcMar>
                    <w:top w:w="0" w:type="dxa"/>
                    <w:left w:w="0" w:type="dxa"/>
                    <w:bottom w:w="0" w:type="dxa"/>
                    <w:right w:w="0" w:type="dxa"/>
                  </w:tcMar>
                  <w:vAlign w:val="center"/>
                </w:tcPr>
                <w:p w14:paraId="2EEF9F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421" w:type="pct"/>
                  <w:shd w:val="clear" w:color="auto" w:fill="auto"/>
                  <w:tcMar>
                    <w:top w:w="0" w:type="dxa"/>
                    <w:left w:w="0" w:type="dxa"/>
                    <w:bottom w:w="0" w:type="dxa"/>
                    <w:right w:w="0" w:type="dxa"/>
                  </w:tcMar>
                  <w:vAlign w:val="center"/>
                </w:tcPr>
                <w:p w14:paraId="6ADFF4E5">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307" w:type="pct"/>
                  <w:shd w:val="clear" w:color="auto" w:fill="auto"/>
                  <w:tcMar>
                    <w:top w:w="0" w:type="dxa"/>
                    <w:left w:w="0" w:type="dxa"/>
                    <w:bottom w:w="0" w:type="dxa"/>
                    <w:right w:w="0" w:type="dxa"/>
                  </w:tcMar>
                  <w:vAlign w:val="center"/>
                </w:tcPr>
                <w:p w14:paraId="569100B8">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425" w:type="pct"/>
                  <w:shd w:val="clear" w:color="auto" w:fill="auto"/>
                  <w:tcMar>
                    <w:top w:w="0" w:type="dxa"/>
                    <w:left w:w="0" w:type="dxa"/>
                    <w:bottom w:w="0" w:type="dxa"/>
                    <w:right w:w="0" w:type="dxa"/>
                  </w:tcMar>
                  <w:vAlign w:val="center"/>
                </w:tcPr>
                <w:p w14:paraId="479C6602">
                  <w:pPr>
                    <w:keepNext w:val="0"/>
                    <w:keepLines w:val="0"/>
                    <w:widowControl/>
                    <w:suppressLineNumbers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bl>
          <w:p w14:paraId="0769F190">
            <w:pPr>
              <w:spacing w:line="120" w:lineRule="auto"/>
              <w:rPr>
                <w:rFonts w:hint="default" w:ascii="Times New Roman" w:hAnsi="Times New Roman" w:cs="Times New Roman"/>
                <w:color w:val="auto"/>
                <w:sz w:val="20"/>
                <w:szCs w:val="20"/>
                <w:highlight w:val="none"/>
              </w:rPr>
            </w:pPr>
          </w:p>
          <w:p w14:paraId="751C30FC">
            <w:pPr>
              <w:spacing w:line="360" w:lineRule="auto"/>
              <w:ind w:firstLine="482" w:firstLineChars="200"/>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3、噪声排放标准</w:t>
            </w:r>
          </w:p>
          <w:p w14:paraId="5C26BD33">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营运期</w:t>
            </w:r>
            <w:r>
              <w:rPr>
                <w:rFonts w:hint="eastAsia" w:ascii="Times New Roman" w:hAnsi="Times New Roman" w:cs="Times New Roman"/>
                <w:color w:val="auto"/>
                <w:sz w:val="24"/>
                <w:highlight w:val="none"/>
                <w:lang w:val="en-US" w:eastAsia="zh-CN"/>
              </w:rPr>
              <w:t>项目</w:t>
            </w:r>
            <w:r>
              <w:rPr>
                <w:rFonts w:hint="eastAsia" w:cs="Times New Roman"/>
                <w:color w:val="auto"/>
                <w:sz w:val="24"/>
                <w:highlight w:val="none"/>
                <w:lang w:val="en-US" w:eastAsia="zh-CN"/>
              </w:rPr>
              <w:t>南</w:t>
            </w:r>
            <w:r>
              <w:rPr>
                <w:rFonts w:hint="eastAsia" w:ascii="Times New Roman" w:hAnsi="Times New Roman" w:cs="Times New Roman"/>
                <w:color w:val="auto"/>
                <w:sz w:val="24"/>
                <w:highlight w:val="none"/>
                <w:lang w:val="en-US" w:eastAsia="zh-CN"/>
              </w:rPr>
              <w:t>面</w:t>
            </w:r>
            <w:r>
              <w:rPr>
                <w:rFonts w:hint="default" w:ascii="Times New Roman" w:hAnsi="Times New Roman" w:cs="Times New Roman"/>
                <w:color w:val="auto"/>
                <w:sz w:val="24"/>
                <w:highlight w:val="none"/>
              </w:rPr>
              <w:t>厂界噪声执行《工业企业厂界环境噪声排放标准》（GB12348-2008）中的</w:t>
            </w:r>
            <w:r>
              <w:rPr>
                <w:rFonts w:hint="eastAsia" w:ascii="Times New Roman" w:hAnsi="Times New Roman" w:cs="Times New Roman"/>
                <w:color w:val="auto"/>
                <w:sz w:val="24"/>
                <w:highlight w:val="none"/>
                <w:lang w:val="en-US" w:eastAsia="zh-CN"/>
              </w:rPr>
              <w:t>4</w:t>
            </w:r>
            <w:r>
              <w:rPr>
                <w:rFonts w:hint="eastAsia" w:cs="Times New Roman"/>
                <w:color w:val="auto"/>
                <w:sz w:val="24"/>
                <w:highlight w:val="none"/>
                <w:lang w:val="en-US" w:eastAsia="zh-CN"/>
              </w:rPr>
              <w:t>a</w:t>
            </w:r>
            <w:r>
              <w:rPr>
                <w:rFonts w:hint="default" w:ascii="Times New Roman" w:hAnsi="Times New Roman" w:cs="Times New Roman"/>
                <w:color w:val="auto"/>
                <w:sz w:val="24"/>
                <w:highlight w:val="none"/>
              </w:rPr>
              <w:t>类标准</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pacing w:val="-1"/>
                <w:sz w:val="24"/>
                <w:szCs w:val="24"/>
                <w:highlight w:val="none"/>
              </w:rPr>
              <w:t>即昼间</w:t>
            </w:r>
            <w:r>
              <w:rPr>
                <w:rFonts w:hint="default" w:ascii="Times New Roman" w:hAnsi="Times New Roman" w:eastAsia="Times New Roman" w:cs="Times New Roman"/>
                <w:color w:val="auto"/>
                <w:spacing w:val="-1"/>
                <w:sz w:val="24"/>
                <w:szCs w:val="24"/>
                <w:highlight w:val="none"/>
              </w:rPr>
              <w:t>≤</w:t>
            </w:r>
            <w:r>
              <w:rPr>
                <w:rFonts w:hint="eastAsia" w:ascii="Times New Roman" w:hAnsi="Times New Roman" w:eastAsia="宋体" w:cs="Times New Roman"/>
                <w:color w:val="auto"/>
                <w:spacing w:val="-1"/>
                <w:sz w:val="24"/>
                <w:szCs w:val="24"/>
                <w:highlight w:val="none"/>
                <w:lang w:val="en-US" w:eastAsia="zh-CN"/>
              </w:rPr>
              <w:t>7</w:t>
            </w:r>
            <w:r>
              <w:rPr>
                <w:rFonts w:hint="default" w:ascii="Times New Roman" w:hAnsi="Times New Roman" w:eastAsia="Times New Roman" w:cs="Times New Roman"/>
                <w:color w:val="auto"/>
                <w:spacing w:val="-1"/>
                <w:sz w:val="24"/>
                <w:szCs w:val="24"/>
                <w:highlight w:val="none"/>
              </w:rPr>
              <w:t>0dB</w:t>
            </w:r>
            <w:r>
              <w:rPr>
                <w:rFonts w:hint="default" w:ascii="Times New Roman" w:hAnsi="Times New Roman" w:cs="Times New Roman"/>
                <w:color w:val="auto"/>
                <w:spacing w:val="-1"/>
                <w:sz w:val="24"/>
                <w:szCs w:val="24"/>
                <w:highlight w:val="none"/>
              </w:rPr>
              <w:t>（</w:t>
            </w:r>
            <w:r>
              <w:rPr>
                <w:rFonts w:hint="default" w:ascii="Times New Roman" w:hAnsi="Times New Roman" w:eastAsia="Times New Roman" w:cs="Times New Roman"/>
                <w:color w:val="auto"/>
                <w:spacing w:val="-1"/>
                <w:sz w:val="24"/>
                <w:szCs w:val="24"/>
                <w:highlight w:val="none"/>
              </w:rPr>
              <w:t>A</w:t>
            </w:r>
            <w:r>
              <w:rPr>
                <w:rFonts w:hint="default" w:ascii="Times New Roman" w:hAnsi="Times New Roman" w:cs="Times New Roman"/>
                <w:color w:val="auto"/>
                <w:spacing w:val="9"/>
                <w:sz w:val="24"/>
                <w:szCs w:val="24"/>
                <w:highlight w:val="none"/>
              </w:rPr>
              <w:t>）</w:t>
            </w:r>
            <w:r>
              <w:rPr>
                <w:rFonts w:hint="eastAsia" w:ascii="Times New Roman" w:hAnsi="Times New Roman" w:cs="Times New Roman"/>
                <w:color w:val="auto"/>
                <w:spacing w:val="-1"/>
                <w:sz w:val="24"/>
                <w:szCs w:val="24"/>
                <w:highlight w:val="none"/>
                <w:lang w:eastAsia="zh-CN"/>
              </w:rPr>
              <w:t>；</w:t>
            </w:r>
            <w:r>
              <w:rPr>
                <w:rFonts w:hint="eastAsia" w:cs="Times New Roman"/>
                <w:color w:val="auto"/>
                <w:spacing w:val="-1"/>
                <w:sz w:val="24"/>
                <w:szCs w:val="24"/>
                <w:highlight w:val="none"/>
                <w:lang w:val="en-US" w:eastAsia="zh-CN"/>
              </w:rPr>
              <w:t>东</w:t>
            </w:r>
            <w:r>
              <w:rPr>
                <w:rFonts w:hint="eastAsia" w:ascii="Times New Roman" w:hAnsi="Times New Roman" w:cs="Times New Roman"/>
                <w:color w:val="auto"/>
                <w:spacing w:val="-1"/>
                <w:sz w:val="24"/>
                <w:szCs w:val="24"/>
                <w:highlight w:val="none"/>
                <w:lang w:val="en-US" w:eastAsia="zh-CN"/>
              </w:rPr>
              <w:t>、西、北</w:t>
            </w:r>
            <w:r>
              <w:rPr>
                <w:rFonts w:hint="eastAsia" w:ascii="Times New Roman" w:hAnsi="Times New Roman" w:cs="Times New Roman"/>
                <w:color w:val="auto"/>
                <w:sz w:val="24"/>
                <w:highlight w:val="none"/>
                <w:lang w:val="en-US" w:eastAsia="zh-CN"/>
              </w:rPr>
              <w:t>面</w:t>
            </w:r>
            <w:r>
              <w:rPr>
                <w:rFonts w:hint="default" w:ascii="Times New Roman" w:hAnsi="Times New Roman" w:cs="Times New Roman"/>
                <w:color w:val="auto"/>
                <w:sz w:val="24"/>
                <w:highlight w:val="none"/>
              </w:rPr>
              <w:t>厂界噪声执行《工业企业厂界环境噪声排放标准》（GB12348-2008）中的</w:t>
            </w:r>
            <w:r>
              <w:rPr>
                <w:rFonts w:hint="eastAsia"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类标准</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pacing w:val="-1"/>
                <w:sz w:val="24"/>
                <w:szCs w:val="24"/>
                <w:highlight w:val="none"/>
              </w:rPr>
              <w:t>即昼间</w:t>
            </w:r>
            <w:r>
              <w:rPr>
                <w:rFonts w:hint="default" w:ascii="Times New Roman" w:hAnsi="Times New Roman" w:eastAsia="Times New Roman" w:cs="Times New Roman"/>
                <w:color w:val="auto"/>
                <w:spacing w:val="-1"/>
                <w:sz w:val="24"/>
                <w:szCs w:val="24"/>
                <w:highlight w:val="none"/>
              </w:rPr>
              <w:t>≤6</w:t>
            </w:r>
            <w:r>
              <w:rPr>
                <w:rFonts w:hint="eastAsia" w:ascii="Times New Roman" w:hAnsi="Times New Roman" w:eastAsia="宋体" w:cs="Times New Roman"/>
                <w:color w:val="auto"/>
                <w:spacing w:val="-1"/>
                <w:sz w:val="24"/>
                <w:szCs w:val="24"/>
                <w:highlight w:val="none"/>
                <w:lang w:val="en-US" w:eastAsia="zh-CN"/>
              </w:rPr>
              <w:t>5</w:t>
            </w:r>
            <w:r>
              <w:rPr>
                <w:rFonts w:hint="default" w:ascii="Times New Roman" w:hAnsi="Times New Roman" w:eastAsia="Times New Roman" w:cs="Times New Roman"/>
                <w:color w:val="auto"/>
                <w:spacing w:val="-1"/>
                <w:sz w:val="24"/>
                <w:szCs w:val="24"/>
                <w:highlight w:val="none"/>
              </w:rPr>
              <w:t>dB</w:t>
            </w:r>
            <w:r>
              <w:rPr>
                <w:rFonts w:hint="default" w:ascii="Times New Roman" w:hAnsi="Times New Roman" w:cs="Times New Roman"/>
                <w:color w:val="auto"/>
                <w:spacing w:val="-1"/>
                <w:sz w:val="24"/>
                <w:szCs w:val="24"/>
                <w:highlight w:val="none"/>
              </w:rPr>
              <w:t>（</w:t>
            </w:r>
            <w:r>
              <w:rPr>
                <w:rFonts w:hint="default" w:ascii="Times New Roman" w:hAnsi="Times New Roman" w:eastAsia="Times New Roman" w:cs="Times New Roman"/>
                <w:color w:val="auto"/>
                <w:spacing w:val="-1"/>
                <w:sz w:val="24"/>
                <w:szCs w:val="24"/>
                <w:highlight w:val="none"/>
              </w:rPr>
              <w:t>A</w:t>
            </w:r>
            <w:r>
              <w:rPr>
                <w:rFonts w:hint="default" w:ascii="Times New Roman" w:hAnsi="Times New Roman" w:cs="Times New Roman"/>
                <w:color w:val="auto"/>
                <w:spacing w:val="9"/>
                <w:sz w:val="24"/>
                <w:szCs w:val="24"/>
                <w:highlight w:val="none"/>
              </w:rPr>
              <w:t>）</w:t>
            </w:r>
            <w:r>
              <w:rPr>
                <w:rFonts w:hint="default" w:ascii="Times New Roman" w:hAnsi="Times New Roman" w:cs="Times New Roman"/>
                <w:color w:val="auto"/>
                <w:sz w:val="24"/>
                <w:highlight w:val="none"/>
              </w:rPr>
              <w:t>。</w:t>
            </w:r>
            <w:r>
              <w:rPr>
                <w:rFonts w:hint="eastAsia" w:cs="Times New Roman"/>
                <w:color w:val="auto"/>
                <w:sz w:val="24"/>
                <w:highlight w:val="none"/>
                <w:lang w:val="en-US" w:eastAsia="zh-CN"/>
              </w:rPr>
              <w:t>本项目仅在昼间营运，夜间不营运。</w:t>
            </w:r>
          </w:p>
          <w:p w14:paraId="390EEE6F">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rPr>
              <w:t>4、固体废物控制标准</w:t>
            </w:r>
          </w:p>
          <w:p w14:paraId="64CE4E8D">
            <w:pPr>
              <w:spacing w:line="360" w:lineRule="auto"/>
              <w:ind w:firstLine="480" w:firstLineChars="200"/>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sz w:val="24"/>
                <w:szCs w:val="24"/>
                <w:highlight w:val="none"/>
                <w:lang w:eastAsia="zh-CN"/>
              </w:rPr>
              <w:t>一般工业固体废物在厂内采用库房或包装工具贮存，贮存过程应满足相应防渗漏、防雨淋、防扬尘等环境保护要求</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eastAsia="zh-CN"/>
              </w:rPr>
              <w:t>项目危险废物</w:t>
            </w:r>
            <w:r>
              <w:rPr>
                <w:rFonts w:hint="default" w:ascii="Times New Roman" w:hAnsi="Times New Roman" w:eastAsia="宋体" w:cs="Times New Roman"/>
                <w:color w:val="auto"/>
                <w:sz w:val="24"/>
                <w:szCs w:val="24"/>
                <w:highlight w:val="none"/>
                <w:lang w:val="en-US" w:eastAsia="zh-CN"/>
              </w:rPr>
              <w:t>按照</w:t>
            </w:r>
            <w:r>
              <w:rPr>
                <w:rFonts w:hint="default" w:ascii="Times New Roman" w:hAnsi="Times New Roman" w:eastAsia="宋体" w:cs="Times New Roman"/>
                <w:color w:val="auto"/>
                <w:sz w:val="24"/>
                <w:szCs w:val="24"/>
                <w:highlight w:val="none"/>
                <w:lang w:eastAsia="zh-CN"/>
              </w:rPr>
              <w:t>《国家危险废物名录（202</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eastAsia="zh-CN"/>
              </w:rPr>
              <w:t>年版）》</w:t>
            </w:r>
            <w:r>
              <w:rPr>
                <w:rFonts w:hint="default" w:ascii="Times New Roman" w:hAnsi="Times New Roman" w:eastAsia="宋体" w:cs="Times New Roman"/>
                <w:color w:val="auto"/>
                <w:sz w:val="24"/>
                <w:szCs w:val="24"/>
                <w:highlight w:val="none"/>
                <w:lang w:val="en-US" w:eastAsia="zh-CN"/>
              </w:rPr>
              <w:t>类别进行管理，危险废物贮存过程执行《危险废物贮存污染控制标准》（GB18597-2023）和《危险废物收集贮存运输技术规范》（HJ2025-2012）</w:t>
            </w:r>
            <w:r>
              <w:rPr>
                <w:rFonts w:hint="default" w:ascii="Times New Roman" w:hAnsi="Times New Roman" w:eastAsia="宋体" w:cs="Times New Roman"/>
                <w:color w:val="auto"/>
                <w:sz w:val="24"/>
                <w:szCs w:val="24"/>
                <w:highlight w:val="none"/>
                <w:lang w:eastAsia="zh-CN"/>
              </w:rPr>
              <w:t>。</w:t>
            </w:r>
          </w:p>
        </w:tc>
      </w:tr>
      <w:tr w14:paraId="1406A3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0" w:hRule="atLeast"/>
          <w:jc w:val="center"/>
        </w:trPr>
        <w:tc>
          <w:tcPr>
            <w:tcW w:w="278" w:type="pct"/>
            <w:noWrap w:val="0"/>
            <w:vAlign w:val="center"/>
          </w:tcPr>
          <w:p w14:paraId="477689AD">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总量</w:t>
            </w:r>
          </w:p>
          <w:p w14:paraId="29F184C0">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控制</w:t>
            </w:r>
          </w:p>
          <w:p w14:paraId="1206F142">
            <w:pPr>
              <w:adjustRightInd w:val="0"/>
              <w:snapToGrid w:val="0"/>
              <w:jc w:val="center"/>
              <w:rPr>
                <w:rFonts w:hint="default"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rPr>
              <w:t>指标</w:t>
            </w:r>
          </w:p>
        </w:tc>
        <w:tc>
          <w:tcPr>
            <w:tcW w:w="4721" w:type="pct"/>
            <w:noWrap w:val="0"/>
            <w:vAlign w:val="center"/>
          </w:tcPr>
          <w:p w14:paraId="1118DF55">
            <w:pPr>
              <w:spacing w:line="120" w:lineRule="auto"/>
              <w:ind w:firstLine="480" w:firstLineChars="200"/>
              <w:rPr>
                <w:rFonts w:hint="default" w:ascii="Times New Roman" w:hAnsi="Times New Roman" w:cs="Times New Roman"/>
                <w:color w:val="auto"/>
                <w:sz w:val="24"/>
                <w:highlight w:val="none"/>
              </w:rPr>
            </w:pPr>
          </w:p>
          <w:p w14:paraId="13338572">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1、水污染物排放总量控制指标</w:t>
            </w:r>
          </w:p>
          <w:p w14:paraId="70BFF69E">
            <w:pPr>
              <w:widowControl w:val="0"/>
              <w:kinsoku/>
              <w:autoSpaceDE/>
              <w:autoSpaceDN/>
              <w:adjustRightInd/>
              <w:snapToGrid/>
              <w:spacing w:line="360" w:lineRule="auto"/>
              <w:ind w:firstLine="476"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1"/>
                <w:sz w:val="24"/>
                <w:szCs w:val="24"/>
                <w:highlight w:val="none"/>
              </w:rPr>
              <w:t>项目</w:t>
            </w:r>
            <w:r>
              <w:rPr>
                <w:rFonts w:hint="eastAsia" w:cs="Times New Roman"/>
                <w:color w:val="auto"/>
                <w:spacing w:val="-1"/>
                <w:sz w:val="24"/>
                <w:szCs w:val="24"/>
                <w:highlight w:val="none"/>
                <w:lang w:val="en-US" w:eastAsia="zh-CN"/>
              </w:rPr>
              <w:t>外排</w:t>
            </w:r>
            <w:r>
              <w:rPr>
                <w:rFonts w:hint="default" w:ascii="Times New Roman" w:hAnsi="Times New Roman" w:cs="Times New Roman"/>
                <w:color w:val="auto"/>
                <w:spacing w:val="-1"/>
                <w:sz w:val="24"/>
                <w:szCs w:val="24"/>
                <w:highlight w:val="none"/>
              </w:rPr>
              <w:t>生产废水排放量为</w:t>
            </w:r>
            <w:r>
              <w:rPr>
                <w:rFonts w:hint="eastAsia" w:cs="Times New Roman"/>
                <w:color w:val="auto"/>
                <w:spacing w:val="-1"/>
                <w:sz w:val="24"/>
                <w:szCs w:val="24"/>
                <w:highlight w:val="none"/>
                <w:lang w:val="en-US" w:eastAsia="zh-CN"/>
              </w:rPr>
              <w:t>10010.08</w:t>
            </w:r>
            <w:r>
              <w:rPr>
                <w:rFonts w:hint="default" w:ascii="Times New Roman" w:hAnsi="Times New Roman" w:cs="Times New Roman"/>
                <w:color w:val="auto"/>
                <w:spacing w:val="-1"/>
                <w:sz w:val="24"/>
                <w:szCs w:val="24"/>
                <w:highlight w:val="none"/>
              </w:rPr>
              <w:t>t/a，生活污水排放量为</w:t>
            </w:r>
            <w:r>
              <w:rPr>
                <w:rFonts w:hint="eastAsia" w:ascii="Times New Roman" w:hAnsi="Times New Roman" w:cs="Times New Roman"/>
                <w:color w:val="auto"/>
                <w:spacing w:val="-1"/>
                <w:sz w:val="24"/>
                <w:szCs w:val="24"/>
                <w:highlight w:val="none"/>
                <w:lang w:val="en-US" w:eastAsia="zh-CN"/>
              </w:rPr>
              <w:t>2070</w:t>
            </w:r>
            <w:r>
              <w:rPr>
                <w:rFonts w:hint="default" w:ascii="Times New Roman" w:hAnsi="Times New Roman" w:cs="Times New Roman"/>
                <w:color w:val="auto"/>
                <w:spacing w:val="-1"/>
                <w:sz w:val="24"/>
                <w:szCs w:val="24"/>
                <w:highlight w:val="none"/>
              </w:rPr>
              <w:t>t/a，</w:t>
            </w:r>
            <w:r>
              <w:rPr>
                <w:rFonts w:hint="default" w:ascii="Times New Roman" w:hAnsi="Times New Roman" w:cs="Times New Roman"/>
                <w:color w:val="auto"/>
                <w:spacing w:val="-1"/>
                <w:sz w:val="24"/>
                <w:szCs w:val="24"/>
                <w:highlight w:val="none"/>
                <w:lang w:val="en-US" w:eastAsia="zh-CN"/>
              </w:rPr>
              <w:t>综合废水合计为</w:t>
            </w:r>
            <w:r>
              <w:rPr>
                <w:rFonts w:hint="eastAsia" w:cs="Times New Roman"/>
                <w:color w:val="auto"/>
                <w:spacing w:val="-1"/>
                <w:sz w:val="24"/>
                <w:szCs w:val="24"/>
                <w:highlight w:val="none"/>
                <w:lang w:val="en-US" w:eastAsia="zh-CN"/>
              </w:rPr>
              <w:t>12080.08</w:t>
            </w:r>
            <w:r>
              <w:rPr>
                <w:rFonts w:hint="default" w:ascii="Times New Roman" w:hAnsi="Times New Roman" w:cs="Times New Roman"/>
                <w:color w:val="auto"/>
                <w:spacing w:val="-1"/>
                <w:sz w:val="24"/>
                <w:szCs w:val="24"/>
                <w:highlight w:val="none"/>
                <w:lang w:val="en-US" w:eastAsia="zh-CN"/>
              </w:rPr>
              <w:t>t/a，</w:t>
            </w:r>
            <w:r>
              <w:rPr>
                <w:rFonts w:hint="default" w:ascii="Times New Roman" w:hAnsi="Times New Roman" w:cs="Times New Roman"/>
                <w:color w:val="auto"/>
                <w:spacing w:val="-1"/>
                <w:sz w:val="24"/>
                <w:szCs w:val="24"/>
                <w:highlight w:val="none"/>
              </w:rPr>
              <w:t>均经预处理后排入园区污水处理厂进行处理，因此，COD</w:t>
            </w:r>
            <w:r>
              <w:rPr>
                <w:rFonts w:hint="eastAsia" w:ascii="Times New Roman" w:hAnsi="Times New Roman" w:cs="Times New Roman"/>
                <w:color w:val="auto"/>
                <w:spacing w:val="-1"/>
                <w:sz w:val="24"/>
                <w:szCs w:val="24"/>
                <w:highlight w:val="none"/>
                <w:vertAlign w:val="subscript"/>
                <w:lang w:val="en-US" w:eastAsia="zh-CN"/>
              </w:rPr>
              <w:t>C</w:t>
            </w:r>
            <w:r>
              <w:rPr>
                <w:rFonts w:hint="default" w:ascii="Times New Roman" w:hAnsi="Times New Roman" w:cs="Times New Roman"/>
                <w:color w:val="auto"/>
                <w:spacing w:val="-1"/>
                <w:sz w:val="24"/>
                <w:szCs w:val="24"/>
                <w:highlight w:val="none"/>
                <w:vertAlign w:val="subscript"/>
              </w:rPr>
              <w:t>r</w:t>
            </w:r>
            <w:r>
              <w:rPr>
                <w:rFonts w:hint="default" w:ascii="Times New Roman" w:hAnsi="Times New Roman" w:cs="Times New Roman"/>
                <w:color w:val="auto"/>
                <w:spacing w:val="-1"/>
                <w:sz w:val="24"/>
                <w:szCs w:val="24"/>
                <w:highlight w:val="none"/>
                <w:lang w:eastAsia="zh-CN"/>
              </w:rPr>
              <w:t>（</w:t>
            </w:r>
            <w:r>
              <w:rPr>
                <w:rFonts w:hint="eastAsia" w:cs="Times New Roman"/>
                <w:color w:val="auto"/>
                <w:spacing w:val="-1"/>
                <w:sz w:val="24"/>
                <w:szCs w:val="24"/>
                <w:highlight w:val="none"/>
                <w:lang w:val="en-US" w:eastAsia="zh-CN"/>
              </w:rPr>
              <w:t>1.499</w:t>
            </w:r>
            <w:r>
              <w:rPr>
                <w:rFonts w:hint="default" w:ascii="Times New Roman" w:hAnsi="Times New Roman" w:cs="Times New Roman"/>
                <w:color w:val="auto"/>
                <w:spacing w:val="-1"/>
                <w:sz w:val="24"/>
                <w:szCs w:val="24"/>
                <w:highlight w:val="none"/>
                <w:lang w:val="en-US" w:eastAsia="zh-CN"/>
              </w:rPr>
              <w:t>t/a）</w:t>
            </w:r>
            <w:r>
              <w:rPr>
                <w:rFonts w:hint="default" w:ascii="Times New Roman" w:hAnsi="Times New Roman" w:cs="Times New Roman"/>
                <w:color w:val="auto"/>
                <w:spacing w:val="-1"/>
                <w:sz w:val="24"/>
                <w:szCs w:val="24"/>
                <w:highlight w:val="none"/>
              </w:rPr>
              <w:t>、NH</w:t>
            </w:r>
            <w:r>
              <w:rPr>
                <w:rFonts w:hint="default" w:ascii="Times New Roman" w:hAnsi="Times New Roman" w:cs="Times New Roman"/>
                <w:color w:val="auto"/>
                <w:spacing w:val="-1"/>
                <w:sz w:val="24"/>
                <w:szCs w:val="24"/>
                <w:highlight w:val="none"/>
                <w:vertAlign w:val="subscript"/>
                <w:lang w:val="en-US" w:eastAsia="zh-CN"/>
              </w:rPr>
              <w:t>3</w:t>
            </w:r>
            <w:r>
              <w:rPr>
                <w:rFonts w:hint="default" w:ascii="Times New Roman" w:hAnsi="Times New Roman" w:cs="Times New Roman"/>
                <w:color w:val="auto"/>
                <w:spacing w:val="-1"/>
                <w:sz w:val="24"/>
                <w:szCs w:val="24"/>
                <w:highlight w:val="none"/>
                <w:lang w:val="en-US" w:eastAsia="zh-CN"/>
              </w:rPr>
              <w:t>-</w:t>
            </w:r>
            <w:r>
              <w:rPr>
                <w:rFonts w:hint="default" w:ascii="Times New Roman" w:hAnsi="Times New Roman" w:cs="Times New Roman"/>
                <w:color w:val="auto"/>
                <w:spacing w:val="-1"/>
                <w:sz w:val="24"/>
                <w:szCs w:val="24"/>
                <w:highlight w:val="none"/>
              </w:rPr>
              <w:t>N</w:t>
            </w:r>
            <w:r>
              <w:rPr>
                <w:rFonts w:hint="default" w:ascii="Times New Roman" w:hAnsi="Times New Roman" w:cs="Times New Roman"/>
                <w:color w:val="auto"/>
                <w:spacing w:val="-1"/>
                <w:sz w:val="24"/>
                <w:szCs w:val="24"/>
                <w:highlight w:val="none"/>
                <w:lang w:eastAsia="zh-CN"/>
              </w:rPr>
              <w:t>（</w:t>
            </w:r>
            <w:r>
              <w:rPr>
                <w:rFonts w:hint="eastAsia" w:cs="Times New Roman"/>
                <w:color w:val="auto"/>
                <w:spacing w:val="-1"/>
                <w:sz w:val="24"/>
                <w:szCs w:val="24"/>
                <w:highlight w:val="none"/>
                <w:lang w:val="en-US" w:eastAsia="zh-CN"/>
              </w:rPr>
              <w:t>0.188</w:t>
            </w:r>
            <w:r>
              <w:rPr>
                <w:rFonts w:hint="default" w:ascii="Times New Roman" w:hAnsi="Times New Roman" w:cs="Times New Roman"/>
                <w:color w:val="auto"/>
                <w:spacing w:val="-1"/>
                <w:sz w:val="24"/>
                <w:szCs w:val="24"/>
                <w:highlight w:val="none"/>
                <w:lang w:val="en-US" w:eastAsia="zh-CN"/>
              </w:rPr>
              <w:t>t/a）</w:t>
            </w:r>
            <w:r>
              <w:rPr>
                <w:rFonts w:hint="default" w:ascii="Times New Roman" w:hAnsi="Times New Roman" w:cs="Times New Roman"/>
                <w:color w:val="auto"/>
                <w:spacing w:val="-1"/>
                <w:sz w:val="24"/>
                <w:szCs w:val="24"/>
                <w:highlight w:val="none"/>
              </w:rPr>
              <w:t>纳入园区污水处理厂的总量控制指标，不需再增加新的总量分配指标。</w:t>
            </w:r>
          </w:p>
          <w:p w14:paraId="223D27E1">
            <w:pPr>
              <w:spacing w:line="360" w:lineRule="auto"/>
              <w:ind w:firstLine="482" w:firstLineChars="200"/>
              <w:rPr>
                <w:rFonts w:hint="default" w:ascii="Times New Roman" w:hAnsi="Times New Roman" w:cs="Times New Roman"/>
                <w:b/>
                <w:bCs/>
                <w:color w:val="auto"/>
                <w:sz w:val="24"/>
                <w:highlight w:val="none"/>
              </w:rPr>
            </w:pPr>
            <w:r>
              <w:rPr>
                <w:rFonts w:hint="default" w:ascii="Times New Roman" w:hAnsi="Times New Roman" w:cs="Times New Roman"/>
                <w:b/>
                <w:bCs/>
                <w:color w:val="auto"/>
                <w:sz w:val="24"/>
                <w:highlight w:val="none"/>
                <w:lang w:val="en-US" w:eastAsia="zh-CN"/>
              </w:rPr>
              <w:t>2、</w:t>
            </w:r>
            <w:r>
              <w:rPr>
                <w:rFonts w:hint="default" w:ascii="Times New Roman" w:hAnsi="Times New Roman" w:cs="Times New Roman"/>
                <w:b/>
                <w:bCs/>
                <w:color w:val="auto"/>
                <w:sz w:val="24"/>
                <w:highlight w:val="none"/>
              </w:rPr>
              <w:t>废气排放量控制指标</w:t>
            </w:r>
          </w:p>
          <w:p w14:paraId="6322073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根据</w:t>
            </w:r>
            <w:r>
              <w:rPr>
                <w:rFonts w:hint="default" w:ascii="Times New Roman" w:hAnsi="Times New Roman" w:cs="Times New Roman"/>
                <w:color w:val="auto"/>
                <w:sz w:val="24"/>
                <w:highlight w:val="none"/>
              </w:rPr>
              <w:t>生态环境部“十四五”主要污染物总量减排有关文件以及</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广东省人民政府关于印发广东省“三线一单”生态环境分区管控方案的通知</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粤府〔2020〕71号</w:t>
            </w:r>
            <w:r>
              <w:rPr>
                <w:rFonts w:hint="default" w:ascii="Times New Roman" w:hAnsi="Times New Roman" w:cs="Times New Roman"/>
                <w:color w:val="auto"/>
                <w:sz w:val="24"/>
                <w:highlight w:val="none"/>
                <w:lang w:eastAsia="zh-CN"/>
              </w:rPr>
              <w:t>），重点污染物排放总量指标包括化学需氧量、氨氮、氮氧化物及挥发性有机物等</w:t>
            </w:r>
            <w:r>
              <w:rPr>
                <w:rFonts w:hint="default" w:ascii="Times New Roman" w:hAnsi="Times New Roman" w:cs="Times New Roman"/>
                <w:color w:val="auto"/>
                <w:sz w:val="24"/>
                <w:highlight w:val="none"/>
                <w:lang w:val="en-US" w:eastAsia="zh-CN"/>
              </w:rPr>
              <w:t>四项</w:t>
            </w:r>
            <w:r>
              <w:rPr>
                <w:rFonts w:hint="eastAsia" w:ascii="Times New Roman" w:hAnsi="Times New Roman" w:cs="Times New Roman"/>
                <w:color w:val="auto"/>
                <w:sz w:val="24"/>
                <w:highlight w:val="none"/>
                <w:lang w:eastAsia="zh-CN"/>
              </w:rPr>
              <w:t>，</w:t>
            </w:r>
            <w:r>
              <w:rPr>
                <w:rFonts w:hint="default" w:ascii="Times New Roman" w:hAnsi="Times New Roman" w:eastAsia="宋体" w:cs="Times New Roman"/>
                <w:color w:val="auto"/>
                <w:kern w:val="0"/>
                <w:sz w:val="24"/>
                <w:szCs w:val="24"/>
                <w:highlight w:val="none"/>
                <w:lang w:val="en-US" w:eastAsia="zh-CN" w:bidi="ar"/>
              </w:rPr>
              <w:t>颗粒物</w:t>
            </w:r>
            <w:r>
              <w:rPr>
                <w:rFonts w:hint="eastAsia" w:ascii="Times New Roman" w:hAnsi="Times New Roman" w:eastAsia="宋体" w:cs="Times New Roman"/>
                <w:color w:val="auto"/>
                <w:kern w:val="0"/>
                <w:sz w:val="24"/>
                <w:szCs w:val="24"/>
                <w:highlight w:val="none"/>
                <w:lang w:val="en-US" w:eastAsia="zh-CN" w:bidi="ar"/>
              </w:rPr>
              <w:t>、SO</w:t>
            </w:r>
            <w:r>
              <w:rPr>
                <w:rFonts w:hint="eastAsia" w:ascii="Times New Roman" w:hAnsi="Times New Roman" w:eastAsia="宋体" w:cs="Times New Roman"/>
                <w:color w:val="auto"/>
                <w:kern w:val="0"/>
                <w:sz w:val="24"/>
                <w:szCs w:val="24"/>
                <w:highlight w:val="none"/>
                <w:vertAlign w:val="subscript"/>
                <w:lang w:val="en-US" w:eastAsia="zh-CN" w:bidi="ar"/>
              </w:rPr>
              <w:t>2</w:t>
            </w:r>
            <w:r>
              <w:rPr>
                <w:rFonts w:hint="default" w:ascii="Times New Roman" w:hAnsi="Times New Roman" w:eastAsia="宋体" w:cs="Times New Roman"/>
                <w:color w:val="auto"/>
                <w:kern w:val="0"/>
                <w:sz w:val="24"/>
                <w:szCs w:val="24"/>
                <w:highlight w:val="none"/>
                <w:lang w:val="en-US" w:eastAsia="zh-CN" w:bidi="ar"/>
              </w:rPr>
              <w:t>无需设置大气污染物总量控制指标</w:t>
            </w:r>
            <w:r>
              <w:rPr>
                <w:rFonts w:hint="default" w:ascii="Times New Roman" w:hAnsi="Times New Roman" w:cs="Times New Roman"/>
                <w:color w:val="auto"/>
                <w:sz w:val="24"/>
                <w:highlight w:val="none"/>
              </w:rPr>
              <w:t>。</w:t>
            </w:r>
          </w:p>
          <w:p w14:paraId="0F78B823">
            <w:pPr>
              <w:spacing w:line="360" w:lineRule="auto"/>
              <w:ind w:firstLine="480" w:firstLineChars="200"/>
              <w:rPr>
                <w:rFonts w:hint="eastAsia" w:cs="Times New Roman"/>
                <w:color w:val="auto"/>
                <w:sz w:val="24"/>
                <w:highlight w:val="none"/>
                <w:lang w:val="en-US" w:eastAsia="zh-CN"/>
              </w:rPr>
            </w:pPr>
            <w:r>
              <w:rPr>
                <w:rFonts w:hint="eastAsia" w:ascii="Times New Roman" w:hAnsi="Times New Roman" w:cs="Times New Roman"/>
                <w:color w:val="auto"/>
                <w:sz w:val="24"/>
                <w:highlight w:val="none"/>
                <w:lang w:val="en-US" w:eastAsia="zh-CN"/>
              </w:rPr>
              <w:t>本项目建成后VOCs排放总量为</w:t>
            </w:r>
            <w:r>
              <w:rPr>
                <w:rFonts w:hint="eastAsia" w:cs="Times New Roman"/>
                <w:color w:val="auto"/>
                <w:sz w:val="24"/>
                <w:highlight w:val="none"/>
                <w:lang w:val="en-US" w:eastAsia="zh-CN"/>
              </w:rPr>
              <w:t>1.022</w:t>
            </w:r>
            <w:r>
              <w:rPr>
                <w:rFonts w:hint="eastAsia" w:ascii="Times New Roman" w:hAnsi="Times New Roman" w:cs="Times New Roman"/>
                <w:color w:val="auto"/>
                <w:sz w:val="24"/>
                <w:highlight w:val="none"/>
                <w:lang w:val="en-US" w:eastAsia="zh-CN"/>
              </w:rPr>
              <w:t>t/a（有组织排放量</w:t>
            </w:r>
            <w:r>
              <w:rPr>
                <w:rFonts w:hint="eastAsia" w:cs="Times New Roman"/>
                <w:color w:val="auto"/>
                <w:sz w:val="24"/>
                <w:highlight w:val="none"/>
                <w:lang w:val="en-US" w:eastAsia="zh-CN"/>
              </w:rPr>
              <w:t>0.670</w:t>
            </w:r>
            <w:r>
              <w:rPr>
                <w:rFonts w:hint="eastAsia" w:ascii="Times New Roman" w:hAnsi="Times New Roman" w:cs="Times New Roman"/>
                <w:color w:val="auto"/>
                <w:sz w:val="24"/>
                <w:highlight w:val="none"/>
                <w:lang w:val="en-US" w:eastAsia="zh-CN"/>
              </w:rPr>
              <w:t>t/a，无组织排放量0.</w:t>
            </w:r>
            <w:r>
              <w:rPr>
                <w:rFonts w:hint="eastAsia" w:cs="Times New Roman"/>
                <w:color w:val="auto"/>
                <w:sz w:val="24"/>
                <w:highlight w:val="none"/>
                <w:lang w:val="en-US" w:eastAsia="zh-CN"/>
              </w:rPr>
              <w:t>352t</w:t>
            </w:r>
            <w:r>
              <w:rPr>
                <w:rFonts w:hint="eastAsia" w:ascii="Times New Roman" w:hAnsi="Times New Roman" w:cs="Times New Roman"/>
                <w:color w:val="auto"/>
                <w:sz w:val="24"/>
                <w:highlight w:val="none"/>
                <w:lang w:val="en-US" w:eastAsia="zh-CN"/>
              </w:rPr>
              <w:t>/a），氮氧化物排放总量为0.</w:t>
            </w:r>
            <w:r>
              <w:rPr>
                <w:rFonts w:hint="eastAsia" w:cs="Times New Roman"/>
                <w:color w:val="auto"/>
                <w:sz w:val="24"/>
                <w:highlight w:val="none"/>
                <w:lang w:val="en-US" w:eastAsia="zh-CN"/>
              </w:rPr>
              <w:t>341</w:t>
            </w:r>
            <w:r>
              <w:rPr>
                <w:rFonts w:hint="eastAsia" w:ascii="Times New Roman" w:hAnsi="Times New Roman" w:cs="Times New Roman"/>
                <w:color w:val="auto"/>
                <w:sz w:val="24"/>
                <w:highlight w:val="none"/>
                <w:lang w:val="en-US" w:eastAsia="zh-CN"/>
              </w:rPr>
              <w:t>t/a。根据《广东省人民政府办公厅印发广东省关于进一步深化投融资体制改革若干举措的通知》（粤府办〔2025〕8号），VOCs、氮氧化物等量替代需向韶关市生态环境局乐昌分局申请分配</w:t>
            </w:r>
            <w:r>
              <w:rPr>
                <w:rFonts w:hint="eastAsia" w:cs="Times New Roman"/>
                <w:color w:val="auto"/>
                <w:sz w:val="24"/>
                <w:highlight w:val="none"/>
                <w:lang w:val="en-US" w:eastAsia="zh-CN"/>
              </w:rPr>
              <w:t>，根据总量申请结果（附件9），有机物总量指标替代来源由市级削减总量统筹安排。氮氧化物总量指标由县级削减总量统筹安排。</w:t>
            </w:r>
          </w:p>
          <w:p w14:paraId="3A3C78D3">
            <w:pPr>
              <w:pStyle w:val="2"/>
              <w:rPr>
                <w:rFonts w:hint="default"/>
                <w:color w:val="auto"/>
                <w:lang w:val="en-US" w:eastAsia="zh-CN"/>
              </w:rPr>
            </w:pPr>
          </w:p>
        </w:tc>
      </w:tr>
    </w:tbl>
    <w:p w14:paraId="13AE413F">
      <w:pPr>
        <w:pStyle w:val="45"/>
        <w:numPr>
          <w:ilvl w:val="0"/>
          <w:numId w:val="0"/>
        </w:numPr>
        <w:spacing w:line="240" w:lineRule="auto"/>
        <w:jc w:val="both"/>
        <w:outlineLvl w:val="9"/>
        <w:rPr>
          <w:rFonts w:hint="eastAsia" w:ascii="黑体" w:hAnsi="黑体" w:eastAsia="黑体"/>
          <w:snapToGrid w:val="0"/>
          <w:color w:val="auto"/>
          <w:sz w:val="30"/>
          <w:szCs w:val="30"/>
          <w:highlight w:val="none"/>
        </w:rPr>
      </w:pPr>
    </w:p>
    <w:p w14:paraId="6CB91C88">
      <w:pPr>
        <w:pStyle w:val="45"/>
        <w:jc w:val="center"/>
        <w:outlineLvl w:val="0"/>
        <w:rPr>
          <w:rFonts w:ascii="黑体" w:hAnsi="黑体" w:eastAsia="黑体"/>
          <w:snapToGrid w:val="0"/>
          <w:color w:val="auto"/>
          <w:sz w:val="30"/>
          <w:szCs w:val="30"/>
          <w:highlight w:val="none"/>
        </w:rPr>
      </w:pPr>
      <w:r>
        <w:rPr>
          <w:rFonts w:ascii="黑体" w:hAnsi="黑体" w:eastAsia="黑体"/>
          <w:snapToGrid w:val="0"/>
          <w:color w:val="auto"/>
          <w:sz w:val="36"/>
          <w:szCs w:val="36"/>
          <w:highlight w:val="none"/>
        </w:rPr>
        <w:br w:type="page"/>
      </w:r>
      <w:bookmarkStart w:id="17" w:name="_Toc25738"/>
      <w:bookmarkStart w:id="18" w:name="_Toc28571"/>
      <w:bookmarkStart w:id="19" w:name="_Toc31582"/>
      <w:bookmarkStart w:id="20" w:name="_Toc5205"/>
      <w:r>
        <w:rPr>
          <w:rFonts w:hint="eastAsia" w:ascii="黑体" w:hAnsi="黑体" w:eastAsia="黑体"/>
          <w:snapToGrid w:val="0"/>
          <w:color w:val="auto"/>
          <w:sz w:val="30"/>
          <w:szCs w:val="30"/>
          <w:highlight w:val="none"/>
        </w:rPr>
        <w:t>四、主要环境影响和保护措施</w:t>
      </w:r>
      <w:bookmarkEnd w:id="17"/>
      <w:bookmarkEnd w:id="18"/>
      <w:bookmarkEnd w:id="19"/>
      <w:bookmarkEnd w:id="20"/>
    </w:p>
    <w:tbl>
      <w:tblPr>
        <w:tblStyle w:val="48"/>
        <w:tblW w:w="912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09"/>
        <w:gridCol w:w="8616"/>
      </w:tblGrid>
      <w:tr w14:paraId="290B54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9" w:type="dxa"/>
            <w:noWrap w:val="0"/>
            <w:tcMar>
              <w:left w:w="28" w:type="dxa"/>
              <w:right w:w="28" w:type="dxa"/>
            </w:tcMar>
            <w:vAlign w:val="center"/>
          </w:tcPr>
          <w:p w14:paraId="03D0D305">
            <w:pPr>
              <w:pStyle w:val="45"/>
              <w:adjustRightInd w:val="0"/>
              <w:snapToGrid w:val="0"/>
              <w:spacing w:before="0" w:beforeAutospacing="0" w:after="0" w:afterAutospacing="0"/>
              <w:jc w:val="center"/>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施工</w:t>
            </w:r>
          </w:p>
          <w:p w14:paraId="17ED710D">
            <w:pPr>
              <w:pStyle w:val="45"/>
              <w:adjustRightInd w:val="0"/>
              <w:snapToGrid w:val="0"/>
              <w:spacing w:before="0" w:beforeAutospacing="0" w:after="0" w:afterAutospacing="0"/>
              <w:jc w:val="center"/>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期环</w:t>
            </w:r>
          </w:p>
          <w:p w14:paraId="42D62D36">
            <w:pPr>
              <w:pStyle w:val="45"/>
              <w:adjustRightInd w:val="0"/>
              <w:snapToGrid w:val="0"/>
              <w:spacing w:before="0" w:beforeAutospacing="0" w:after="0" w:afterAutospacing="0"/>
              <w:jc w:val="center"/>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境保</w:t>
            </w:r>
          </w:p>
          <w:p w14:paraId="015E115C">
            <w:pPr>
              <w:pStyle w:val="45"/>
              <w:adjustRightInd w:val="0"/>
              <w:snapToGrid w:val="0"/>
              <w:spacing w:before="0" w:beforeAutospacing="0" w:after="0" w:afterAutospacing="0"/>
              <w:jc w:val="center"/>
              <w:rPr>
                <w:rFonts w:hint="default" w:ascii="Times New Roman" w:hAnsi="Times New Roman" w:eastAsia="宋体" w:cs="Times New Roman"/>
                <w:color w:val="auto"/>
                <w:kern w:val="2"/>
                <w:szCs w:val="24"/>
                <w:highlight w:val="none"/>
              </w:rPr>
            </w:pPr>
            <w:r>
              <w:rPr>
                <w:rFonts w:hint="default" w:ascii="Times New Roman" w:hAnsi="Times New Roman" w:eastAsia="宋体" w:cs="Times New Roman"/>
                <w:color w:val="auto"/>
                <w:kern w:val="2"/>
                <w:szCs w:val="24"/>
                <w:highlight w:val="none"/>
              </w:rPr>
              <w:t>护措</w:t>
            </w:r>
          </w:p>
          <w:p w14:paraId="4BB92313">
            <w:pPr>
              <w:pStyle w:val="45"/>
              <w:adjustRightInd w:val="0"/>
              <w:snapToGrid w:val="0"/>
              <w:spacing w:before="0" w:beforeAutospacing="0" w:after="0" w:afterAutospacing="0"/>
              <w:jc w:val="center"/>
              <w:rPr>
                <w:rFonts w:hint="default" w:ascii="Times New Roman" w:hAnsi="Times New Roman" w:eastAsia="宋体" w:cs="Times New Roman"/>
                <w:bCs/>
                <w:color w:val="auto"/>
                <w:kern w:val="2"/>
                <w:szCs w:val="24"/>
                <w:highlight w:val="none"/>
              </w:rPr>
            </w:pPr>
            <w:r>
              <w:rPr>
                <w:rFonts w:hint="default" w:ascii="Times New Roman" w:hAnsi="Times New Roman" w:eastAsia="宋体" w:cs="Times New Roman"/>
                <w:color w:val="auto"/>
                <w:kern w:val="2"/>
                <w:szCs w:val="24"/>
                <w:highlight w:val="none"/>
              </w:rPr>
              <w:t>施</w:t>
            </w:r>
          </w:p>
        </w:tc>
        <w:tc>
          <w:tcPr>
            <w:tcW w:w="8616" w:type="dxa"/>
            <w:noWrap w:val="0"/>
            <w:vAlign w:val="center"/>
          </w:tcPr>
          <w:p w14:paraId="61776A57">
            <w:pPr>
              <w:pStyle w:val="136"/>
              <w:keepNext w:val="0"/>
              <w:keepLines w:val="0"/>
              <w:pageBreakBefore w:val="0"/>
              <w:widowControl w:val="0"/>
              <w:kinsoku/>
              <w:wordWrap/>
              <w:overflowPunct/>
              <w:topLinePunct w:val="0"/>
              <w:autoSpaceDE/>
              <w:autoSpaceDN/>
              <w:bidi w:val="0"/>
              <w:adjustRightInd/>
              <w:snapToGrid/>
              <w:spacing w:before="39" w:line="120" w:lineRule="exact"/>
              <w:ind w:left="113" w:right="108" w:firstLine="476"/>
              <w:textAlignment w:val="auto"/>
              <w:rPr>
                <w:rFonts w:hint="default" w:ascii="Times New Roman" w:hAnsi="Times New Roman" w:cs="Times New Roman"/>
                <w:color w:val="auto"/>
                <w:sz w:val="24"/>
                <w:szCs w:val="24"/>
                <w:highlight w:val="none"/>
              </w:rPr>
            </w:pPr>
          </w:p>
          <w:p w14:paraId="2EC80E07">
            <w:pPr>
              <w:spacing w:line="360" w:lineRule="auto"/>
              <w:ind w:firstLine="480" w:firstLineChars="200"/>
              <w:rPr>
                <w:rFonts w:hint="default" w:ascii="Times New Roman" w:hAnsi="Times New Roman" w:eastAsia="宋体" w:cs="Times New Roman"/>
                <w:color w:val="auto"/>
                <w:highlight w:val="none"/>
              </w:rPr>
            </w:pPr>
            <w:r>
              <w:rPr>
                <w:rFonts w:hint="eastAsia"/>
                <w:color w:val="auto"/>
                <w:sz w:val="24"/>
                <w:szCs w:val="24"/>
                <w:highlight w:val="none"/>
              </w:rPr>
              <w:t>本项目</w:t>
            </w:r>
            <w:r>
              <w:rPr>
                <w:rFonts w:hint="eastAsia"/>
                <w:color w:val="auto"/>
                <w:sz w:val="24"/>
                <w:szCs w:val="24"/>
                <w:highlight w:val="none"/>
                <w:lang w:eastAsia="zh-CN"/>
              </w:rPr>
              <w:t>位于</w:t>
            </w:r>
            <w:r>
              <w:rPr>
                <w:rFonts w:hint="eastAsia" w:cs="Times New Roman"/>
                <w:color w:val="auto"/>
                <w:sz w:val="24"/>
                <w:szCs w:val="24"/>
                <w:highlight w:val="none"/>
                <w:lang w:val="en-US" w:eastAsia="zh-CN"/>
              </w:rPr>
              <w:t>韶关市乐昌市乐昌产业转移工业园GL-02-02-01地块</w:t>
            </w:r>
            <w:r>
              <w:rPr>
                <w:rFonts w:hint="eastAsia"/>
                <w:color w:val="auto"/>
                <w:sz w:val="24"/>
                <w:szCs w:val="24"/>
                <w:highlight w:val="none"/>
              </w:rPr>
              <w:t>，</w:t>
            </w:r>
            <w:r>
              <w:rPr>
                <w:rFonts w:hint="eastAsia"/>
                <w:color w:val="auto"/>
                <w:sz w:val="24"/>
                <w:szCs w:val="24"/>
                <w:highlight w:val="none"/>
                <w:lang w:val="en-US" w:eastAsia="zh-CN"/>
              </w:rPr>
              <w:t>目前厂房已建设，施工期已过。</w:t>
            </w:r>
          </w:p>
        </w:tc>
      </w:tr>
    </w:tbl>
    <w:p w14:paraId="25EAF578">
      <w:pPr>
        <w:adjustRightInd w:val="0"/>
        <w:snapToGrid w:val="0"/>
        <w:spacing w:line="360" w:lineRule="auto"/>
        <w:rPr>
          <w:rFonts w:hint="eastAsia" w:ascii="宋体" w:cs="宋体"/>
          <w:b/>
          <w:color w:val="auto"/>
          <w:kern w:val="0"/>
          <w:sz w:val="28"/>
          <w:szCs w:val="28"/>
          <w:highlight w:val="none"/>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3064"/>
      </w:tblGrid>
      <w:tr w14:paraId="2DEA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5" w:hRule="atLeast"/>
        </w:trPr>
        <w:tc>
          <w:tcPr>
            <w:tcW w:w="630" w:type="dxa"/>
            <w:noWrap w:val="0"/>
            <w:vAlign w:val="top"/>
          </w:tcPr>
          <w:p w14:paraId="75234501">
            <w:pPr>
              <w:adjustRightInd w:val="0"/>
              <w:snapToGrid w:val="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运营</w:t>
            </w:r>
          </w:p>
          <w:p w14:paraId="14BED8C5">
            <w:pPr>
              <w:adjustRightInd w:val="0"/>
              <w:snapToGrid w:val="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期环</w:t>
            </w:r>
          </w:p>
          <w:p w14:paraId="4CF6938B">
            <w:pPr>
              <w:adjustRightInd w:val="0"/>
              <w:snapToGrid w:val="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境影</w:t>
            </w:r>
          </w:p>
          <w:p w14:paraId="7D0F6D8F">
            <w:pPr>
              <w:adjustRightInd w:val="0"/>
              <w:snapToGrid w:val="0"/>
              <w:jc w:val="center"/>
              <w:rPr>
                <w:rFonts w:hint="default" w:ascii="Times New Roman" w:hAnsi="Times New Roman" w:eastAsia="宋体" w:cs="Times New Roman"/>
                <w:bCs/>
                <w:color w:val="auto"/>
                <w:sz w:val="24"/>
                <w:highlight w:val="none"/>
              </w:rPr>
            </w:pPr>
            <w:r>
              <w:rPr>
                <w:rFonts w:hint="default" w:ascii="Times New Roman" w:hAnsi="Times New Roman" w:eastAsia="宋体" w:cs="Times New Roman"/>
                <w:bCs/>
                <w:color w:val="auto"/>
                <w:sz w:val="24"/>
                <w:highlight w:val="none"/>
              </w:rPr>
              <w:t>响和</w:t>
            </w:r>
          </w:p>
          <w:p w14:paraId="07F642B8">
            <w:pPr>
              <w:adjustRightInd w:val="0"/>
              <w:snapToGrid w:val="0"/>
              <w:jc w:val="center"/>
              <w:rPr>
                <w:rFonts w:hint="eastAsia"/>
                <w:color w:val="auto"/>
                <w:highlight w:val="none"/>
                <w:vertAlign w:val="baseline"/>
              </w:rPr>
            </w:pPr>
            <w:r>
              <w:rPr>
                <w:rFonts w:hint="default" w:ascii="Times New Roman" w:hAnsi="Times New Roman" w:eastAsia="宋体" w:cs="Times New Roman"/>
                <w:bCs/>
                <w:color w:val="auto"/>
                <w:sz w:val="24"/>
                <w:highlight w:val="none"/>
              </w:rPr>
              <w:t>保护措施</w:t>
            </w:r>
          </w:p>
        </w:tc>
        <w:tc>
          <w:tcPr>
            <w:tcW w:w="13024" w:type="dxa"/>
            <w:noWrap w:val="0"/>
            <w:vAlign w:val="top"/>
          </w:tcPr>
          <w:p w14:paraId="475F12F8">
            <w:pPr>
              <w:spacing w:line="360" w:lineRule="auto"/>
              <w:ind w:firstLine="482" w:firstLineChars="200"/>
              <w:rPr>
                <w:rFonts w:hint="default" w:ascii="Times New Roman" w:hAnsi="Times New Roman" w:cs="Times New Roman"/>
                <w:b/>
                <w:color w:val="auto"/>
                <w:sz w:val="24"/>
                <w:szCs w:val="24"/>
                <w:highlight w:val="none"/>
                <w:lang w:val="en-US" w:eastAsia="zh-CN"/>
              </w:rPr>
            </w:pPr>
            <w:r>
              <w:rPr>
                <w:rFonts w:hint="eastAsia" w:cs="Times New Roman"/>
                <w:b/>
                <w:color w:val="auto"/>
                <w:sz w:val="24"/>
                <w:szCs w:val="24"/>
                <w:highlight w:val="none"/>
                <w:lang w:val="en-US" w:eastAsia="zh-CN"/>
              </w:rPr>
              <w:t>1、 废气</w:t>
            </w:r>
          </w:p>
          <w:p w14:paraId="41827A48">
            <w:pPr>
              <w:spacing w:line="360" w:lineRule="auto"/>
              <w:ind w:firstLine="482"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b/>
                <w:color w:val="auto"/>
                <w:sz w:val="24"/>
                <w:szCs w:val="24"/>
                <w:highlight w:val="none"/>
                <w:lang w:val="en-US" w:eastAsia="zh-CN"/>
              </w:rPr>
              <w:t>1</w:t>
            </w:r>
            <w:r>
              <w:rPr>
                <w:rFonts w:hint="eastAsia" w:cs="Times New Roman"/>
                <w:b/>
                <w:color w:val="auto"/>
                <w:sz w:val="24"/>
                <w:szCs w:val="24"/>
                <w:highlight w:val="none"/>
                <w:lang w:val="en-US" w:eastAsia="zh-CN"/>
              </w:rPr>
              <w:t>.</w:t>
            </w:r>
            <w:r>
              <w:rPr>
                <w:rFonts w:hint="eastAsia" w:ascii="Times New Roman" w:hAnsi="Times New Roman" w:cs="Times New Roman"/>
                <w:b/>
                <w:color w:val="auto"/>
                <w:sz w:val="24"/>
                <w:szCs w:val="24"/>
                <w:highlight w:val="none"/>
                <w:lang w:val="en-US" w:eastAsia="zh-CN"/>
              </w:rPr>
              <w:t>废气</w:t>
            </w:r>
            <w:r>
              <w:rPr>
                <w:rFonts w:hint="eastAsia" w:cs="Times New Roman"/>
                <w:b/>
                <w:color w:val="auto"/>
                <w:sz w:val="24"/>
                <w:szCs w:val="24"/>
                <w:highlight w:val="none"/>
                <w:lang w:val="en-US" w:eastAsia="zh-CN"/>
              </w:rPr>
              <w:t>排放情况</w:t>
            </w:r>
          </w:p>
          <w:p w14:paraId="13CD4D49">
            <w:pPr>
              <w:widowControl w:val="0"/>
              <w:kinsoku/>
              <w:autoSpaceDE/>
              <w:autoSpaceDN/>
              <w:adjustRightInd/>
              <w:snapToGrid/>
              <w:spacing w:line="360" w:lineRule="auto"/>
              <w:ind w:firstLine="464" w:firstLineChars="200"/>
              <w:jc w:val="both"/>
              <w:textAlignment w:val="auto"/>
              <w:rPr>
                <w:rFonts w:ascii="Times New Roman" w:hAnsi="Times New Roman" w:eastAsia="宋体" w:cs="Times New Roman"/>
                <w:snapToGrid/>
                <w:color w:val="auto"/>
                <w:spacing w:val="-4"/>
                <w:kern w:val="2"/>
                <w:sz w:val="24"/>
                <w:szCs w:val="24"/>
                <w:highlight w:val="none"/>
                <w:lang w:eastAsia="zh-CN"/>
              </w:rPr>
            </w:pPr>
            <w:r>
              <w:rPr>
                <w:rFonts w:hint="default" w:ascii="Times New Roman" w:hAnsi="Times New Roman" w:eastAsia="宋体" w:cs="Times New Roman"/>
                <w:snapToGrid/>
                <w:color w:val="auto"/>
                <w:spacing w:val="-4"/>
                <w:kern w:val="2"/>
                <w:sz w:val="24"/>
                <w:szCs w:val="24"/>
                <w:highlight w:val="none"/>
                <w:lang w:eastAsia="zh-CN"/>
              </w:rPr>
              <w:t>本项目营运期产生的废气主要为钣金车间的</w:t>
            </w:r>
            <w:r>
              <w:rPr>
                <w:rFonts w:hint="default" w:ascii="Times New Roman" w:hAnsi="Times New Roman" w:eastAsia="宋体" w:cs="Times New Roman"/>
                <w:snapToGrid/>
                <w:color w:val="auto"/>
                <w:spacing w:val="-4"/>
                <w:kern w:val="2"/>
                <w:sz w:val="24"/>
                <w:szCs w:val="24"/>
                <w:highlight w:val="none"/>
                <w:lang w:val="en-US" w:eastAsia="zh-CN"/>
              </w:rPr>
              <w:t>机加工粉尘</w:t>
            </w:r>
            <w:r>
              <w:rPr>
                <w:rFonts w:hint="eastAsia" w:ascii="Times New Roman" w:hAnsi="Times New Roman" w:eastAsia="宋体" w:cs="Times New Roman"/>
                <w:snapToGrid/>
                <w:color w:val="auto"/>
                <w:spacing w:val="-4"/>
                <w:kern w:val="2"/>
                <w:sz w:val="24"/>
                <w:szCs w:val="24"/>
                <w:highlight w:val="none"/>
                <w:lang w:val="en-US" w:eastAsia="zh-CN"/>
              </w:rPr>
              <w:t>（含切割粉尘、</w:t>
            </w:r>
            <w:r>
              <w:rPr>
                <w:rFonts w:hint="default" w:ascii="Times New Roman" w:hAnsi="Times New Roman" w:eastAsia="宋体" w:cs="Times New Roman"/>
                <w:snapToGrid/>
                <w:color w:val="auto"/>
                <w:spacing w:val="-4"/>
                <w:kern w:val="2"/>
                <w:sz w:val="24"/>
                <w:szCs w:val="24"/>
                <w:highlight w:val="none"/>
                <w:lang w:eastAsia="zh-CN"/>
              </w:rPr>
              <w:t>打磨抛光粉尘</w:t>
            </w:r>
            <w:r>
              <w:rPr>
                <w:rFonts w:hint="eastAsia" w:ascii="Times New Roman" w:hAnsi="Times New Roman" w:eastAsia="宋体" w:cs="Times New Roman"/>
                <w:snapToGrid/>
                <w:color w:val="auto"/>
                <w:spacing w:val="-4"/>
                <w:kern w:val="2"/>
                <w:sz w:val="24"/>
                <w:szCs w:val="24"/>
                <w:highlight w:val="none"/>
                <w:lang w:val="en-US" w:eastAsia="zh-CN"/>
              </w:rPr>
              <w:t>）</w:t>
            </w:r>
            <w:r>
              <w:rPr>
                <w:rFonts w:hint="default" w:ascii="Times New Roman" w:hAnsi="Times New Roman" w:eastAsia="宋体" w:cs="Times New Roman"/>
                <w:snapToGrid/>
                <w:color w:val="auto"/>
                <w:spacing w:val="-4"/>
                <w:kern w:val="2"/>
                <w:sz w:val="24"/>
                <w:szCs w:val="24"/>
                <w:highlight w:val="none"/>
                <w:lang w:val="en-US" w:eastAsia="zh-CN"/>
              </w:rPr>
              <w:t>、</w:t>
            </w:r>
            <w:r>
              <w:rPr>
                <w:rFonts w:hint="default" w:ascii="Times New Roman" w:hAnsi="Times New Roman" w:eastAsia="宋体" w:cs="Times New Roman"/>
                <w:snapToGrid/>
                <w:color w:val="auto"/>
                <w:spacing w:val="-4"/>
                <w:kern w:val="2"/>
                <w:sz w:val="24"/>
                <w:szCs w:val="24"/>
                <w:highlight w:val="none"/>
                <w:lang w:eastAsia="zh-CN"/>
              </w:rPr>
              <w:t>焊接烟尘；</w:t>
            </w:r>
            <w:r>
              <w:rPr>
                <w:rFonts w:hint="eastAsia" w:cs="Times New Roman"/>
                <w:snapToGrid/>
                <w:color w:val="auto"/>
                <w:spacing w:val="-4"/>
                <w:kern w:val="2"/>
                <w:sz w:val="24"/>
                <w:szCs w:val="24"/>
                <w:highlight w:val="none"/>
                <w:lang w:val="en-US" w:eastAsia="zh-CN"/>
              </w:rPr>
              <w:t>喷涂车间产生的喷粉粉尘、喷漆废气和固化废气</w:t>
            </w:r>
            <w:r>
              <w:rPr>
                <w:rFonts w:hint="default" w:ascii="Times New Roman" w:hAnsi="Times New Roman" w:eastAsia="宋体" w:cs="Times New Roman"/>
                <w:snapToGrid/>
                <w:color w:val="auto"/>
                <w:spacing w:val="-4"/>
                <w:kern w:val="2"/>
                <w:sz w:val="24"/>
                <w:szCs w:val="24"/>
                <w:highlight w:val="none"/>
                <w:lang w:val="en-US" w:eastAsia="zh-CN"/>
              </w:rPr>
              <w:t>以及</w:t>
            </w:r>
            <w:r>
              <w:rPr>
                <w:rFonts w:ascii="Times New Roman" w:hAnsi="Times New Roman" w:eastAsia="宋体" w:cs="Times New Roman"/>
                <w:snapToGrid/>
                <w:color w:val="auto"/>
                <w:spacing w:val="-4"/>
                <w:kern w:val="2"/>
                <w:sz w:val="24"/>
                <w:szCs w:val="24"/>
                <w:highlight w:val="none"/>
                <w:lang w:eastAsia="zh-CN"/>
              </w:rPr>
              <w:t>厨房油烟废气。</w:t>
            </w:r>
          </w:p>
          <w:p w14:paraId="79BC77D1">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eastAsia" w:ascii="Times New Roman"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表4-1</w:t>
            </w:r>
            <w:r>
              <w:rPr>
                <w:rFonts w:hint="eastAsia" w:ascii="Times New Roman" w:cs="Times New Roman"/>
                <w:b/>
                <w:bCs/>
                <w:color w:val="auto"/>
                <w:kern w:val="2"/>
                <w:sz w:val="21"/>
                <w:szCs w:val="21"/>
                <w:lang w:val="en-US" w:eastAsia="zh-CN" w:bidi="ar-SA"/>
              </w:rPr>
              <w:t xml:space="preserve"> </w:t>
            </w:r>
            <w:r>
              <w:rPr>
                <w:rFonts w:hint="eastAsia" w:ascii="Times New Roman" w:cs="Times New Roman"/>
                <w:b/>
                <w:bCs/>
                <w:color w:val="auto"/>
                <w:sz w:val="21"/>
                <w:szCs w:val="21"/>
                <w:highlight w:val="none"/>
              </w:rPr>
              <w:t>项目废气产排污节点、污染物及污染治理设施情况一览表</w:t>
            </w:r>
          </w:p>
          <w:tbl>
            <w:tblPr>
              <w:tblStyle w:val="49"/>
              <w:tblW w:w="49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40"/>
              <w:gridCol w:w="2242"/>
              <w:gridCol w:w="1131"/>
              <w:gridCol w:w="1717"/>
              <w:gridCol w:w="914"/>
              <w:gridCol w:w="1165"/>
              <w:gridCol w:w="2234"/>
              <w:gridCol w:w="1116"/>
              <w:gridCol w:w="988"/>
              <w:gridCol w:w="845"/>
            </w:tblGrid>
            <w:tr w14:paraId="1D8D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vMerge w:val="restart"/>
                  <w:noWrap w:val="0"/>
                  <w:vAlign w:val="center"/>
                </w:tcPr>
                <w:p w14:paraId="482470F7">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序号</w:t>
                  </w:r>
                </w:p>
              </w:tc>
              <w:tc>
                <w:tcPr>
                  <w:tcW w:w="876" w:type="pct"/>
                  <w:vMerge w:val="restart"/>
                  <w:noWrap w:val="0"/>
                  <w:vAlign w:val="center"/>
                </w:tcPr>
                <w:p w14:paraId="71C8FE92">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位置</w:t>
                  </w:r>
                </w:p>
              </w:tc>
              <w:tc>
                <w:tcPr>
                  <w:tcW w:w="442" w:type="pct"/>
                  <w:vMerge w:val="restart"/>
                  <w:noWrap w:val="0"/>
                  <w:vAlign w:val="center"/>
                </w:tcPr>
                <w:p w14:paraId="2A56784D">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产污环节</w:t>
                  </w:r>
                </w:p>
              </w:tc>
              <w:tc>
                <w:tcPr>
                  <w:tcW w:w="671" w:type="pct"/>
                  <w:vMerge w:val="restart"/>
                  <w:noWrap w:val="0"/>
                  <w:vAlign w:val="center"/>
                </w:tcPr>
                <w:p w14:paraId="57E771EF">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污染物种类</w:t>
                  </w:r>
                </w:p>
              </w:tc>
              <w:tc>
                <w:tcPr>
                  <w:tcW w:w="357" w:type="pct"/>
                  <w:vMerge w:val="restart"/>
                  <w:noWrap w:val="0"/>
                  <w:vAlign w:val="center"/>
                </w:tcPr>
                <w:p w14:paraId="524A2B18">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排放形式</w:t>
                  </w:r>
                </w:p>
              </w:tc>
              <w:tc>
                <w:tcPr>
                  <w:tcW w:w="2150" w:type="pct"/>
                  <w:gridSpan w:val="4"/>
                  <w:tcBorders>
                    <w:right w:val="single" w:color="000000" w:sz="4" w:space="0"/>
                  </w:tcBorders>
                  <w:noWrap w:val="0"/>
                  <w:vAlign w:val="center"/>
                </w:tcPr>
                <w:p w14:paraId="37BDF344">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污染防治设施</w:t>
                  </w:r>
                </w:p>
              </w:tc>
              <w:tc>
                <w:tcPr>
                  <w:tcW w:w="330" w:type="pct"/>
                  <w:vMerge w:val="restart"/>
                  <w:noWrap w:val="0"/>
                  <w:vAlign w:val="center"/>
                </w:tcPr>
                <w:p w14:paraId="73EB8BD6">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有组织排放编号</w:t>
                  </w:r>
                </w:p>
              </w:tc>
            </w:tr>
            <w:tr w14:paraId="6FE5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vMerge w:val="continue"/>
                  <w:noWrap w:val="0"/>
                  <w:vAlign w:val="center"/>
                </w:tcPr>
                <w:p w14:paraId="4AEC933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p>
              </w:tc>
              <w:tc>
                <w:tcPr>
                  <w:tcW w:w="876" w:type="pct"/>
                  <w:vMerge w:val="continue"/>
                  <w:noWrap w:val="0"/>
                  <w:vAlign w:val="center"/>
                </w:tcPr>
                <w:p w14:paraId="1EF6869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p>
              </w:tc>
              <w:tc>
                <w:tcPr>
                  <w:tcW w:w="442" w:type="pct"/>
                  <w:vMerge w:val="continue"/>
                  <w:noWrap w:val="0"/>
                  <w:vAlign w:val="center"/>
                </w:tcPr>
                <w:p w14:paraId="18ACFE3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p>
              </w:tc>
              <w:tc>
                <w:tcPr>
                  <w:tcW w:w="671" w:type="pct"/>
                  <w:vMerge w:val="continue"/>
                  <w:noWrap w:val="0"/>
                  <w:vAlign w:val="center"/>
                </w:tcPr>
                <w:p w14:paraId="6FE729E5">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p>
              </w:tc>
              <w:tc>
                <w:tcPr>
                  <w:tcW w:w="357" w:type="pct"/>
                  <w:vMerge w:val="continue"/>
                  <w:noWrap w:val="0"/>
                  <w:vAlign w:val="center"/>
                </w:tcPr>
                <w:p w14:paraId="557B986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p>
              </w:tc>
              <w:tc>
                <w:tcPr>
                  <w:tcW w:w="455" w:type="pct"/>
                  <w:noWrap w:val="0"/>
                  <w:vAlign w:val="center"/>
                </w:tcPr>
                <w:p w14:paraId="3E55F19D">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污染防治设施编号</w:t>
                  </w:r>
                </w:p>
              </w:tc>
              <w:tc>
                <w:tcPr>
                  <w:tcW w:w="873" w:type="pct"/>
                  <w:noWrap w:val="0"/>
                  <w:vAlign w:val="center"/>
                </w:tcPr>
                <w:p w14:paraId="35F7DAEF">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污染防治设施名称</w:t>
                  </w:r>
                </w:p>
              </w:tc>
              <w:tc>
                <w:tcPr>
                  <w:tcW w:w="436" w:type="pct"/>
                  <w:noWrap w:val="0"/>
                  <w:vAlign w:val="center"/>
                </w:tcPr>
                <w:p w14:paraId="5FEBCB51">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污染防治设施工艺</w:t>
                  </w:r>
                </w:p>
              </w:tc>
              <w:tc>
                <w:tcPr>
                  <w:tcW w:w="385" w:type="pct"/>
                  <w:tcBorders>
                    <w:right w:val="single" w:color="000000" w:sz="4" w:space="0"/>
                  </w:tcBorders>
                  <w:noWrap w:val="0"/>
                  <w:vAlign w:val="center"/>
                </w:tcPr>
                <w:p w14:paraId="32FBA054">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是否为可行性技术</w:t>
                  </w:r>
                </w:p>
              </w:tc>
              <w:tc>
                <w:tcPr>
                  <w:tcW w:w="330" w:type="pct"/>
                  <w:vMerge w:val="continue"/>
                  <w:noWrap w:val="0"/>
                  <w:vAlign w:val="center"/>
                </w:tcPr>
                <w:p w14:paraId="4B282555">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p>
              </w:tc>
            </w:tr>
            <w:tr w14:paraId="544A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noWrap w:val="0"/>
                  <w:vAlign w:val="center"/>
                </w:tcPr>
                <w:p w14:paraId="61C6E12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w:t>
                  </w:r>
                </w:p>
              </w:tc>
              <w:tc>
                <w:tcPr>
                  <w:tcW w:w="876" w:type="pct"/>
                  <w:noWrap w:val="0"/>
                  <w:vAlign w:val="center"/>
                </w:tcPr>
                <w:p w14:paraId="5F735C0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color w:val="auto"/>
                      <w:kern w:val="0"/>
                      <w:sz w:val="21"/>
                      <w:szCs w:val="21"/>
                      <w:highlight w:val="none"/>
                      <w:u w:val="none"/>
                      <w:lang w:val="en-US" w:eastAsia="zh-CN" w:bidi="ar"/>
                    </w:rPr>
                    <w:t>激光切割生产线</w:t>
                  </w:r>
                  <w:r>
                    <w:rPr>
                      <w:rFonts w:hint="eastAsia" w:ascii="Times New Roman" w:hAnsi="Times New Roman" w:eastAsia="宋体" w:cs="Times New Roman"/>
                      <w:i w:val="0"/>
                      <w:color w:val="auto"/>
                      <w:kern w:val="0"/>
                      <w:sz w:val="21"/>
                      <w:szCs w:val="21"/>
                      <w:highlight w:val="none"/>
                      <w:u w:val="none"/>
                      <w:lang w:val="en-US" w:eastAsia="zh-CN" w:bidi="ar"/>
                    </w:rPr>
                    <w:t>、数控切割机</w:t>
                  </w:r>
                </w:p>
              </w:tc>
              <w:tc>
                <w:tcPr>
                  <w:tcW w:w="442" w:type="pct"/>
                  <w:noWrap w:val="0"/>
                  <w:vAlign w:val="center"/>
                </w:tcPr>
                <w:p w14:paraId="665ABF86">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钣金成型（切割）</w:t>
                  </w:r>
                </w:p>
              </w:tc>
              <w:tc>
                <w:tcPr>
                  <w:tcW w:w="671" w:type="pct"/>
                  <w:noWrap w:val="0"/>
                  <w:vAlign w:val="center"/>
                </w:tcPr>
                <w:p w14:paraId="7D2D718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357" w:type="pct"/>
                  <w:noWrap w:val="0"/>
                  <w:vAlign w:val="center"/>
                </w:tcPr>
                <w:p w14:paraId="19D17DC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无组织</w:t>
                  </w:r>
                </w:p>
              </w:tc>
              <w:tc>
                <w:tcPr>
                  <w:tcW w:w="455" w:type="pct"/>
                  <w:noWrap w:val="0"/>
                  <w:vAlign w:val="center"/>
                </w:tcPr>
                <w:p w14:paraId="4D27344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873" w:type="pct"/>
                  <w:noWrap w:val="0"/>
                  <w:vAlign w:val="center"/>
                </w:tcPr>
                <w:p w14:paraId="7DC7F47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w:t>
                  </w:r>
                </w:p>
              </w:tc>
              <w:tc>
                <w:tcPr>
                  <w:tcW w:w="436" w:type="pct"/>
                  <w:noWrap w:val="0"/>
                  <w:vAlign w:val="center"/>
                </w:tcPr>
                <w:p w14:paraId="1023D2B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85" w:type="pct"/>
                  <w:noWrap w:val="0"/>
                  <w:vAlign w:val="center"/>
                </w:tcPr>
                <w:p w14:paraId="21CE8A4A">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30" w:type="pct"/>
                  <w:noWrap w:val="0"/>
                  <w:vAlign w:val="center"/>
                </w:tcPr>
                <w:p w14:paraId="666E5FA0">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w:t>
                  </w:r>
                </w:p>
              </w:tc>
            </w:tr>
            <w:tr w14:paraId="0D038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noWrap w:val="0"/>
                  <w:vAlign w:val="center"/>
                </w:tcPr>
                <w:p w14:paraId="4D1B538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w:t>
                  </w:r>
                </w:p>
              </w:tc>
              <w:tc>
                <w:tcPr>
                  <w:tcW w:w="876" w:type="pct"/>
                  <w:noWrap w:val="0"/>
                  <w:vAlign w:val="center"/>
                </w:tcPr>
                <w:p w14:paraId="1031491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高速激光焊机、进口氩弧焊机、多功能焊机</w:t>
                  </w:r>
                </w:p>
              </w:tc>
              <w:tc>
                <w:tcPr>
                  <w:tcW w:w="442" w:type="pct"/>
                  <w:noWrap w:val="0"/>
                  <w:vAlign w:val="center"/>
                </w:tcPr>
                <w:p w14:paraId="5C42DBE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钣金成型（焊接）</w:t>
                  </w:r>
                </w:p>
              </w:tc>
              <w:tc>
                <w:tcPr>
                  <w:tcW w:w="671" w:type="pct"/>
                  <w:noWrap w:val="0"/>
                  <w:vAlign w:val="center"/>
                </w:tcPr>
                <w:p w14:paraId="6615D88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颗粒物</w:t>
                  </w:r>
                </w:p>
              </w:tc>
              <w:tc>
                <w:tcPr>
                  <w:tcW w:w="357" w:type="pct"/>
                  <w:noWrap w:val="0"/>
                  <w:vAlign w:val="center"/>
                </w:tcPr>
                <w:p w14:paraId="2A939EC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无组织</w:t>
                  </w:r>
                </w:p>
              </w:tc>
              <w:tc>
                <w:tcPr>
                  <w:tcW w:w="455" w:type="pct"/>
                  <w:noWrap w:val="0"/>
                  <w:vAlign w:val="center"/>
                </w:tcPr>
                <w:p w14:paraId="37E7149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c>
                <w:tcPr>
                  <w:tcW w:w="873" w:type="pct"/>
                  <w:noWrap w:val="0"/>
                  <w:vAlign w:val="center"/>
                </w:tcPr>
                <w:p w14:paraId="64B8569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移动式焊烟净化器</w:t>
                  </w:r>
                </w:p>
              </w:tc>
              <w:tc>
                <w:tcPr>
                  <w:tcW w:w="436" w:type="pct"/>
                  <w:noWrap w:val="0"/>
                  <w:vAlign w:val="center"/>
                </w:tcPr>
                <w:p w14:paraId="6BCB7D7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滤筒除尘</w:t>
                  </w:r>
                </w:p>
              </w:tc>
              <w:tc>
                <w:tcPr>
                  <w:tcW w:w="385" w:type="pct"/>
                  <w:noWrap w:val="0"/>
                  <w:vAlign w:val="center"/>
                </w:tcPr>
                <w:p w14:paraId="16CA3AF3">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是</w:t>
                  </w:r>
                </w:p>
              </w:tc>
              <w:tc>
                <w:tcPr>
                  <w:tcW w:w="330" w:type="pct"/>
                  <w:noWrap w:val="0"/>
                  <w:vAlign w:val="center"/>
                </w:tcPr>
                <w:p w14:paraId="7406FA0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14:paraId="3A48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noWrap w:val="0"/>
                  <w:vAlign w:val="center"/>
                </w:tcPr>
                <w:p w14:paraId="4FC71371">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3</w:t>
                  </w:r>
                </w:p>
              </w:tc>
              <w:tc>
                <w:tcPr>
                  <w:tcW w:w="876" w:type="pct"/>
                  <w:noWrap w:val="0"/>
                  <w:vAlign w:val="center"/>
                </w:tcPr>
                <w:p w14:paraId="0D6C36D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手磨机</w:t>
                  </w:r>
                </w:p>
              </w:tc>
              <w:tc>
                <w:tcPr>
                  <w:tcW w:w="442" w:type="pct"/>
                  <w:noWrap w:val="0"/>
                  <w:vAlign w:val="center"/>
                </w:tcPr>
                <w:p w14:paraId="175BC2FF">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抛光打磨</w:t>
                  </w:r>
                </w:p>
              </w:tc>
              <w:tc>
                <w:tcPr>
                  <w:tcW w:w="671" w:type="pct"/>
                  <w:noWrap w:val="0"/>
                  <w:vAlign w:val="center"/>
                </w:tcPr>
                <w:p w14:paraId="23D3D54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颗粒物</w:t>
                  </w:r>
                </w:p>
              </w:tc>
              <w:tc>
                <w:tcPr>
                  <w:tcW w:w="357" w:type="pct"/>
                  <w:noWrap w:val="0"/>
                  <w:vAlign w:val="center"/>
                </w:tcPr>
                <w:p w14:paraId="650DDC3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无</w:t>
                  </w:r>
                  <w:r>
                    <w:rPr>
                      <w:rFonts w:hint="default" w:ascii="Times New Roman" w:hAnsi="Times New Roman" w:cs="Times New Roman"/>
                      <w:color w:val="auto"/>
                      <w:sz w:val="21"/>
                      <w:szCs w:val="21"/>
                      <w:highlight w:val="none"/>
                    </w:rPr>
                    <w:t>组织</w:t>
                  </w:r>
                </w:p>
              </w:tc>
              <w:tc>
                <w:tcPr>
                  <w:tcW w:w="455" w:type="pct"/>
                  <w:noWrap w:val="0"/>
                  <w:vAlign w:val="center"/>
                </w:tcPr>
                <w:p w14:paraId="1A7D3450">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c>
                <w:tcPr>
                  <w:tcW w:w="873" w:type="pct"/>
                  <w:noWrap w:val="0"/>
                  <w:vAlign w:val="center"/>
                </w:tcPr>
                <w:p w14:paraId="0AC4CA2A">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c>
                <w:tcPr>
                  <w:tcW w:w="436" w:type="pct"/>
                  <w:noWrap w:val="0"/>
                  <w:vAlign w:val="center"/>
                </w:tcPr>
                <w:p w14:paraId="0F2CD4E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385" w:type="pct"/>
                  <w:noWrap w:val="0"/>
                  <w:vAlign w:val="center"/>
                </w:tcPr>
                <w:p w14:paraId="31AD86B7">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c>
                <w:tcPr>
                  <w:tcW w:w="330" w:type="pct"/>
                  <w:noWrap w:val="0"/>
                  <w:vAlign w:val="center"/>
                </w:tcPr>
                <w:p w14:paraId="6B76C47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r>
            <w:tr w14:paraId="0098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noWrap w:val="0"/>
                  <w:vAlign w:val="center"/>
                </w:tcPr>
                <w:p w14:paraId="33776A4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876" w:type="pct"/>
                  <w:noWrap w:val="0"/>
                  <w:vAlign w:val="center"/>
                </w:tcPr>
                <w:p w14:paraId="65039E5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喷粉粉尘</w:t>
                  </w:r>
                </w:p>
              </w:tc>
              <w:tc>
                <w:tcPr>
                  <w:tcW w:w="442" w:type="pct"/>
                  <w:noWrap w:val="0"/>
                  <w:vAlign w:val="center"/>
                </w:tcPr>
                <w:p w14:paraId="4286356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喷粉</w:t>
                  </w:r>
                </w:p>
              </w:tc>
              <w:tc>
                <w:tcPr>
                  <w:tcW w:w="671" w:type="pct"/>
                  <w:shd w:val="clear" w:color="auto" w:fill="auto"/>
                  <w:noWrap w:val="0"/>
                  <w:vAlign w:val="center"/>
                </w:tcPr>
                <w:p w14:paraId="18F7A15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颗粒物</w:t>
                  </w:r>
                </w:p>
              </w:tc>
              <w:tc>
                <w:tcPr>
                  <w:tcW w:w="357" w:type="pct"/>
                  <w:shd w:val="clear" w:color="auto" w:fill="auto"/>
                  <w:noWrap w:val="0"/>
                  <w:vAlign w:val="center"/>
                </w:tcPr>
                <w:p w14:paraId="74B4FA75">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无组织</w:t>
                  </w:r>
                </w:p>
              </w:tc>
              <w:tc>
                <w:tcPr>
                  <w:tcW w:w="455" w:type="pct"/>
                  <w:noWrap w:val="0"/>
                  <w:vAlign w:val="center"/>
                </w:tcPr>
                <w:p w14:paraId="6868157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TA001</w:t>
                  </w:r>
                </w:p>
              </w:tc>
              <w:tc>
                <w:tcPr>
                  <w:tcW w:w="873" w:type="pct"/>
                  <w:noWrap w:val="0"/>
                  <w:vAlign w:val="center"/>
                </w:tcPr>
                <w:p w14:paraId="7D872DE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rPr>
                  </w:pPr>
                  <w:r>
                    <w:rPr>
                      <w:color w:val="auto"/>
                      <w:sz w:val="21"/>
                      <w:szCs w:val="21"/>
                    </w:rPr>
                    <w:t>大旋风+滤芯式二级回收系统</w:t>
                  </w:r>
                </w:p>
              </w:tc>
              <w:tc>
                <w:tcPr>
                  <w:tcW w:w="436" w:type="pct"/>
                  <w:noWrap w:val="0"/>
                  <w:vAlign w:val="center"/>
                </w:tcPr>
                <w:p w14:paraId="298B82E0">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w:t>
                  </w:r>
                </w:p>
              </w:tc>
              <w:tc>
                <w:tcPr>
                  <w:tcW w:w="385" w:type="pct"/>
                  <w:noWrap w:val="0"/>
                  <w:vAlign w:val="center"/>
                </w:tcPr>
                <w:p w14:paraId="5777761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w:t>
                  </w:r>
                </w:p>
              </w:tc>
              <w:tc>
                <w:tcPr>
                  <w:tcW w:w="330" w:type="pct"/>
                  <w:noWrap w:val="0"/>
                  <w:vAlign w:val="center"/>
                </w:tcPr>
                <w:p w14:paraId="0FF25A6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w:t>
                  </w:r>
                </w:p>
              </w:tc>
            </w:tr>
            <w:tr w14:paraId="1188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noWrap w:val="0"/>
                  <w:vAlign w:val="center"/>
                </w:tcPr>
                <w:p w14:paraId="687A9ED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876" w:type="pct"/>
                  <w:shd w:val="clear" w:color="auto" w:fill="auto"/>
                  <w:noWrap w:val="0"/>
                  <w:vAlign w:val="center"/>
                </w:tcPr>
                <w:p w14:paraId="4D2DC930">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喷漆</w:t>
                  </w:r>
                  <w:r>
                    <w:rPr>
                      <w:rFonts w:hint="eastAsia" w:cs="Times New Roman"/>
                      <w:color w:val="auto"/>
                      <w:sz w:val="21"/>
                      <w:szCs w:val="21"/>
                      <w:highlight w:val="none"/>
                      <w:lang w:val="en-US" w:eastAsia="zh-CN"/>
                    </w:rPr>
                    <w:t>线</w:t>
                  </w:r>
                </w:p>
              </w:tc>
              <w:tc>
                <w:tcPr>
                  <w:tcW w:w="442" w:type="pct"/>
                  <w:shd w:val="clear" w:color="auto" w:fill="auto"/>
                  <w:noWrap w:val="0"/>
                  <w:vAlign w:val="center"/>
                </w:tcPr>
                <w:p w14:paraId="0BA335F7">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喷漆</w:t>
                  </w:r>
                </w:p>
              </w:tc>
              <w:tc>
                <w:tcPr>
                  <w:tcW w:w="671" w:type="pct"/>
                  <w:shd w:val="clear" w:color="auto" w:fill="auto"/>
                  <w:noWrap w:val="0"/>
                  <w:vAlign w:val="center"/>
                </w:tcPr>
                <w:p w14:paraId="5A04CCE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颗粒物、非甲烷总烃、苯系物、臭气浓度</w:t>
                  </w:r>
                </w:p>
              </w:tc>
              <w:tc>
                <w:tcPr>
                  <w:tcW w:w="357" w:type="pct"/>
                  <w:shd w:val="clear" w:color="auto" w:fill="auto"/>
                  <w:noWrap w:val="0"/>
                  <w:vAlign w:val="center"/>
                </w:tcPr>
                <w:p w14:paraId="1E7E131A">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有组织</w:t>
                  </w:r>
                </w:p>
              </w:tc>
              <w:tc>
                <w:tcPr>
                  <w:tcW w:w="455" w:type="pct"/>
                  <w:shd w:val="clear" w:color="auto" w:fill="auto"/>
                  <w:noWrap w:val="0"/>
                  <w:vAlign w:val="center"/>
                </w:tcPr>
                <w:p w14:paraId="5C74201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TA00</w:t>
                  </w:r>
                  <w:r>
                    <w:rPr>
                      <w:rFonts w:hint="eastAsia" w:cs="Times New Roman"/>
                      <w:color w:val="auto"/>
                      <w:sz w:val="21"/>
                      <w:szCs w:val="21"/>
                      <w:highlight w:val="none"/>
                      <w:lang w:val="en-US" w:eastAsia="zh-CN"/>
                    </w:rPr>
                    <w:t>2</w:t>
                  </w:r>
                </w:p>
              </w:tc>
              <w:tc>
                <w:tcPr>
                  <w:tcW w:w="873" w:type="pct"/>
                  <w:shd w:val="clear" w:color="auto" w:fill="auto"/>
                  <w:noWrap w:val="0"/>
                  <w:vAlign w:val="center"/>
                </w:tcPr>
                <w:p w14:paraId="0D1121BF">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sz w:val="21"/>
                      <w:szCs w:val="21"/>
                      <w:highlight w:val="none"/>
                      <w:lang w:eastAsia="zh-CN"/>
                    </w:rPr>
                    <w:t>活性炭吸脱附+催化燃烧+活性炭吸附</w:t>
                  </w:r>
                </w:p>
              </w:tc>
              <w:tc>
                <w:tcPr>
                  <w:tcW w:w="436" w:type="pct"/>
                  <w:shd w:val="clear" w:color="auto" w:fill="auto"/>
                  <w:noWrap w:val="0"/>
                  <w:vAlign w:val="center"/>
                </w:tcPr>
                <w:p w14:paraId="3467F5C8">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sz w:val="21"/>
                      <w:szCs w:val="21"/>
                      <w:highlight w:val="none"/>
                      <w:lang w:eastAsia="zh-CN"/>
                    </w:rPr>
                    <w:t>活性炭吸脱附+催化燃烧+活性炭吸附</w:t>
                  </w:r>
                </w:p>
              </w:tc>
              <w:tc>
                <w:tcPr>
                  <w:tcW w:w="385" w:type="pct"/>
                  <w:shd w:val="clear" w:color="auto" w:fill="auto"/>
                  <w:noWrap w:val="0"/>
                  <w:vAlign w:val="center"/>
                </w:tcPr>
                <w:p w14:paraId="329A2F61">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是</w:t>
                  </w:r>
                </w:p>
              </w:tc>
              <w:tc>
                <w:tcPr>
                  <w:tcW w:w="330" w:type="pct"/>
                  <w:shd w:val="clear" w:color="auto" w:fill="auto"/>
                  <w:noWrap w:val="0"/>
                  <w:vAlign w:val="center"/>
                </w:tcPr>
                <w:p w14:paraId="34B39CA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DA001</w:t>
                  </w:r>
                </w:p>
              </w:tc>
            </w:tr>
            <w:tr w14:paraId="626A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shd w:val="clear" w:color="auto" w:fill="auto"/>
                  <w:noWrap w:val="0"/>
                  <w:vAlign w:val="center"/>
                </w:tcPr>
                <w:p w14:paraId="4B6D7B9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6</w:t>
                  </w:r>
                </w:p>
              </w:tc>
              <w:tc>
                <w:tcPr>
                  <w:tcW w:w="876" w:type="pct"/>
                  <w:shd w:val="clear" w:color="auto" w:fill="auto"/>
                  <w:noWrap w:val="0"/>
                  <w:vAlign w:val="center"/>
                </w:tcPr>
                <w:p w14:paraId="7526F3C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固化炉</w:t>
                  </w:r>
                </w:p>
              </w:tc>
              <w:tc>
                <w:tcPr>
                  <w:tcW w:w="442" w:type="pct"/>
                  <w:shd w:val="clear" w:color="auto" w:fill="auto"/>
                  <w:noWrap w:val="0"/>
                  <w:vAlign w:val="center"/>
                </w:tcPr>
                <w:p w14:paraId="30573061">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固化</w:t>
                  </w:r>
                </w:p>
              </w:tc>
              <w:tc>
                <w:tcPr>
                  <w:tcW w:w="671" w:type="pct"/>
                  <w:shd w:val="clear" w:color="auto" w:fill="auto"/>
                  <w:noWrap w:val="0"/>
                  <w:vAlign w:val="center"/>
                </w:tcPr>
                <w:p w14:paraId="21365C9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color w:val="auto"/>
                      <w:kern w:val="2"/>
                      <w:sz w:val="21"/>
                      <w:szCs w:val="21"/>
                      <w:highlight w:val="none"/>
                      <w:vertAlign w:val="baseline"/>
                      <w:lang w:val="en-US" w:eastAsia="zh-CN" w:bidi="ar-SA"/>
                    </w:rPr>
                  </w:pPr>
                  <w:r>
                    <w:rPr>
                      <w:rFonts w:hint="eastAsia" w:ascii="Times New Roman" w:hAnsi="Times New Roman" w:eastAsia="宋体" w:cs="Times New Roman"/>
                      <w:b w:val="0"/>
                      <w:bCs w:val="0"/>
                      <w:color w:val="auto"/>
                      <w:sz w:val="21"/>
                      <w:szCs w:val="21"/>
                      <w:highlight w:val="none"/>
                      <w:lang w:val="en-US" w:eastAsia="zh-CN"/>
                    </w:rPr>
                    <w:t>非甲烷总烃、臭气浓度、</w:t>
                  </w:r>
                  <w:r>
                    <w:rPr>
                      <w:rFonts w:hint="default" w:ascii="Times New Roman" w:hAnsi="Times New Roman" w:eastAsia="宋体" w:cs="Times New Roman"/>
                      <w:b w:val="0"/>
                      <w:bCs w:val="0"/>
                      <w:color w:val="auto"/>
                      <w:sz w:val="21"/>
                      <w:szCs w:val="21"/>
                      <w:highlight w:val="none"/>
                      <w:lang w:val="en-US" w:eastAsia="zh-CN"/>
                    </w:rPr>
                    <w:t>颗粒物、</w:t>
                  </w:r>
                  <w:r>
                    <w:rPr>
                      <w:rFonts w:hint="default" w:ascii="Times New Roman" w:hAnsi="Times New Roman" w:eastAsia="宋体" w:cs="Times New Roman"/>
                      <w:b w:val="0"/>
                      <w:bCs w:val="0"/>
                      <w:color w:val="auto"/>
                      <w:sz w:val="21"/>
                      <w:szCs w:val="21"/>
                      <w:highlight w:val="none"/>
                    </w:rPr>
                    <w:t>SO</w:t>
                  </w:r>
                  <w:r>
                    <w:rPr>
                      <w:rFonts w:hint="default" w:ascii="Times New Roman" w:hAnsi="Times New Roman" w:eastAsia="宋体" w:cs="Times New Roman"/>
                      <w:b w:val="0"/>
                      <w:bCs w:val="0"/>
                      <w:color w:val="auto"/>
                      <w:sz w:val="21"/>
                      <w:szCs w:val="21"/>
                      <w:highlight w:val="none"/>
                      <w:vertAlign w:val="subscript"/>
                    </w:rPr>
                    <w:t>2</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NO</w:t>
                  </w:r>
                  <w:r>
                    <w:rPr>
                      <w:rFonts w:hint="default" w:ascii="Times New Roman" w:hAnsi="Times New Roman" w:eastAsia="宋体" w:cs="Times New Roman"/>
                      <w:b w:val="0"/>
                      <w:bCs w:val="0"/>
                      <w:color w:val="auto"/>
                      <w:sz w:val="21"/>
                      <w:szCs w:val="21"/>
                      <w:highlight w:val="none"/>
                      <w:vertAlign w:val="subscript"/>
                    </w:rPr>
                    <w:t>X</w:t>
                  </w:r>
                  <w:r>
                    <w:rPr>
                      <w:rFonts w:hint="eastAsia" w:cs="Times New Roman"/>
                      <w:b w:val="0"/>
                      <w:bCs w:val="0"/>
                      <w:color w:val="auto"/>
                      <w:sz w:val="21"/>
                      <w:szCs w:val="21"/>
                      <w:highlight w:val="none"/>
                      <w:vertAlign w:val="baseline"/>
                      <w:lang w:eastAsia="zh-CN"/>
                    </w:rPr>
                    <w:t>、</w:t>
                  </w:r>
                  <w:r>
                    <w:rPr>
                      <w:rFonts w:hint="eastAsia" w:cs="Times New Roman"/>
                      <w:b w:val="0"/>
                      <w:bCs w:val="0"/>
                      <w:color w:val="auto"/>
                      <w:sz w:val="21"/>
                      <w:szCs w:val="21"/>
                      <w:highlight w:val="none"/>
                      <w:vertAlign w:val="baseline"/>
                      <w:lang w:val="en-US" w:eastAsia="zh-CN"/>
                    </w:rPr>
                    <w:t>烟气黑度</w:t>
                  </w:r>
                </w:p>
              </w:tc>
              <w:tc>
                <w:tcPr>
                  <w:tcW w:w="357" w:type="pct"/>
                  <w:shd w:val="clear" w:color="auto" w:fill="auto"/>
                  <w:noWrap w:val="0"/>
                  <w:vAlign w:val="center"/>
                </w:tcPr>
                <w:p w14:paraId="135B0EBD">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有组织</w:t>
                  </w:r>
                </w:p>
              </w:tc>
              <w:tc>
                <w:tcPr>
                  <w:tcW w:w="455" w:type="pct"/>
                  <w:shd w:val="clear" w:color="auto" w:fill="auto"/>
                  <w:noWrap w:val="0"/>
                  <w:vAlign w:val="center"/>
                </w:tcPr>
                <w:p w14:paraId="455EAC2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TA00</w:t>
                  </w:r>
                  <w:r>
                    <w:rPr>
                      <w:rFonts w:hint="eastAsia" w:cs="Times New Roman"/>
                      <w:color w:val="auto"/>
                      <w:sz w:val="21"/>
                      <w:szCs w:val="21"/>
                      <w:highlight w:val="none"/>
                      <w:lang w:val="en-US" w:eastAsia="zh-CN"/>
                    </w:rPr>
                    <w:t>3</w:t>
                  </w:r>
                </w:p>
              </w:tc>
              <w:tc>
                <w:tcPr>
                  <w:tcW w:w="873" w:type="pct"/>
                  <w:shd w:val="clear" w:color="auto" w:fill="auto"/>
                  <w:noWrap w:val="0"/>
                  <w:vAlign w:val="center"/>
                </w:tcPr>
                <w:p w14:paraId="5A3E4CE5">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kern w:val="0"/>
                      <w:sz w:val="21"/>
                      <w:szCs w:val="21"/>
                      <w:lang w:val="en-US" w:eastAsia="zh-CN" w:bidi="ar"/>
                    </w:rPr>
                    <w:t>二级活性炭吸附</w:t>
                  </w:r>
                </w:p>
              </w:tc>
              <w:tc>
                <w:tcPr>
                  <w:tcW w:w="436" w:type="pct"/>
                  <w:shd w:val="clear" w:color="auto" w:fill="auto"/>
                  <w:noWrap w:val="0"/>
                  <w:vAlign w:val="center"/>
                </w:tcPr>
                <w:p w14:paraId="2C7C1E3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kern w:val="0"/>
                      <w:sz w:val="21"/>
                      <w:szCs w:val="21"/>
                      <w:lang w:val="en-US" w:eastAsia="zh-CN" w:bidi="ar"/>
                    </w:rPr>
                    <w:t>二级活性炭吸附</w:t>
                  </w:r>
                </w:p>
              </w:tc>
              <w:tc>
                <w:tcPr>
                  <w:tcW w:w="385" w:type="pct"/>
                  <w:shd w:val="clear" w:color="auto" w:fill="auto"/>
                  <w:noWrap w:val="0"/>
                  <w:vAlign w:val="center"/>
                </w:tcPr>
                <w:p w14:paraId="0D6A7999">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是</w:t>
                  </w:r>
                </w:p>
              </w:tc>
              <w:tc>
                <w:tcPr>
                  <w:tcW w:w="330" w:type="pct"/>
                  <w:shd w:val="clear" w:color="auto" w:fill="auto"/>
                  <w:noWrap w:val="0"/>
                  <w:vAlign w:val="center"/>
                </w:tcPr>
                <w:p w14:paraId="2F35750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DA002</w:t>
                  </w:r>
                </w:p>
              </w:tc>
            </w:tr>
            <w:tr w14:paraId="33F0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shd w:val="clear" w:color="auto" w:fill="auto"/>
                  <w:noWrap w:val="0"/>
                  <w:vAlign w:val="center"/>
                </w:tcPr>
                <w:p w14:paraId="4158F5F9">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7</w:t>
                  </w:r>
                </w:p>
              </w:tc>
              <w:tc>
                <w:tcPr>
                  <w:tcW w:w="876" w:type="pct"/>
                  <w:shd w:val="clear" w:color="auto" w:fill="auto"/>
                  <w:noWrap w:val="0"/>
                  <w:vAlign w:val="center"/>
                </w:tcPr>
                <w:p w14:paraId="10793FAD">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食堂</w:t>
                  </w:r>
                </w:p>
              </w:tc>
              <w:tc>
                <w:tcPr>
                  <w:tcW w:w="442" w:type="pct"/>
                  <w:shd w:val="clear" w:color="auto" w:fill="auto"/>
                  <w:noWrap w:val="0"/>
                  <w:vAlign w:val="center"/>
                </w:tcPr>
                <w:p w14:paraId="1C87A603">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烹饪</w:t>
                  </w:r>
                </w:p>
              </w:tc>
              <w:tc>
                <w:tcPr>
                  <w:tcW w:w="671" w:type="pct"/>
                  <w:shd w:val="clear" w:color="auto" w:fill="auto"/>
                  <w:noWrap w:val="0"/>
                  <w:vAlign w:val="center"/>
                </w:tcPr>
                <w:p w14:paraId="02F262D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厨房油烟</w:t>
                  </w:r>
                </w:p>
              </w:tc>
              <w:tc>
                <w:tcPr>
                  <w:tcW w:w="357" w:type="pct"/>
                  <w:shd w:val="clear" w:color="auto" w:fill="auto"/>
                  <w:noWrap w:val="0"/>
                  <w:vAlign w:val="center"/>
                </w:tcPr>
                <w:p w14:paraId="75CBCAA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有组织</w:t>
                  </w:r>
                </w:p>
              </w:tc>
              <w:tc>
                <w:tcPr>
                  <w:tcW w:w="455" w:type="pct"/>
                  <w:shd w:val="clear" w:color="auto" w:fill="auto"/>
                  <w:noWrap w:val="0"/>
                  <w:vAlign w:val="center"/>
                </w:tcPr>
                <w:p w14:paraId="6E013D74">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TA00</w:t>
                  </w:r>
                  <w:r>
                    <w:rPr>
                      <w:rFonts w:hint="eastAsia" w:cs="Times New Roman"/>
                      <w:color w:val="auto"/>
                      <w:sz w:val="21"/>
                      <w:szCs w:val="21"/>
                      <w:highlight w:val="none"/>
                      <w:lang w:val="en-US" w:eastAsia="zh-CN"/>
                    </w:rPr>
                    <w:t>4</w:t>
                  </w:r>
                </w:p>
              </w:tc>
              <w:tc>
                <w:tcPr>
                  <w:tcW w:w="1309" w:type="pct"/>
                  <w:gridSpan w:val="2"/>
                  <w:shd w:val="clear" w:color="auto" w:fill="auto"/>
                  <w:noWrap w:val="0"/>
                  <w:vAlign w:val="center"/>
                </w:tcPr>
                <w:p w14:paraId="6CC3B82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eastAsia="zh-CN"/>
                    </w:rPr>
                    <w:t>高效静电油烟净化器</w:t>
                  </w:r>
                </w:p>
              </w:tc>
              <w:tc>
                <w:tcPr>
                  <w:tcW w:w="385" w:type="pct"/>
                  <w:shd w:val="clear" w:color="auto" w:fill="auto"/>
                  <w:noWrap w:val="0"/>
                  <w:vAlign w:val="center"/>
                </w:tcPr>
                <w:p w14:paraId="4061D50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是</w:t>
                  </w:r>
                </w:p>
              </w:tc>
              <w:tc>
                <w:tcPr>
                  <w:tcW w:w="330" w:type="pct"/>
                  <w:shd w:val="clear" w:color="auto" w:fill="auto"/>
                  <w:noWrap w:val="0"/>
                  <w:vAlign w:val="center"/>
                </w:tcPr>
                <w:p w14:paraId="27B6306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DA004</w:t>
                  </w:r>
                </w:p>
              </w:tc>
            </w:tr>
            <w:tr w14:paraId="15D7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trPr>
              <w:tc>
                <w:tcPr>
                  <w:tcW w:w="172" w:type="pct"/>
                  <w:shd w:val="clear" w:color="auto" w:fill="auto"/>
                  <w:noWrap w:val="0"/>
                  <w:vAlign w:val="center"/>
                </w:tcPr>
                <w:p w14:paraId="0B2A5B4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c>
                <w:tcPr>
                  <w:tcW w:w="876" w:type="pct"/>
                  <w:shd w:val="clear" w:color="auto" w:fill="auto"/>
                  <w:noWrap w:val="0"/>
                  <w:vAlign w:val="center"/>
                </w:tcPr>
                <w:p w14:paraId="1C4B1C1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表面预处理废气</w:t>
                  </w:r>
                </w:p>
              </w:tc>
              <w:tc>
                <w:tcPr>
                  <w:tcW w:w="442" w:type="pct"/>
                  <w:shd w:val="clear" w:color="auto" w:fill="auto"/>
                  <w:noWrap w:val="0"/>
                  <w:vAlign w:val="center"/>
                </w:tcPr>
                <w:p w14:paraId="0723E6EA">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脱脂、无铬钝化、烘干</w:t>
                  </w:r>
                </w:p>
              </w:tc>
              <w:tc>
                <w:tcPr>
                  <w:tcW w:w="671" w:type="pct"/>
                  <w:shd w:val="clear" w:color="auto" w:fill="auto"/>
                  <w:noWrap w:val="0"/>
                  <w:vAlign w:val="center"/>
                </w:tcPr>
                <w:p w14:paraId="4A263C3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氟化物、</w:t>
                  </w:r>
                  <w:r>
                    <w:rPr>
                      <w:rFonts w:hint="default" w:ascii="Times New Roman" w:hAnsi="Times New Roman" w:eastAsia="宋体" w:cs="Times New Roman"/>
                      <w:b w:val="0"/>
                      <w:bCs w:val="0"/>
                      <w:color w:val="auto"/>
                      <w:sz w:val="21"/>
                      <w:szCs w:val="21"/>
                      <w:highlight w:val="none"/>
                      <w:lang w:val="en-US" w:eastAsia="zh-CN"/>
                    </w:rPr>
                    <w:t>颗粒物、</w:t>
                  </w:r>
                  <w:r>
                    <w:rPr>
                      <w:rFonts w:hint="default" w:ascii="Times New Roman" w:hAnsi="Times New Roman" w:eastAsia="宋体" w:cs="Times New Roman"/>
                      <w:b w:val="0"/>
                      <w:bCs w:val="0"/>
                      <w:color w:val="auto"/>
                      <w:sz w:val="21"/>
                      <w:szCs w:val="21"/>
                      <w:highlight w:val="none"/>
                    </w:rPr>
                    <w:t>SO</w:t>
                  </w:r>
                  <w:r>
                    <w:rPr>
                      <w:rFonts w:hint="default" w:ascii="Times New Roman" w:hAnsi="Times New Roman" w:eastAsia="宋体" w:cs="Times New Roman"/>
                      <w:b w:val="0"/>
                      <w:bCs w:val="0"/>
                      <w:color w:val="auto"/>
                      <w:sz w:val="21"/>
                      <w:szCs w:val="21"/>
                      <w:highlight w:val="none"/>
                      <w:vertAlign w:val="subscript"/>
                    </w:rPr>
                    <w:t>2</w:t>
                  </w:r>
                  <w:r>
                    <w:rPr>
                      <w:rFonts w:hint="default" w:ascii="Times New Roman" w:hAnsi="Times New Roman" w:eastAsia="宋体" w:cs="Times New Roman"/>
                      <w:b w:val="0"/>
                      <w:bCs w:val="0"/>
                      <w:color w:val="auto"/>
                      <w:sz w:val="21"/>
                      <w:szCs w:val="21"/>
                      <w:highlight w:val="none"/>
                      <w:lang w:eastAsia="zh-CN"/>
                    </w:rPr>
                    <w:t>、</w:t>
                  </w:r>
                  <w:r>
                    <w:rPr>
                      <w:rFonts w:hint="default" w:ascii="Times New Roman" w:hAnsi="Times New Roman" w:eastAsia="宋体" w:cs="Times New Roman"/>
                      <w:b w:val="0"/>
                      <w:bCs w:val="0"/>
                      <w:color w:val="auto"/>
                      <w:sz w:val="21"/>
                      <w:szCs w:val="21"/>
                      <w:highlight w:val="none"/>
                    </w:rPr>
                    <w:t>NO</w:t>
                  </w:r>
                  <w:r>
                    <w:rPr>
                      <w:rFonts w:hint="default" w:ascii="Times New Roman" w:hAnsi="Times New Roman" w:eastAsia="宋体" w:cs="Times New Roman"/>
                      <w:b w:val="0"/>
                      <w:bCs w:val="0"/>
                      <w:color w:val="auto"/>
                      <w:sz w:val="21"/>
                      <w:szCs w:val="21"/>
                      <w:highlight w:val="none"/>
                      <w:vertAlign w:val="subscript"/>
                    </w:rPr>
                    <w:t>X</w:t>
                  </w:r>
                  <w:r>
                    <w:rPr>
                      <w:rFonts w:hint="eastAsia" w:cs="Times New Roman"/>
                      <w:b w:val="0"/>
                      <w:bCs w:val="0"/>
                      <w:color w:val="auto"/>
                      <w:sz w:val="21"/>
                      <w:szCs w:val="21"/>
                      <w:highlight w:val="none"/>
                      <w:vertAlign w:val="baseline"/>
                      <w:lang w:eastAsia="zh-CN"/>
                    </w:rPr>
                    <w:t>、</w:t>
                  </w:r>
                  <w:r>
                    <w:rPr>
                      <w:rFonts w:hint="eastAsia" w:cs="Times New Roman"/>
                      <w:b w:val="0"/>
                      <w:bCs w:val="0"/>
                      <w:color w:val="auto"/>
                      <w:sz w:val="21"/>
                      <w:szCs w:val="21"/>
                      <w:highlight w:val="none"/>
                      <w:vertAlign w:val="baseline"/>
                      <w:lang w:val="en-US" w:eastAsia="zh-CN"/>
                    </w:rPr>
                    <w:t>烟气黑度</w:t>
                  </w:r>
                </w:p>
              </w:tc>
              <w:tc>
                <w:tcPr>
                  <w:tcW w:w="357" w:type="pct"/>
                  <w:shd w:val="clear" w:color="auto" w:fill="auto"/>
                  <w:noWrap w:val="0"/>
                  <w:vAlign w:val="center"/>
                </w:tcPr>
                <w:p w14:paraId="3764C885">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有组织</w:t>
                  </w:r>
                </w:p>
              </w:tc>
              <w:tc>
                <w:tcPr>
                  <w:tcW w:w="455" w:type="pct"/>
                  <w:shd w:val="clear" w:color="auto" w:fill="auto"/>
                  <w:noWrap w:val="0"/>
                  <w:vAlign w:val="center"/>
                </w:tcPr>
                <w:p w14:paraId="4C5B46B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TA005</w:t>
                  </w:r>
                </w:p>
              </w:tc>
              <w:tc>
                <w:tcPr>
                  <w:tcW w:w="873" w:type="pct"/>
                  <w:shd w:val="clear" w:color="auto" w:fill="auto"/>
                  <w:noWrap w:val="0"/>
                  <w:vAlign w:val="center"/>
                </w:tcPr>
                <w:p w14:paraId="4A7F2A8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碱液喷淋</w:t>
                  </w:r>
                </w:p>
              </w:tc>
              <w:tc>
                <w:tcPr>
                  <w:tcW w:w="436" w:type="pct"/>
                  <w:shd w:val="clear" w:color="auto" w:fill="auto"/>
                  <w:noWrap w:val="0"/>
                  <w:vAlign w:val="center"/>
                </w:tcPr>
                <w:p w14:paraId="26F27BC7">
                  <w:pPr>
                    <w:keepNext w:val="0"/>
                    <w:keepLines w:val="0"/>
                    <w:suppressLineNumbers w:val="0"/>
                    <w:spacing w:before="0" w:beforeAutospacing="0" w:after="0" w:afterAutospacing="0" w:line="240" w:lineRule="auto"/>
                    <w:ind w:left="0" w:leftChars="0" w:right="0" w:rightChars="0"/>
                    <w:jc w:val="center"/>
                    <w:rPr>
                      <w:rFonts w:hint="default"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碱液喷淋</w:t>
                  </w:r>
                </w:p>
              </w:tc>
              <w:tc>
                <w:tcPr>
                  <w:tcW w:w="385" w:type="pct"/>
                  <w:shd w:val="clear" w:color="auto" w:fill="auto"/>
                  <w:noWrap w:val="0"/>
                  <w:vAlign w:val="center"/>
                </w:tcPr>
                <w:p w14:paraId="1351CF88">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30" w:type="pct"/>
                  <w:shd w:val="clear" w:color="auto" w:fill="auto"/>
                  <w:noWrap w:val="0"/>
                  <w:vAlign w:val="center"/>
                </w:tcPr>
                <w:p w14:paraId="1414788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DA003</w:t>
                  </w:r>
                </w:p>
              </w:tc>
            </w:tr>
          </w:tbl>
          <w:p w14:paraId="1C9D543B">
            <w:pPr>
              <w:keepNext w:val="0"/>
              <w:keepLines w:val="0"/>
              <w:pageBreakBefore w:val="0"/>
              <w:widowControl w:val="0"/>
              <w:kinsoku/>
              <w:wordWrap/>
              <w:overflowPunct/>
              <w:topLinePunct w:val="0"/>
              <w:autoSpaceDE/>
              <w:autoSpaceDN/>
              <w:bidi w:val="0"/>
              <w:adjustRightInd/>
              <w:snapToGrid/>
              <w:spacing w:line="120" w:lineRule="exact"/>
              <w:ind w:firstLine="464" w:firstLineChars="200"/>
              <w:jc w:val="both"/>
              <w:textAlignment w:val="auto"/>
              <w:rPr>
                <w:rFonts w:ascii="Times New Roman" w:hAnsi="Times New Roman" w:eastAsia="宋体" w:cs="Times New Roman"/>
                <w:snapToGrid/>
                <w:color w:val="auto"/>
                <w:spacing w:val="-4"/>
                <w:kern w:val="2"/>
                <w:sz w:val="24"/>
                <w:szCs w:val="24"/>
                <w:highlight w:val="none"/>
                <w:lang w:eastAsia="zh-CN"/>
              </w:rPr>
            </w:pPr>
          </w:p>
          <w:p w14:paraId="2A6384C2">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cs="Times New Roman"/>
                <w:b/>
                <w:color w:val="auto"/>
                <w:sz w:val="24"/>
                <w:szCs w:val="24"/>
                <w:highlight w:val="none"/>
              </w:rPr>
            </w:pPr>
            <w:r>
              <w:rPr>
                <w:rFonts w:hint="default" w:ascii="Times New Roman" w:hAnsi="Times New Roman" w:eastAsia="宋体....." w:cs="Times New Roman"/>
                <w:b/>
                <w:color w:val="auto"/>
                <w:kern w:val="2"/>
                <w:sz w:val="21"/>
                <w:szCs w:val="21"/>
                <w:lang w:val="en-US" w:eastAsia="zh-CN" w:bidi="ar-SA"/>
              </w:rPr>
              <w:t>表4-2</w:t>
            </w:r>
            <w:r>
              <w:rPr>
                <w:rFonts w:hint="eastAsia" w:ascii="Times New Roman" w:cs="Times New Roman"/>
                <w:b/>
                <w:color w:val="auto"/>
                <w:kern w:val="2"/>
                <w:sz w:val="21"/>
                <w:szCs w:val="21"/>
                <w:lang w:val="en-US" w:eastAsia="zh-CN" w:bidi="ar-SA"/>
              </w:rPr>
              <w:t xml:space="preserve">  </w:t>
            </w:r>
            <w:r>
              <w:rPr>
                <w:rFonts w:hint="default" w:ascii="Times New Roman" w:hAnsi="Times New Roman" w:eastAsia="宋体" w:cs="Times New Roman"/>
                <w:b/>
                <w:bCs/>
                <w:color w:val="auto"/>
                <w:sz w:val="21"/>
                <w:szCs w:val="21"/>
                <w:highlight w:val="none"/>
                <w:lang w:val="en-US" w:eastAsia="zh-CN"/>
              </w:rPr>
              <w:t>本项目</w:t>
            </w:r>
            <w:r>
              <w:rPr>
                <w:rFonts w:hint="eastAsia" w:ascii="Times New Roman" w:hAnsi="Times New Roman" w:eastAsia="宋体" w:cs="Times New Roman"/>
                <w:b/>
                <w:bCs/>
                <w:color w:val="auto"/>
                <w:sz w:val="21"/>
                <w:szCs w:val="21"/>
                <w:highlight w:val="none"/>
                <w:lang w:val="en-US" w:eastAsia="zh-CN"/>
              </w:rPr>
              <w:t>废气产排</w:t>
            </w:r>
            <w:r>
              <w:rPr>
                <w:rFonts w:hint="default" w:ascii="Times New Roman" w:hAnsi="Times New Roman" w:eastAsia="宋体" w:cs="Times New Roman"/>
                <w:b/>
                <w:bCs/>
                <w:color w:val="auto"/>
                <w:sz w:val="21"/>
                <w:szCs w:val="21"/>
                <w:highlight w:val="none"/>
                <w:lang w:val="en-US" w:eastAsia="zh-CN"/>
              </w:rPr>
              <w:t>情况</w:t>
            </w:r>
            <w:r>
              <w:rPr>
                <w:rFonts w:hint="eastAsia" w:ascii="Times New Roman" w:hAnsi="Times New Roman" w:eastAsia="宋体" w:cs="Times New Roman"/>
                <w:b/>
                <w:bCs/>
                <w:color w:val="auto"/>
                <w:sz w:val="21"/>
                <w:szCs w:val="21"/>
                <w:highlight w:val="none"/>
                <w:lang w:val="en-US" w:eastAsia="zh-CN"/>
              </w:rPr>
              <w:t>一览</w:t>
            </w:r>
            <w:r>
              <w:rPr>
                <w:rFonts w:hint="default" w:ascii="Times New Roman" w:hAnsi="Times New Roman" w:eastAsia="宋体" w:cs="Times New Roman"/>
                <w:b/>
                <w:bCs/>
                <w:color w:val="auto"/>
                <w:sz w:val="21"/>
                <w:szCs w:val="21"/>
                <w:highlight w:val="none"/>
                <w:lang w:val="en-US" w:eastAsia="zh-CN"/>
              </w:rPr>
              <w:t>表</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1012"/>
              <w:gridCol w:w="873"/>
              <w:gridCol w:w="1074"/>
              <w:gridCol w:w="1102"/>
              <w:gridCol w:w="904"/>
              <w:gridCol w:w="1109"/>
              <w:gridCol w:w="735"/>
              <w:gridCol w:w="670"/>
              <w:gridCol w:w="873"/>
              <w:gridCol w:w="1109"/>
              <w:gridCol w:w="1225"/>
              <w:gridCol w:w="878"/>
            </w:tblGrid>
            <w:tr w14:paraId="7178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3D14C121">
                  <w:pPr>
                    <w:pStyle w:val="109"/>
                    <w:bidi w:val="0"/>
                    <w:rPr>
                      <w:rFonts w:hint="default" w:ascii="Times New Roman" w:hAnsi="Times New Roman" w:cs="Times New Roman"/>
                      <w:b/>
                      <w:color w:val="auto"/>
                      <w:sz w:val="21"/>
                      <w:szCs w:val="21"/>
                      <w:highlight w:val="none"/>
                    </w:rPr>
                  </w:pPr>
                  <w:r>
                    <w:rPr>
                      <w:rFonts w:hint="default" w:ascii="Times New Roman" w:hAnsi="Times New Roman" w:eastAsia="宋体" w:cs="Times New Roman"/>
                      <w:b/>
                      <w:bCs/>
                      <w:snapToGrid/>
                      <w:color w:val="auto"/>
                      <w:kern w:val="2"/>
                      <w:sz w:val="21"/>
                      <w:szCs w:val="21"/>
                      <w:highlight w:val="none"/>
                      <w:lang w:eastAsia="zh-CN"/>
                    </w:rPr>
                    <w:t>污染源</w:t>
                  </w:r>
                </w:p>
              </w:tc>
              <w:tc>
                <w:tcPr>
                  <w:tcW w:w="394" w:type="pct"/>
                  <w:vMerge w:val="restart"/>
                  <w:tcBorders>
                    <w:tl2br w:val="nil"/>
                    <w:tr2bl w:val="nil"/>
                  </w:tcBorders>
                  <w:noWrap w:val="0"/>
                  <w:tcMar>
                    <w:top w:w="0" w:type="dxa"/>
                    <w:left w:w="0" w:type="dxa"/>
                    <w:bottom w:w="0" w:type="dxa"/>
                    <w:right w:w="0" w:type="dxa"/>
                  </w:tcMar>
                  <w:vAlign w:val="center"/>
                </w:tcPr>
                <w:p w14:paraId="0D9B910E">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污染物种类</w:t>
                  </w:r>
                </w:p>
              </w:tc>
              <w:tc>
                <w:tcPr>
                  <w:tcW w:w="1187" w:type="pct"/>
                  <w:gridSpan w:val="3"/>
                  <w:tcBorders>
                    <w:tl2br w:val="nil"/>
                    <w:tr2bl w:val="nil"/>
                  </w:tcBorders>
                  <w:noWrap w:val="0"/>
                  <w:tcMar>
                    <w:top w:w="0" w:type="dxa"/>
                    <w:left w:w="0" w:type="dxa"/>
                    <w:bottom w:w="0" w:type="dxa"/>
                    <w:right w:w="0" w:type="dxa"/>
                  </w:tcMar>
                  <w:vAlign w:val="center"/>
                </w:tcPr>
                <w:p w14:paraId="7F804AFA">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污染物产生情况</w:t>
                  </w:r>
                </w:p>
              </w:tc>
              <w:tc>
                <w:tcPr>
                  <w:tcW w:w="352" w:type="pct"/>
                  <w:vMerge w:val="restart"/>
                  <w:tcBorders>
                    <w:tl2br w:val="nil"/>
                    <w:tr2bl w:val="nil"/>
                  </w:tcBorders>
                  <w:noWrap w:val="0"/>
                  <w:tcMar>
                    <w:top w:w="0" w:type="dxa"/>
                    <w:left w:w="0" w:type="dxa"/>
                    <w:bottom w:w="0" w:type="dxa"/>
                    <w:right w:w="0" w:type="dxa"/>
                  </w:tcMar>
                  <w:vAlign w:val="center"/>
                </w:tcPr>
                <w:p w14:paraId="019C2B7C">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排放形式</w:t>
                  </w:r>
                </w:p>
              </w:tc>
              <w:tc>
                <w:tcPr>
                  <w:tcW w:w="979" w:type="pct"/>
                  <w:gridSpan w:val="3"/>
                  <w:tcBorders>
                    <w:tl2br w:val="nil"/>
                    <w:tr2bl w:val="nil"/>
                  </w:tcBorders>
                  <w:noWrap w:val="0"/>
                  <w:tcMar>
                    <w:top w:w="0" w:type="dxa"/>
                    <w:left w:w="0" w:type="dxa"/>
                    <w:bottom w:w="0" w:type="dxa"/>
                    <w:right w:w="0" w:type="dxa"/>
                  </w:tcMar>
                  <w:vAlign w:val="center"/>
                </w:tcPr>
                <w:p w14:paraId="4C8CDC07">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治理设施情况</w:t>
                  </w:r>
                </w:p>
              </w:tc>
              <w:tc>
                <w:tcPr>
                  <w:tcW w:w="1249" w:type="pct"/>
                  <w:gridSpan w:val="3"/>
                  <w:tcBorders>
                    <w:tl2br w:val="nil"/>
                    <w:tr2bl w:val="nil"/>
                  </w:tcBorders>
                  <w:noWrap w:val="0"/>
                  <w:tcMar>
                    <w:top w:w="0" w:type="dxa"/>
                    <w:left w:w="0" w:type="dxa"/>
                    <w:bottom w:w="0" w:type="dxa"/>
                    <w:right w:w="0" w:type="dxa"/>
                  </w:tcMar>
                  <w:vAlign w:val="center"/>
                </w:tcPr>
                <w:p w14:paraId="2BE1B6CC">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污染物排放情况</w:t>
                  </w:r>
                </w:p>
              </w:tc>
              <w:tc>
                <w:tcPr>
                  <w:tcW w:w="342" w:type="pct"/>
                  <w:vMerge w:val="restart"/>
                  <w:tcBorders>
                    <w:tl2br w:val="nil"/>
                    <w:tr2bl w:val="nil"/>
                  </w:tcBorders>
                  <w:noWrap w:val="0"/>
                  <w:tcMar>
                    <w:top w:w="0" w:type="dxa"/>
                    <w:left w:w="0" w:type="dxa"/>
                    <w:bottom w:w="0" w:type="dxa"/>
                    <w:right w:w="0" w:type="dxa"/>
                  </w:tcMar>
                  <w:vAlign w:val="center"/>
                </w:tcPr>
                <w:p w14:paraId="6968F95B">
                  <w:pPr>
                    <w:jc w:val="center"/>
                    <w:rPr>
                      <w:rFonts w:hint="default" w:ascii="Times New Roman" w:hAnsi="Times New Roman" w:cs="Times New Roman"/>
                      <w:b/>
                      <w:color w:val="auto"/>
                      <w:sz w:val="21"/>
                      <w:szCs w:val="21"/>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排放时间（h）</w:t>
                  </w:r>
                </w:p>
              </w:tc>
            </w:tr>
            <w:tr w14:paraId="2C64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67243084">
                  <w:pPr>
                    <w:jc w:val="center"/>
                    <w:rPr>
                      <w:rFonts w:hint="default" w:ascii="Times New Roman" w:hAnsi="Times New Roman" w:cs="Times New Roman"/>
                      <w:b/>
                      <w:color w:val="auto"/>
                      <w:sz w:val="21"/>
                      <w:szCs w:val="21"/>
                      <w:highlight w:val="none"/>
                    </w:rPr>
                  </w:pPr>
                </w:p>
              </w:tc>
              <w:tc>
                <w:tcPr>
                  <w:tcW w:w="394" w:type="pct"/>
                  <w:vMerge w:val="continue"/>
                  <w:tcBorders>
                    <w:tl2br w:val="nil"/>
                    <w:tr2bl w:val="nil"/>
                  </w:tcBorders>
                  <w:noWrap w:val="0"/>
                  <w:tcMar>
                    <w:top w:w="0" w:type="dxa"/>
                    <w:left w:w="0" w:type="dxa"/>
                    <w:bottom w:w="0" w:type="dxa"/>
                    <w:right w:w="0" w:type="dxa"/>
                  </w:tcMar>
                  <w:vAlign w:val="center"/>
                </w:tcPr>
                <w:p w14:paraId="0CE8BC7A">
                  <w:pPr>
                    <w:jc w:val="center"/>
                    <w:rPr>
                      <w:rFonts w:hint="default" w:ascii="Times New Roman" w:hAnsi="Times New Roman" w:cs="Times New Roman"/>
                      <w:b/>
                      <w:color w:val="auto"/>
                      <w:sz w:val="21"/>
                      <w:szCs w:val="21"/>
                      <w:highlight w:val="none"/>
                    </w:rPr>
                  </w:pPr>
                </w:p>
              </w:tc>
              <w:tc>
                <w:tcPr>
                  <w:tcW w:w="340" w:type="pct"/>
                  <w:tcBorders>
                    <w:tl2br w:val="nil"/>
                    <w:tr2bl w:val="nil"/>
                  </w:tcBorders>
                  <w:noWrap w:val="0"/>
                  <w:tcMar>
                    <w:top w:w="0" w:type="dxa"/>
                    <w:left w:w="0" w:type="dxa"/>
                    <w:bottom w:w="0" w:type="dxa"/>
                    <w:right w:w="0" w:type="dxa"/>
                  </w:tcMar>
                  <w:vAlign w:val="center"/>
                </w:tcPr>
                <w:p w14:paraId="3D972156">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产生量（t/a）</w:t>
                  </w:r>
                </w:p>
              </w:tc>
              <w:tc>
                <w:tcPr>
                  <w:tcW w:w="418" w:type="pct"/>
                  <w:tcBorders>
                    <w:tl2br w:val="nil"/>
                    <w:tr2bl w:val="nil"/>
                  </w:tcBorders>
                  <w:noWrap w:val="0"/>
                  <w:tcMar>
                    <w:top w:w="0" w:type="dxa"/>
                    <w:left w:w="0" w:type="dxa"/>
                    <w:bottom w:w="0" w:type="dxa"/>
                    <w:right w:w="0" w:type="dxa"/>
                  </w:tcMar>
                  <w:vAlign w:val="center"/>
                </w:tcPr>
                <w:p w14:paraId="6C52B9C5">
                  <w:pPr>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cs="Times New Roman"/>
                      <w:b/>
                      <w:color w:val="auto"/>
                      <w:sz w:val="21"/>
                      <w:szCs w:val="21"/>
                      <w:highlight w:val="none"/>
                    </w:rPr>
                    <w:t>产生速率</w:t>
                  </w:r>
                  <w:r>
                    <w:rPr>
                      <w:rFonts w:hint="default" w:ascii="Times New Roman" w:hAnsi="Times New Roman" w:cs="Times New Roman"/>
                      <w:b/>
                      <w:color w:val="auto"/>
                      <w:sz w:val="21"/>
                      <w:szCs w:val="21"/>
                      <w:highlight w:val="none"/>
                      <w:lang w:eastAsia="zh-CN"/>
                    </w:rPr>
                    <w:t>（</w:t>
                  </w:r>
                  <w:r>
                    <w:rPr>
                      <w:rFonts w:hint="default" w:ascii="Times New Roman" w:hAnsi="Times New Roman" w:cs="Times New Roman"/>
                      <w:b/>
                      <w:color w:val="auto"/>
                      <w:sz w:val="21"/>
                      <w:szCs w:val="21"/>
                      <w:highlight w:val="none"/>
                    </w:rPr>
                    <w:t>kg/h</w:t>
                  </w:r>
                  <w:r>
                    <w:rPr>
                      <w:rFonts w:hint="default" w:ascii="Times New Roman" w:hAnsi="Times New Roman" w:cs="Times New Roman"/>
                      <w:b/>
                      <w:color w:val="auto"/>
                      <w:sz w:val="21"/>
                      <w:szCs w:val="21"/>
                      <w:highlight w:val="none"/>
                      <w:lang w:eastAsia="zh-CN"/>
                    </w:rPr>
                    <w:t>）</w:t>
                  </w:r>
                </w:p>
              </w:tc>
              <w:tc>
                <w:tcPr>
                  <w:tcW w:w="429" w:type="pct"/>
                  <w:tcBorders>
                    <w:tl2br w:val="nil"/>
                    <w:tr2bl w:val="nil"/>
                  </w:tcBorders>
                  <w:noWrap w:val="0"/>
                  <w:tcMar>
                    <w:top w:w="0" w:type="dxa"/>
                    <w:left w:w="0" w:type="dxa"/>
                    <w:bottom w:w="0" w:type="dxa"/>
                    <w:right w:w="0" w:type="dxa"/>
                  </w:tcMar>
                  <w:vAlign w:val="center"/>
                </w:tcPr>
                <w:p w14:paraId="6E012946">
                  <w:pPr>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rPr>
                    <w:t>产生浓度</w:t>
                  </w:r>
                  <w:r>
                    <w:rPr>
                      <w:rFonts w:hint="default" w:ascii="Times New Roman" w:hAnsi="Times New Roman" w:cs="Times New Roman"/>
                      <w:b/>
                      <w:color w:val="auto"/>
                      <w:sz w:val="21"/>
                      <w:szCs w:val="21"/>
                      <w:highlight w:val="none"/>
                      <w:lang w:val="en-US" w:eastAsia="zh-CN"/>
                    </w:rPr>
                    <w:t>(</w:t>
                  </w:r>
                  <w:r>
                    <w:rPr>
                      <w:rFonts w:hint="default" w:ascii="Times New Roman" w:hAnsi="Times New Roman" w:cs="Times New Roman"/>
                      <w:b/>
                      <w:bCs/>
                      <w:color w:val="auto"/>
                      <w:sz w:val="21"/>
                      <w:szCs w:val="21"/>
                      <w:highlight w:val="none"/>
                    </w:rPr>
                    <w:t>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color w:val="auto"/>
                      <w:sz w:val="21"/>
                      <w:szCs w:val="21"/>
                      <w:highlight w:val="none"/>
                      <w:lang w:val="en-US" w:eastAsia="zh-CN"/>
                    </w:rPr>
                    <w:t>)</w:t>
                  </w:r>
                </w:p>
              </w:tc>
              <w:tc>
                <w:tcPr>
                  <w:tcW w:w="352" w:type="pct"/>
                  <w:vMerge w:val="continue"/>
                  <w:tcBorders>
                    <w:tl2br w:val="nil"/>
                    <w:tr2bl w:val="nil"/>
                  </w:tcBorders>
                  <w:noWrap w:val="0"/>
                  <w:tcMar>
                    <w:top w:w="0" w:type="dxa"/>
                    <w:left w:w="0" w:type="dxa"/>
                    <w:bottom w:w="0" w:type="dxa"/>
                    <w:right w:w="0" w:type="dxa"/>
                  </w:tcMar>
                  <w:vAlign w:val="center"/>
                </w:tcPr>
                <w:p w14:paraId="756A6C5F">
                  <w:pPr>
                    <w:jc w:val="center"/>
                    <w:rPr>
                      <w:rFonts w:hint="default" w:ascii="Times New Roman" w:hAnsi="Times New Roman" w:cs="Times New Roman"/>
                      <w:b/>
                      <w:color w:val="auto"/>
                      <w:sz w:val="21"/>
                      <w:szCs w:val="21"/>
                      <w:highlight w:val="none"/>
                    </w:rPr>
                  </w:pPr>
                </w:p>
              </w:tc>
              <w:tc>
                <w:tcPr>
                  <w:tcW w:w="432" w:type="pct"/>
                  <w:tcBorders>
                    <w:tl2br w:val="nil"/>
                    <w:tr2bl w:val="nil"/>
                  </w:tcBorders>
                  <w:noWrap w:val="0"/>
                  <w:tcMar>
                    <w:top w:w="0" w:type="dxa"/>
                    <w:left w:w="0" w:type="dxa"/>
                    <w:bottom w:w="0" w:type="dxa"/>
                    <w:right w:w="0" w:type="dxa"/>
                  </w:tcMar>
                  <w:vAlign w:val="center"/>
                </w:tcPr>
                <w:p w14:paraId="20146916">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处理能力（m</w:t>
                  </w:r>
                  <w:r>
                    <w:rPr>
                      <w:rFonts w:hint="default" w:ascii="Times New Roman" w:hAnsi="Times New Roman" w:cs="Times New Roman"/>
                      <w:b/>
                      <w:color w:val="auto"/>
                      <w:sz w:val="21"/>
                      <w:szCs w:val="21"/>
                      <w:highlight w:val="none"/>
                      <w:vertAlign w:val="superscript"/>
                    </w:rPr>
                    <w:t>3</w:t>
                  </w:r>
                  <w:r>
                    <w:rPr>
                      <w:rFonts w:hint="default" w:ascii="Times New Roman" w:hAnsi="Times New Roman" w:cs="Times New Roman"/>
                      <w:b/>
                      <w:color w:val="auto"/>
                      <w:sz w:val="21"/>
                      <w:szCs w:val="21"/>
                      <w:highlight w:val="none"/>
                    </w:rPr>
                    <w:t>/h）</w:t>
                  </w:r>
                </w:p>
              </w:tc>
              <w:tc>
                <w:tcPr>
                  <w:tcW w:w="286" w:type="pct"/>
                  <w:tcBorders>
                    <w:tl2br w:val="nil"/>
                    <w:tr2bl w:val="nil"/>
                  </w:tcBorders>
                  <w:noWrap w:val="0"/>
                  <w:tcMar>
                    <w:top w:w="0" w:type="dxa"/>
                    <w:left w:w="0" w:type="dxa"/>
                    <w:bottom w:w="0" w:type="dxa"/>
                    <w:right w:w="0" w:type="dxa"/>
                  </w:tcMar>
                  <w:vAlign w:val="center"/>
                </w:tcPr>
                <w:p w14:paraId="0133C370">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收集效率</w:t>
                  </w:r>
                </w:p>
              </w:tc>
              <w:tc>
                <w:tcPr>
                  <w:tcW w:w="261" w:type="pct"/>
                  <w:tcBorders>
                    <w:tl2br w:val="nil"/>
                    <w:tr2bl w:val="nil"/>
                  </w:tcBorders>
                  <w:noWrap w:val="0"/>
                  <w:tcMar>
                    <w:top w:w="0" w:type="dxa"/>
                    <w:left w:w="0" w:type="dxa"/>
                    <w:bottom w:w="0" w:type="dxa"/>
                    <w:right w:w="0" w:type="dxa"/>
                  </w:tcMar>
                  <w:vAlign w:val="center"/>
                </w:tcPr>
                <w:p w14:paraId="6197F78E">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去除率</w:t>
                  </w:r>
                </w:p>
              </w:tc>
              <w:tc>
                <w:tcPr>
                  <w:tcW w:w="340" w:type="pct"/>
                  <w:tcBorders>
                    <w:tl2br w:val="nil"/>
                    <w:tr2bl w:val="nil"/>
                  </w:tcBorders>
                  <w:noWrap w:val="0"/>
                  <w:tcMar>
                    <w:top w:w="0" w:type="dxa"/>
                    <w:left w:w="0" w:type="dxa"/>
                    <w:bottom w:w="0" w:type="dxa"/>
                    <w:right w:w="0" w:type="dxa"/>
                  </w:tcMar>
                  <w:vAlign w:val="center"/>
                </w:tcPr>
                <w:p w14:paraId="0A5C5465">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排放量（t/a）</w:t>
                  </w:r>
                </w:p>
              </w:tc>
              <w:tc>
                <w:tcPr>
                  <w:tcW w:w="432" w:type="pct"/>
                  <w:tcBorders>
                    <w:tl2br w:val="nil"/>
                    <w:tr2bl w:val="nil"/>
                  </w:tcBorders>
                  <w:noWrap w:val="0"/>
                  <w:tcMar>
                    <w:top w:w="0" w:type="dxa"/>
                    <w:left w:w="0" w:type="dxa"/>
                    <w:bottom w:w="0" w:type="dxa"/>
                    <w:right w:w="0" w:type="dxa"/>
                  </w:tcMar>
                  <w:vAlign w:val="center"/>
                </w:tcPr>
                <w:p w14:paraId="0E6ABA62">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排放速率（kg/h）</w:t>
                  </w:r>
                </w:p>
              </w:tc>
              <w:tc>
                <w:tcPr>
                  <w:tcW w:w="477" w:type="pct"/>
                  <w:tcBorders>
                    <w:tl2br w:val="nil"/>
                    <w:tr2bl w:val="nil"/>
                  </w:tcBorders>
                  <w:noWrap w:val="0"/>
                  <w:tcMar>
                    <w:top w:w="0" w:type="dxa"/>
                    <w:left w:w="0" w:type="dxa"/>
                    <w:bottom w:w="0" w:type="dxa"/>
                    <w:right w:w="0" w:type="dxa"/>
                  </w:tcMar>
                  <w:vAlign w:val="center"/>
                </w:tcPr>
                <w:p w14:paraId="3021BA4C">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排放浓度</w:t>
                  </w:r>
                </w:p>
                <w:p w14:paraId="1B7B842A">
                  <w:pPr>
                    <w:jc w:val="center"/>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w:t>
                  </w:r>
                  <w:r>
                    <w:rPr>
                      <w:rFonts w:hint="default" w:ascii="Times New Roman" w:hAnsi="Times New Roman" w:cs="Times New Roman"/>
                      <w:b/>
                      <w:bCs/>
                      <w:color w:val="auto"/>
                      <w:sz w:val="21"/>
                      <w:szCs w:val="21"/>
                      <w:highlight w:val="none"/>
                    </w:rPr>
                    <w:t>mg/m</w:t>
                  </w:r>
                  <w:r>
                    <w:rPr>
                      <w:rFonts w:hint="default" w:ascii="Times New Roman" w:hAnsi="Times New Roman" w:cs="Times New Roman"/>
                      <w:b/>
                      <w:bCs/>
                      <w:color w:val="auto"/>
                      <w:sz w:val="21"/>
                      <w:szCs w:val="21"/>
                      <w:highlight w:val="none"/>
                      <w:vertAlign w:val="superscript"/>
                    </w:rPr>
                    <w:t>3</w:t>
                  </w:r>
                  <w:r>
                    <w:rPr>
                      <w:rFonts w:hint="default" w:ascii="Times New Roman" w:hAnsi="Times New Roman" w:cs="Times New Roman"/>
                      <w:b/>
                      <w:color w:val="auto"/>
                      <w:sz w:val="21"/>
                      <w:szCs w:val="21"/>
                      <w:highlight w:val="none"/>
                    </w:rPr>
                    <w:t>）</w:t>
                  </w:r>
                </w:p>
              </w:tc>
              <w:tc>
                <w:tcPr>
                  <w:tcW w:w="342" w:type="pct"/>
                  <w:vMerge w:val="continue"/>
                  <w:tcBorders>
                    <w:tl2br w:val="nil"/>
                    <w:tr2bl w:val="nil"/>
                  </w:tcBorders>
                  <w:noWrap w:val="0"/>
                  <w:tcMar>
                    <w:top w:w="0" w:type="dxa"/>
                    <w:left w:w="0" w:type="dxa"/>
                    <w:bottom w:w="0" w:type="dxa"/>
                    <w:right w:w="0" w:type="dxa"/>
                  </w:tcMar>
                  <w:vAlign w:val="center"/>
                </w:tcPr>
                <w:p w14:paraId="74BBB9E4">
                  <w:pPr>
                    <w:jc w:val="center"/>
                    <w:rPr>
                      <w:rFonts w:hint="default" w:ascii="Times New Roman" w:hAnsi="Times New Roman" w:cs="Times New Roman"/>
                      <w:b/>
                      <w:color w:val="auto"/>
                      <w:sz w:val="21"/>
                      <w:szCs w:val="21"/>
                      <w:highlight w:val="none"/>
                    </w:rPr>
                  </w:pPr>
                </w:p>
              </w:tc>
            </w:tr>
            <w:tr w14:paraId="74B7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4C2C9876">
                  <w:pPr>
                    <w:pStyle w:val="109"/>
                    <w:bidi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切割粉尘</w:t>
                  </w:r>
                </w:p>
              </w:tc>
              <w:tc>
                <w:tcPr>
                  <w:tcW w:w="394" w:type="pct"/>
                  <w:tcBorders>
                    <w:tl2br w:val="nil"/>
                    <w:tr2bl w:val="nil"/>
                  </w:tcBorders>
                  <w:noWrap w:val="0"/>
                  <w:tcMar>
                    <w:top w:w="0" w:type="dxa"/>
                    <w:left w:w="0" w:type="dxa"/>
                    <w:bottom w:w="0" w:type="dxa"/>
                    <w:right w:w="0" w:type="dxa"/>
                  </w:tcMar>
                  <w:vAlign w:val="center"/>
                </w:tcPr>
                <w:p w14:paraId="739E924E">
                  <w:pPr>
                    <w:keepNext w:val="0"/>
                    <w:keepLines w:val="0"/>
                    <w:widowControl/>
                    <w:suppressLineNumbers w:val="0"/>
                    <w:jc w:val="center"/>
                    <w:textAlignment w:val="center"/>
                    <w:rPr>
                      <w:rFonts w:hint="default" w:ascii="Times New Roman" w:hAnsi="Times New Roman"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颗粒物</w:t>
                  </w:r>
                </w:p>
              </w:tc>
              <w:tc>
                <w:tcPr>
                  <w:tcW w:w="340" w:type="pct"/>
                  <w:tcBorders>
                    <w:tl2br w:val="nil"/>
                    <w:tr2bl w:val="nil"/>
                  </w:tcBorders>
                  <w:noWrap w:val="0"/>
                  <w:tcMar>
                    <w:top w:w="0" w:type="dxa"/>
                    <w:left w:w="0" w:type="dxa"/>
                    <w:bottom w:w="0" w:type="dxa"/>
                    <w:right w:w="0" w:type="dxa"/>
                  </w:tcMar>
                  <w:vAlign w:val="center"/>
                </w:tcPr>
                <w:p w14:paraId="108EA9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0.358 </w:t>
                  </w:r>
                </w:p>
              </w:tc>
              <w:tc>
                <w:tcPr>
                  <w:tcW w:w="418" w:type="pct"/>
                  <w:tcBorders>
                    <w:tl2br w:val="nil"/>
                    <w:tr2bl w:val="nil"/>
                  </w:tcBorders>
                  <w:noWrap w:val="0"/>
                  <w:tcMar>
                    <w:top w:w="0" w:type="dxa"/>
                    <w:left w:w="0" w:type="dxa"/>
                    <w:bottom w:w="0" w:type="dxa"/>
                    <w:right w:w="0" w:type="dxa"/>
                  </w:tcMar>
                  <w:vAlign w:val="center"/>
                </w:tcPr>
                <w:p w14:paraId="730E22C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0.186 </w:t>
                  </w:r>
                </w:p>
              </w:tc>
              <w:tc>
                <w:tcPr>
                  <w:tcW w:w="429" w:type="pct"/>
                  <w:tcBorders>
                    <w:tl2br w:val="nil"/>
                    <w:tr2bl w:val="nil"/>
                  </w:tcBorders>
                  <w:noWrap w:val="0"/>
                  <w:tcMar>
                    <w:top w:w="0" w:type="dxa"/>
                    <w:left w:w="0" w:type="dxa"/>
                    <w:bottom w:w="0" w:type="dxa"/>
                    <w:right w:w="0" w:type="dxa"/>
                  </w:tcMar>
                  <w:vAlign w:val="center"/>
                </w:tcPr>
                <w:p w14:paraId="13D1AB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w:t>
                  </w:r>
                </w:p>
              </w:tc>
              <w:tc>
                <w:tcPr>
                  <w:tcW w:w="352" w:type="pct"/>
                  <w:tcBorders>
                    <w:tl2br w:val="nil"/>
                    <w:tr2bl w:val="nil"/>
                  </w:tcBorders>
                  <w:noWrap w:val="0"/>
                  <w:tcMar>
                    <w:top w:w="0" w:type="dxa"/>
                    <w:left w:w="0" w:type="dxa"/>
                    <w:bottom w:w="0" w:type="dxa"/>
                    <w:right w:w="0" w:type="dxa"/>
                  </w:tcMar>
                  <w:vAlign w:val="center"/>
                </w:tcPr>
                <w:p w14:paraId="1976D1D1">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34DC7382">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704DC479">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352BAC29">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4DD9E2F1">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0.358 </w:t>
                  </w:r>
                </w:p>
              </w:tc>
              <w:tc>
                <w:tcPr>
                  <w:tcW w:w="432" w:type="pct"/>
                  <w:tcBorders>
                    <w:tl2br w:val="nil"/>
                    <w:tr2bl w:val="nil"/>
                  </w:tcBorders>
                  <w:noWrap w:val="0"/>
                  <w:tcMar>
                    <w:top w:w="0" w:type="dxa"/>
                    <w:left w:w="0" w:type="dxa"/>
                    <w:bottom w:w="0" w:type="dxa"/>
                    <w:right w:w="0" w:type="dxa"/>
                  </w:tcMar>
                  <w:vAlign w:val="center"/>
                </w:tcPr>
                <w:p w14:paraId="7F8C81D7">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0.186 </w:t>
                  </w:r>
                </w:p>
              </w:tc>
              <w:tc>
                <w:tcPr>
                  <w:tcW w:w="477" w:type="pct"/>
                  <w:tcBorders>
                    <w:tl2br w:val="nil"/>
                    <w:tr2bl w:val="nil"/>
                  </w:tcBorders>
                  <w:noWrap w:val="0"/>
                  <w:tcMar>
                    <w:top w:w="0" w:type="dxa"/>
                    <w:left w:w="0" w:type="dxa"/>
                    <w:bottom w:w="0" w:type="dxa"/>
                    <w:right w:w="0" w:type="dxa"/>
                  </w:tcMar>
                  <w:vAlign w:val="center"/>
                </w:tcPr>
                <w:p w14:paraId="60E4B525">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w:t>
                  </w:r>
                </w:p>
              </w:tc>
              <w:tc>
                <w:tcPr>
                  <w:tcW w:w="342" w:type="pct"/>
                  <w:vMerge w:val="restart"/>
                  <w:tcBorders>
                    <w:tl2br w:val="nil"/>
                    <w:tr2bl w:val="nil"/>
                  </w:tcBorders>
                  <w:noWrap w:val="0"/>
                  <w:tcMar>
                    <w:top w:w="0" w:type="dxa"/>
                    <w:left w:w="0" w:type="dxa"/>
                    <w:bottom w:w="0" w:type="dxa"/>
                    <w:right w:w="0" w:type="dxa"/>
                  </w:tcMar>
                  <w:vAlign w:val="center"/>
                </w:tcPr>
                <w:p w14:paraId="4F0E3A61">
                  <w:pPr>
                    <w:widowControl w:val="0"/>
                    <w:kinsoku/>
                    <w:autoSpaceDE/>
                    <w:autoSpaceDN/>
                    <w:adjustRightInd w:val="0"/>
                    <w:snapToGrid w:val="0"/>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snapToGrid/>
                      <w:color w:val="auto"/>
                      <w:kern w:val="2"/>
                      <w:sz w:val="21"/>
                      <w:szCs w:val="21"/>
                      <w:highlight w:val="none"/>
                      <w:lang w:val="en-US" w:eastAsia="zh-CN"/>
                    </w:rPr>
                    <w:t>1928</w:t>
                  </w:r>
                </w:p>
              </w:tc>
            </w:tr>
            <w:tr w14:paraId="5448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5FC07981">
                  <w:pPr>
                    <w:pStyle w:val="109"/>
                    <w:bidi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焊接烟尘</w:t>
                  </w:r>
                </w:p>
              </w:tc>
              <w:tc>
                <w:tcPr>
                  <w:tcW w:w="394" w:type="pct"/>
                  <w:tcBorders>
                    <w:tl2br w:val="nil"/>
                    <w:tr2bl w:val="nil"/>
                  </w:tcBorders>
                  <w:noWrap w:val="0"/>
                  <w:tcMar>
                    <w:top w:w="0" w:type="dxa"/>
                    <w:left w:w="0" w:type="dxa"/>
                    <w:bottom w:w="0" w:type="dxa"/>
                    <w:right w:w="0" w:type="dxa"/>
                  </w:tcMar>
                  <w:vAlign w:val="center"/>
                </w:tcPr>
                <w:p w14:paraId="24085B4D">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颗粒物</w:t>
                  </w:r>
                </w:p>
              </w:tc>
              <w:tc>
                <w:tcPr>
                  <w:tcW w:w="340" w:type="pct"/>
                  <w:tcBorders>
                    <w:tl2br w:val="nil"/>
                    <w:tr2bl w:val="nil"/>
                  </w:tcBorders>
                  <w:noWrap w:val="0"/>
                  <w:tcMar>
                    <w:top w:w="0" w:type="dxa"/>
                    <w:left w:w="0" w:type="dxa"/>
                    <w:bottom w:w="0" w:type="dxa"/>
                    <w:right w:w="0" w:type="dxa"/>
                  </w:tcMar>
                  <w:vAlign w:val="center"/>
                </w:tcPr>
                <w:p w14:paraId="6F8277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0.125 </w:t>
                  </w:r>
                </w:p>
              </w:tc>
              <w:tc>
                <w:tcPr>
                  <w:tcW w:w="418" w:type="pct"/>
                  <w:tcBorders>
                    <w:tl2br w:val="nil"/>
                    <w:tr2bl w:val="nil"/>
                  </w:tcBorders>
                  <w:noWrap w:val="0"/>
                  <w:tcMar>
                    <w:top w:w="0" w:type="dxa"/>
                    <w:left w:w="0" w:type="dxa"/>
                    <w:bottom w:w="0" w:type="dxa"/>
                    <w:right w:w="0" w:type="dxa"/>
                  </w:tcMar>
                  <w:vAlign w:val="center"/>
                </w:tcPr>
                <w:p w14:paraId="175A36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0.065 </w:t>
                  </w:r>
                </w:p>
              </w:tc>
              <w:tc>
                <w:tcPr>
                  <w:tcW w:w="429" w:type="pct"/>
                  <w:tcBorders>
                    <w:tl2br w:val="nil"/>
                    <w:tr2bl w:val="nil"/>
                  </w:tcBorders>
                  <w:noWrap w:val="0"/>
                  <w:tcMar>
                    <w:top w:w="0" w:type="dxa"/>
                    <w:left w:w="0" w:type="dxa"/>
                    <w:bottom w:w="0" w:type="dxa"/>
                    <w:right w:w="0" w:type="dxa"/>
                  </w:tcMar>
                  <w:vAlign w:val="center"/>
                </w:tcPr>
                <w:p w14:paraId="09035B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w:t>
                  </w:r>
                </w:p>
              </w:tc>
              <w:tc>
                <w:tcPr>
                  <w:tcW w:w="352" w:type="pct"/>
                  <w:tcBorders>
                    <w:tl2br w:val="nil"/>
                    <w:tr2bl w:val="nil"/>
                  </w:tcBorders>
                  <w:noWrap w:val="0"/>
                  <w:tcMar>
                    <w:top w:w="0" w:type="dxa"/>
                    <w:left w:w="0" w:type="dxa"/>
                    <w:bottom w:w="0" w:type="dxa"/>
                    <w:right w:w="0" w:type="dxa"/>
                  </w:tcMar>
                  <w:vAlign w:val="center"/>
                </w:tcPr>
                <w:p w14:paraId="7388B23D">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无</w:t>
                  </w:r>
                  <w:r>
                    <w:rPr>
                      <w:rFonts w:hint="default" w:ascii="Times New Roman" w:hAnsi="Times New Roman" w:eastAsia="宋体" w:cs="Times New Roman"/>
                      <w:i w:val="0"/>
                      <w:iCs w:val="0"/>
                      <w:color w:val="auto"/>
                      <w:kern w:val="0"/>
                      <w:sz w:val="21"/>
                      <w:szCs w:val="21"/>
                      <w:highlight w:val="none"/>
                      <w:u w:val="none"/>
                      <w:lang w:val="en-US" w:eastAsia="zh-CN" w:bidi="ar"/>
                    </w:rPr>
                    <w:t>组织</w:t>
                  </w:r>
                </w:p>
              </w:tc>
              <w:tc>
                <w:tcPr>
                  <w:tcW w:w="432" w:type="pct"/>
                  <w:tcBorders>
                    <w:tl2br w:val="nil"/>
                    <w:tr2bl w:val="nil"/>
                  </w:tcBorders>
                  <w:noWrap w:val="0"/>
                  <w:tcMar>
                    <w:top w:w="0" w:type="dxa"/>
                    <w:left w:w="0" w:type="dxa"/>
                    <w:bottom w:w="0" w:type="dxa"/>
                    <w:right w:w="0" w:type="dxa"/>
                  </w:tcMar>
                  <w:vAlign w:val="center"/>
                </w:tcPr>
                <w:p w14:paraId="327A1F34">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06D63C07">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1C110A15">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0C05DCFB">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0.125 </w:t>
                  </w:r>
                </w:p>
              </w:tc>
              <w:tc>
                <w:tcPr>
                  <w:tcW w:w="432" w:type="pct"/>
                  <w:tcBorders>
                    <w:tl2br w:val="nil"/>
                    <w:tr2bl w:val="nil"/>
                  </w:tcBorders>
                  <w:noWrap w:val="0"/>
                  <w:tcMar>
                    <w:top w:w="0" w:type="dxa"/>
                    <w:left w:w="0" w:type="dxa"/>
                    <w:bottom w:w="0" w:type="dxa"/>
                    <w:right w:w="0" w:type="dxa"/>
                  </w:tcMar>
                  <w:vAlign w:val="center"/>
                </w:tcPr>
                <w:p w14:paraId="0D1D958A">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0.065 </w:t>
                  </w:r>
                </w:p>
              </w:tc>
              <w:tc>
                <w:tcPr>
                  <w:tcW w:w="477" w:type="pct"/>
                  <w:tcBorders>
                    <w:tl2br w:val="nil"/>
                    <w:tr2bl w:val="nil"/>
                  </w:tcBorders>
                  <w:noWrap w:val="0"/>
                  <w:tcMar>
                    <w:top w:w="0" w:type="dxa"/>
                    <w:left w:w="0" w:type="dxa"/>
                    <w:bottom w:w="0" w:type="dxa"/>
                    <w:right w:w="0" w:type="dxa"/>
                  </w:tcMar>
                  <w:vAlign w:val="center"/>
                </w:tcPr>
                <w:p w14:paraId="63FCED75">
                  <w:pPr>
                    <w:keepNext w:val="0"/>
                    <w:keepLines w:val="0"/>
                    <w:widowControl/>
                    <w:suppressLineNumbers w:val="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392F0ACC">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p>
              </w:tc>
            </w:tr>
            <w:tr w14:paraId="6F6D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15E5C4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抛光打磨粉尘</w:t>
                  </w:r>
                </w:p>
              </w:tc>
              <w:tc>
                <w:tcPr>
                  <w:tcW w:w="394" w:type="pct"/>
                  <w:tcBorders>
                    <w:tl2br w:val="nil"/>
                    <w:tr2bl w:val="nil"/>
                  </w:tcBorders>
                  <w:noWrap w:val="0"/>
                  <w:tcMar>
                    <w:top w:w="0" w:type="dxa"/>
                    <w:left w:w="0" w:type="dxa"/>
                    <w:bottom w:w="0" w:type="dxa"/>
                    <w:right w:w="0" w:type="dxa"/>
                  </w:tcMar>
                  <w:vAlign w:val="center"/>
                </w:tcPr>
                <w:p w14:paraId="4545C0CB">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颗粒物</w:t>
                  </w:r>
                </w:p>
              </w:tc>
              <w:tc>
                <w:tcPr>
                  <w:tcW w:w="340" w:type="pct"/>
                  <w:tcBorders>
                    <w:tl2br w:val="nil"/>
                    <w:tr2bl w:val="nil"/>
                  </w:tcBorders>
                  <w:noWrap w:val="0"/>
                  <w:tcMar>
                    <w:top w:w="0" w:type="dxa"/>
                    <w:left w:w="0" w:type="dxa"/>
                    <w:bottom w:w="0" w:type="dxa"/>
                    <w:right w:w="0" w:type="dxa"/>
                  </w:tcMar>
                  <w:vAlign w:val="center"/>
                </w:tcPr>
                <w:p w14:paraId="0D20A7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0.468 </w:t>
                  </w:r>
                </w:p>
              </w:tc>
              <w:tc>
                <w:tcPr>
                  <w:tcW w:w="418" w:type="pct"/>
                  <w:tcBorders>
                    <w:tl2br w:val="nil"/>
                    <w:tr2bl w:val="nil"/>
                  </w:tcBorders>
                  <w:noWrap w:val="0"/>
                  <w:tcMar>
                    <w:top w:w="0" w:type="dxa"/>
                    <w:left w:w="0" w:type="dxa"/>
                    <w:bottom w:w="0" w:type="dxa"/>
                    <w:right w:w="0" w:type="dxa"/>
                  </w:tcMar>
                  <w:vAlign w:val="center"/>
                </w:tcPr>
                <w:p w14:paraId="0715A1B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0.243 </w:t>
                  </w:r>
                </w:p>
              </w:tc>
              <w:tc>
                <w:tcPr>
                  <w:tcW w:w="429" w:type="pct"/>
                  <w:tcBorders>
                    <w:tl2br w:val="nil"/>
                    <w:tr2bl w:val="nil"/>
                  </w:tcBorders>
                  <w:noWrap w:val="0"/>
                  <w:tcMar>
                    <w:top w:w="0" w:type="dxa"/>
                    <w:left w:w="0" w:type="dxa"/>
                    <w:bottom w:w="0" w:type="dxa"/>
                    <w:right w:w="0" w:type="dxa"/>
                  </w:tcMar>
                  <w:vAlign w:val="center"/>
                </w:tcPr>
                <w:p w14:paraId="48016139">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tcBorders>
                    <w:tl2br w:val="nil"/>
                    <w:tr2bl w:val="nil"/>
                  </w:tcBorders>
                  <w:noWrap w:val="0"/>
                  <w:tcMar>
                    <w:top w:w="0" w:type="dxa"/>
                    <w:left w:w="0" w:type="dxa"/>
                    <w:bottom w:w="0" w:type="dxa"/>
                    <w:right w:w="0" w:type="dxa"/>
                  </w:tcMar>
                  <w:vAlign w:val="center"/>
                </w:tcPr>
                <w:p w14:paraId="0C86F8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218126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2E3D504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5E1A18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15CD6A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0.468 </w:t>
                  </w:r>
                </w:p>
              </w:tc>
              <w:tc>
                <w:tcPr>
                  <w:tcW w:w="432" w:type="pct"/>
                  <w:tcBorders>
                    <w:tl2br w:val="nil"/>
                    <w:tr2bl w:val="nil"/>
                  </w:tcBorders>
                  <w:noWrap w:val="0"/>
                  <w:tcMar>
                    <w:top w:w="0" w:type="dxa"/>
                    <w:left w:w="0" w:type="dxa"/>
                    <w:bottom w:w="0" w:type="dxa"/>
                    <w:right w:w="0" w:type="dxa"/>
                  </w:tcMar>
                  <w:vAlign w:val="center"/>
                </w:tcPr>
                <w:p w14:paraId="04C782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0.243 </w:t>
                  </w:r>
                </w:p>
              </w:tc>
              <w:tc>
                <w:tcPr>
                  <w:tcW w:w="477" w:type="pct"/>
                  <w:tcBorders>
                    <w:tl2br w:val="nil"/>
                    <w:tr2bl w:val="nil"/>
                  </w:tcBorders>
                  <w:noWrap w:val="0"/>
                  <w:tcMar>
                    <w:top w:w="0" w:type="dxa"/>
                    <w:left w:w="0" w:type="dxa"/>
                    <w:bottom w:w="0" w:type="dxa"/>
                    <w:right w:w="0" w:type="dxa"/>
                  </w:tcMar>
                  <w:vAlign w:val="center"/>
                </w:tcPr>
                <w:p w14:paraId="52F6CB73">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20EBBB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5BE0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tcBorders>
                    <w:tl2br w:val="nil"/>
                    <w:tr2bl w:val="nil"/>
                  </w:tcBorders>
                  <w:noWrap w:val="0"/>
                  <w:tcMar>
                    <w:top w:w="0" w:type="dxa"/>
                    <w:left w:w="0" w:type="dxa"/>
                    <w:bottom w:w="0" w:type="dxa"/>
                    <w:right w:w="0" w:type="dxa"/>
                  </w:tcMar>
                  <w:vAlign w:val="center"/>
                </w:tcPr>
                <w:p w14:paraId="33A41611">
                  <w:pPr>
                    <w:pStyle w:val="109"/>
                    <w:bidi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喷粉粉尘</w:t>
                  </w:r>
                </w:p>
              </w:tc>
              <w:tc>
                <w:tcPr>
                  <w:tcW w:w="394" w:type="pct"/>
                  <w:tcBorders>
                    <w:tl2br w:val="nil"/>
                    <w:tr2bl w:val="nil"/>
                  </w:tcBorders>
                  <w:noWrap w:val="0"/>
                  <w:tcMar>
                    <w:top w:w="0" w:type="dxa"/>
                    <w:left w:w="0" w:type="dxa"/>
                    <w:bottom w:w="0" w:type="dxa"/>
                    <w:right w:w="0" w:type="dxa"/>
                  </w:tcMar>
                  <w:vAlign w:val="center"/>
                </w:tcPr>
                <w:p w14:paraId="7124BA43">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颗粒物</w:t>
                  </w:r>
                </w:p>
              </w:tc>
              <w:tc>
                <w:tcPr>
                  <w:tcW w:w="873" w:type="dxa"/>
                  <w:tcBorders>
                    <w:tl2br w:val="nil"/>
                    <w:tr2bl w:val="nil"/>
                  </w:tcBorders>
                  <w:noWrap w:val="0"/>
                  <w:tcMar>
                    <w:top w:w="0" w:type="dxa"/>
                    <w:left w:w="0" w:type="dxa"/>
                    <w:bottom w:w="0" w:type="dxa"/>
                    <w:right w:w="0" w:type="dxa"/>
                  </w:tcMar>
                  <w:vAlign w:val="center"/>
                </w:tcPr>
                <w:p w14:paraId="41F7A83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1.256 </w:t>
                  </w:r>
                </w:p>
              </w:tc>
              <w:tc>
                <w:tcPr>
                  <w:tcW w:w="1074" w:type="dxa"/>
                  <w:tcBorders>
                    <w:tl2br w:val="nil"/>
                    <w:tr2bl w:val="nil"/>
                  </w:tcBorders>
                  <w:noWrap w:val="0"/>
                  <w:tcMar>
                    <w:top w:w="0" w:type="dxa"/>
                    <w:left w:w="0" w:type="dxa"/>
                    <w:bottom w:w="0" w:type="dxa"/>
                    <w:right w:w="0" w:type="dxa"/>
                  </w:tcMar>
                  <w:vAlign w:val="center"/>
                </w:tcPr>
                <w:p w14:paraId="59BE7E2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0.652 </w:t>
                  </w:r>
                </w:p>
              </w:tc>
              <w:tc>
                <w:tcPr>
                  <w:tcW w:w="1102" w:type="dxa"/>
                  <w:tcBorders>
                    <w:tl2br w:val="nil"/>
                    <w:tr2bl w:val="nil"/>
                  </w:tcBorders>
                  <w:noWrap w:val="0"/>
                  <w:tcMar>
                    <w:top w:w="0" w:type="dxa"/>
                    <w:left w:w="0" w:type="dxa"/>
                    <w:bottom w:w="0" w:type="dxa"/>
                    <w:right w:w="0" w:type="dxa"/>
                  </w:tcMar>
                  <w:vAlign w:val="center"/>
                </w:tcPr>
                <w:p w14:paraId="520F0A3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tcBorders>
                    <w:tl2br w:val="nil"/>
                    <w:tr2bl w:val="nil"/>
                  </w:tcBorders>
                  <w:noWrap w:val="0"/>
                  <w:tcMar>
                    <w:top w:w="0" w:type="dxa"/>
                    <w:left w:w="0" w:type="dxa"/>
                    <w:bottom w:w="0" w:type="dxa"/>
                    <w:right w:w="0" w:type="dxa"/>
                  </w:tcMar>
                  <w:vAlign w:val="center"/>
                </w:tcPr>
                <w:p w14:paraId="436B19E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2DEBC0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01820C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6828AB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60BECA8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1.256 </w:t>
                  </w:r>
                </w:p>
              </w:tc>
              <w:tc>
                <w:tcPr>
                  <w:tcW w:w="1109" w:type="dxa"/>
                  <w:tcBorders>
                    <w:tl2br w:val="nil"/>
                    <w:tr2bl w:val="nil"/>
                  </w:tcBorders>
                  <w:noWrap w:val="0"/>
                  <w:tcMar>
                    <w:top w:w="0" w:type="dxa"/>
                    <w:left w:w="0" w:type="dxa"/>
                    <w:bottom w:w="0" w:type="dxa"/>
                    <w:right w:w="0" w:type="dxa"/>
                  </w:tcMar>
                  <w:vAlign w:val="center"/>
                </w:tcPr>
                <w:p w14:paraId="34B1D4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0.652 </w:t>
                  </w:r>
                </w:p>
              </w:tc>
              <w:tc>
                <w:tcPr>
                  <w:tcW w:w="1225" w:type="dxa"/>
                  <w:tcBorders>
                    <w:tl2br w:val="nil"/>
                    <w:tr2bl w:val="nil"/>
                  </w:tcBorders>
                  <w:noWrap w:val="0"/>
                  <w:tcMar>
                    <w:top w:w="0" w:type="dxa"/>
                    <w:left w:w="0" w:type="dxa"/>
                    <w:bottom w:w="0" w:type="dxa"/>
                    <w:right w:w="0" w:type="dxa"/>
                  </w:tcMar>
                  <w:vAlign w:val="center"/>
                </w:tcPr>
                <w:p w14:paraId="3DAB68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tcBorders>
                    <w:tl2br w:val="nil"/>
                    <w:tr2bl w:val="nil"/>
                  </w:tcBorders>
                  <w:noWrap w:val="0"/>
                  <w:tcMar>
                    <w:top w:w="0" w:type="dxa"/>
                    <w:left w:w="0" w:type="dxa"/>
                    <w:bottom w:w="0" w:type="dxa"/>
                    <w:right w:w="0" w:type="dxa"/>
                  </w:tcMar>
                  <w:vAlign w:val="center"/>
                </w:tcPr>
                <w:p w14:paraId="6AF5FE9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1928</w:t>
                  </w:r>
                </w:p>
              </w:tc>
            </w:tr>
            <w:tr w14:paraId="0C1A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75DF65E3">
                  <w:pPr>
                    <w:pStyle w:val="109"/>
                    <w:bidi w:val="0"/>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喷漆废气（DA001）</w:t>
                  </w:r>
                </w:p>
              </w:tc>
              <w:tc>
                <w:tcPr>
                  <w:tcW w:w="394" w:type="pct"/>
                  <w:tcBorders>
                    <w:tl2br w:val="nil"/>
                    <w:tr2bl w:val="nil"/>
                  </w:tcBorders>
                  <w:noWrap w:val="0"/>
                  <w:tcMar>
                    <w:top w:w="0" w:type="dxa"/>
                    <w:left w:w="0" w:type="dxa"/>
                    <w:bottom w:w="0" w:type="dxa"/>
                    <w:right w:w="0" w:type="dxa"/>
                  </w:tcMar>
                  <w:vAlign w:val="center"/>
                </w:tcPr>
                <w:p w14:paraId="59A3B808">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颗粒物</w:t>
                  </w:r>
                </w:p>
              </w:tc>
              <w:tc>
                <w:tcPr>
                  <w:tcW w:w="873" w:type="dxa"/>
                  <w:tcBorders>
                    <w:tl2br w:val="nil"/>
                    <w:tr2bl w:val="nil"/>
                  </w:tcBorders>
                  <w:noWrap w:val="0"/>
                  <w:tcMar>
                    <w:top w:w="0" w:type="dxa"/>
                    <w:left w:w="0" w:type="dxa"/>
                    <w:bottom w:w="0" w:type="dxa"/>
                    <w:right w:w="0" w:type="dxa"/>
                  </w:tcMar>
                  <w:vAlign w:val="center"/>
                </w:tcPr>
                <w:p w14:paraId="0F51501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2.275 </w:t>
                  </w:r>
                </w:p>
              </w:tc>
              <w:tc>
                <w:tcPr>
                  <w:tcW w:w="1074" w:type="dxa"/>
                  <w:tcBorders>
                    <w:tl2br w:val="nil"/>
                    <w:tr2bl w:val="nil"/>
                  </w:tcBorders>
                  <w:noWrap w:val="0"/>
                  <w:tcMar>
                    <w:top w:w="0" w:type="dxa"/>
                    <w:left w:w="0" w:type="dxa"/>
                    <w:bottom w:w="0" w:type="dxa"/>
                    <w:right w:w="0" w:type="dxa"/>
                  </w:tcMar>
                  <w:vAlign w:val="center"/>
                </w:tcPr>
                <w:p w14:paraId="2899E1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1.180 </w:t>
                  </w:r>
                </w:p>
              </w:tc>
              <w:tc>
                <w:tcPr>
                  <w:tcW w:w="1102" w:type="dxa"/>
                  <w:tcBorders>
                    <w:tl2br w:val="nil"/>
                    <w:tr2bl w:val="nil"/>
                  </w:tcBorders>
                  <w:noWrap w:val="0"/>
                  <w:tcMar>
                    <w:top w:w="0" w:type="dxa"/>
                    <w:left w:w="0" w:type="dxa"/>
                    <w:bottom w:w="0" w:type="dxa"/>
                    <w:right w:w="0" w:type="dxa"/>
                  </w:tcMar>
                  <w:vAlign w:val="center"/>
                </w:tcPr>
                <w:p w14:paraId="34B726F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6.5 </w:t>
                  </w:r>
                </w:p>
              </w:tc>
              <w:tc>
                <w:tcPr>
                  <w:tcW w:w="352" w:type="pct"/>
                  <w:vMerge w:val="restart"/>
                  <w:tcBorders>
                    <w:tl2br w:val="nil"/>
                    <w:tr2bl w:val="nil"/>
                  </w:tcBorders>
                  <w:noWrap w:val="0"/>
                  <w:tcMar>
                    <w:top w:w="0" w:type="dxa"/>
                    <w:left w:w="0" w:type="dxa"/>
                    <w:bottom w:w="0" w:type="dxa"/>
                    <w:right w:w="0" w:type="dxa"/>
                  </w:tcMar>
                  <w:vAlign w:val="center"/>
                </w:tcPr>
                <w:p w14:paraId="4C8EC3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有组织</w:t>
                  </w:r>
                </w:p>
              </w:tc>
              <w:tc>
                <w:tcPr>
                  <w:tcW w:w="432" w:type="pct"/>
                  <w:vMerge w:val="restart"/>
                  <w:tcBorders>
                    <w:tl2br w:val="nil"/>
                    <w:tr2bl w:val="nil"/>
                  </w:tcBorders>
                  <w:noWrap w:val="0"/>
                  <w:tcMar>
                    <w:top w:w="0" w:type="dxa"/>
                    <w:left w:w="0" w:type="dxa"/>
                    <w:bottom w:w="0" w:type="dxa"/>
                    <w:right w:w="0" w:type="dxa"/>
                  </w:tcMar>
                  <w:vAlign w:val="center"/>
                </w:tcPr>
                <w:p w14:paraId="7768D8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181200</w:t>
                  </w:r>
                </w:p>
              </w:tc>
              <w:tc>
                <w:tcPr>
                  <w:tcW w:w="286" w:type="pct"/>
                  <w:tcBorders>
                    <w:tl2br w:val="nil"/>
                    <w:tr2bl w:val="nil"/>
                  </w:tcBorders>
                  <w:shd w:val="clear" w:color="auto" w:fill="auto"/>
                  <w:noWrap w:val="0"/>
                  <w:tcMar>
                    <w:top w:w="0" w:type="dxa"/>
                    <w:left w:w="0" w:type="dxa"/>
                    <w:bottom w:w="0" w:type="dxa"/>
                    <w:right w:w="0" w:type="dxa"/>
                  </w:tcMar>
                  <w:vAlign w:val="center"/>
                </w:tcPr>
                <w:p w14:paraId="7D7B52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261" w:type="pct"/>
                  <w:tcBorders>
                    <w:tl2br w:val="nil"/>
                    <w:tr2bl w:val="nil"/>
                  </w:tcBorders>
                  <w:shd w:val="clear" w:color="auto" w:fill="auto"/>
                  <w:noWrap w:val="0"/>
                  <w:tcMar>
                    <w:top w:w="0" w:type="dxa"/>
                    <w:left w:w="0" w:type="dxa"/>
                    <w:bottom w:w="0" w:type="dxa"/>
                    <w:right w:w="0" w:type="dxa"/>
                  </w:tcMar>
                  <w:vAlign w:val="center"/>
                </w:tcPr>
                <w:p w14:paraId="0D2679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99%</w:t>
                  </w:r>
                </w:p>
              </w:tc>
              <w:tc>
                <w:tcPr>
                  <w:tcW w:w="873" w:type="dxa"/>
                  <w:tcBorders>
                    <w:tl2br w:val="nil"/>
                    <w:tr2bl w:val="nil"/>
                  </w:tcBorders>
                  <w:noWrap w:val="0"/>
                  <w:tcMar>
                    <w:top w:w="0" w:type="dxa"/>
                    <w:left w:w="0" w:type="dxa"/>
                    <w:bottom w:w="0" w:type="dxa"/>
                    <w:right w:w="0" w:type="dxa"/>
                  </w:tcMar>
                  <w:vAlign w:val="center"/>
                </w:tcPr>
                <w:p w14:paraId="6B6642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0.023 </w:t>
                  </w:r>
                </w:p>
              </w:tc>
              <w:tc>
                <w:tcPr>
                  <w:tcW w:w="1109" w:type="dxa"/>
                  <w:tcBorders>
                    <w:tl2br w:val="nil"/>
                    <w:tr2bl w:val="nil"/>
                  </w:tcBorders>
                  <w:noWrap w:val="0"/>
                  <w:tcMar>
                    <w:top w:w="0" w:type="dxa"/>
                    <w:left w:w="0" w:type="dxa"/>
                    <w:bottom w:w="0" w:type="dxa"/>
                    <w:right w:w="0" w:type="dxa"/>
                  </w:tcMar>
                  <w:vAlign w:val="center"/>
                </w:tcPr>
                <w:p w14:paraId="0479A5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0.012 </w:t>
                  </w:r>
                </w:p>
              </w:tc>
              <w:tc>
                <w:tcPr>
                  <w:tcW w:w="1225" w:type="dxa"/>
                  <w:tcBorders>
                    <w:tl2br w:val="nil"/>
                    <w:tr2bl w:val="nil"/>
                  </w:tcBorders>
                  <w:noWrap w:val="0"/>
                  <w:tcMar>
                    <w:top w:w="0" w:type="dxa"/>
                    <w:left w:w="0" w:type="dxa"/>
                    <w:bottom w:w="0" w:type="dxa"/>
                    <w:right w:w="0" w:type="dxa"/>
                  </w:tcMar>
                  <w:vAlign w:val="center"/>
                </w:tcPr>
                <w:p w14:paraId="591FD76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 </w:t>
                  </w:r>
                </w:p>
              </w:tc>
              <w:tc>
                <w:tcPr>
                  <w:tcW w:w="342" w:type="pct"/>
                  <w:vMerge w:val="restart"/>
                  <w:tcBorders>
                    <w:tl2br w:val="nil"/>
                    <w:tr2bl w:val="nil"/>
                  </w:tcBorders>
                  <w:noWrap w:val="0"/>
                  <w:tcMar>
                    <w:top w:w="0" w:type="dxa"/>
                    <w:left w:w="0" w:type="dxa"/>
                    <w:bottom w:w="0" w:type="dxa"/>
                    <w:right w:w="0" w:type="dxa"/>
                  </w:tcMar>
                  <w:vAlign w:val="center"/>
                </w:tcPr>
                <w:p w14:paraId="450A70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1928</w:t>
                  </w:r>
                </w:p>
              </w:tc>
            </w:tr>
            <w:tr w14:paraId="5EEA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6E947B38">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noWrap w:val="0"/>
                  <w:tcMar>
                    <w:top w:w="0" w:type="dxa"/>
                    <w:left w:w="0" w:type="dxa"/>
                    <w:bottom w:w="0" w:type="dxa"/>
                    <w:right w:w="0" w:type="dxa"/>
                  </w:tcMar>
                  <w:vAlign w:val="center"/>
                </w:tcPr>
                <w:p w14:paraId="05786F54">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非甲烷总烃</w:t>
                  </w:r>
                </w:p>
              </w:tc>
              <w:tc>
                <w:tcPr>
                  <w:tcW w:w="873" w:type="dxa"/>
                  <w:tcBorders>
                    <w:tl2br w:val="nil"/>
                    <w:tr2bl w:val="nil"/>
                  </w:tcBorders>
                  <w:noWrap w:val="0"/>
                  <w:tcMar>
                    <w:top w:w="0" w:type="dxa"/>
                    <w:left w:w="0" w:type="dxa"/>
                    <w:bottom w:w="0" w:type="dxa"/>
                    <w:right w:w="0" w:type="dxa"/>
                  </w:tcMar>
                  <w:vAlign w:val="center"/>
                </w:tcPr>
                <w:p w14:paraId="436EA5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3.012 </w:t>
                  </w:r>
                </w:p>
              </w:tc>
              <w:tc>
                <w:tcPr>
                  <w:tcW w:w="1074" w:type="dxa"/>
                  <w:tcBorders>
                    <w:tl2br w:val="nil"/>
                    <w:tr2bl w:val="nil"/>
                  </w:tcBorders>
                  <w:noWrap w:val="0"/>
                  <w:tcMar>
                    <w:top w:w="0" w:type="dxa"/>
                    <w:left w:w="0" w:type="dxa"/>
                    <w:bottom w:w="0" w:type="dxa"/>
                    <w:right w:w="0" w:type="dxa"/>
                  </w:tcMar>
                  <w:vAlign w:val="center"/>
                </w:tcPr>
                <w:p w14:paraId="747371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1.562 </w:t>
                  </w:r>
                </w:p>
              </w:tc>
              <w:tc>
                <w:tcPr>
                  <w:tcW w:w="1102" w:type="dxa"/>
                  <w:tcBorders>
                    <w:tl2br w:val="nil"/>
                    <w:tr2bl w:val="nil"/>
                  </w:tcBorders>
                  <w:noWrap w:val="0"/>
                  <w:tcMar>
                    <w:top w:w="0" w:type="dxa"/>
                    <w:left w:w="0" w:type="dxa"/>
                    <w:bottom w:w="0" w:type="dxa"/>
                    <w:right w:w="0" w:type="dxa"/>
                  </w:tcMar>
                  <w:vAlign w:val="center"/>
                </w:tcPr>
                <w:p w14:paraId="33E233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8.6 </w:t>
                  </w:r>
                </w:p>
              </w:tc>
              <w:tc>
                <w:tcPr>
                  <w:tcW w:w="352" w:type="pct"/>
                  <w:vMerge w:val="continue"/>
                  <w:tcBorders>
                    <w:tl2br w:val="nil"/>
                    <w:tr2bl w:val="nil"/>
                  </w:tcBorders>
                  <w:noWrap w:val="0"/>
                  <w:tcMar>
                    <w:top w:w="0" w:type="dxa"/>
                    <w:left w:w="0" w:type="dxa"/>
                    <w:bottom w:w="0" w:type="dxa"/>
                    <w:right w:w="0" w:type="dxa"/>
                  </w:tcMar>
                  <w:vAlign w:val="center"/>
                </w:tcPr>
                <w:p w14:paraId="25BD3C62">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3B6BC962">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shd w:val="clear" w:color="auto" w:fill="auto"/>
                  <w:noWrap w:val="0"/>
                  <w:tcMar>
                    <w:top w:w="0" w:type="dxa"/>
                    <w:left w:w="0" w:type="dxa"/>
                    <w:bottom w:w="0" w:type="dxa"/>
                    <w:right w:w="0" w:type="dxa"/>
                  </w:tcMar>
                  <w:vAlign w:val="center"/>
                </w:tcPr>
                <w:p w14:paraId="1BF075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261" w:type="pct"/>
                  <w:tcBorders>
                    <w:tl2br w:val="nil"/>
                    <w:tr2bl w:val="nil"/>
                  </w:tcBorders>
                  <w:shd w:val="clear" w:color="auto" w:fill="auto"/>
                  <w:noWrap w:val="0"/>
                  <w:tcMar>
                    <w:top w:w="0" w:type="dxa"/>
                    <w:left w:w="0" w:type="dxa"/>
                    <w:bottom w:w="0" w:type="dxa"/>
                    <w:right w:w="0" w:type="dxa"/>
                  </w:tcMar>
                  <w:vAlign w:val="center"/>
                </w:tcPr>
                <w:p w14:paraId="571F92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73" w:type="dxa"/>
                  <w:tcBorders>
                    <w:tl2br w:val="nil"/>
                    <w:tr2bl w:val="nil"/>
                  </w:tcBorders>
                  <w:noWrap w:val="0"/>
                  <w:tcMar>
                    <w:top w:w="0" w:type="dxa"/>
                    <w:left w:w="0" w:type="dxa"/>
                    <w:bottom w:w="0" w:type="dxa"/>
                    <w:right w:w="0" w:type="dxa"/>
                  </w:tcMar>
                  <w:vAlign w:val="center"/>
                </w:tcPr>
                <w:p w14:paraId="0E56E3B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0.602 </w:t>
                  </w:r>
                </w:p>
              </w:tc>
              <w:tc>
                <w:tcPr>
                  <w:tcW w:w="1109" w:type="dxa"/>
                  <w:tcBorders>
                    <w:tl2br w:val="nil"/>
                    <w:tr2bl w:val="nil"/>
                  </w:tcBorders>
                  <w:noWrap w:val="0"/>
                  <w:tcMar>
                    <w:top w:w="0" w:type="dxa"/>
                    <w:left w:w="0" w:type="dxa"/>
                    <w:bottom w:w="0" w:type="dxa"/>
                    <w:right w:w="0" w:type="dxa"/>
                  </w:tcMar>
                  <w:vAlign w:val="center"/>
                </w:tcPr>
                <w:p w14:paraId="1F0553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0.312 </w:t>
                  </w:r>
                </w:p>
              </w:tc>
              <w:tc>
                <w:tcPr>
                  <w:tcW w:w="1225" w:type="dxa"/>
                  <w:tcBorders>
                    <w:tl2br w:val="nil"/>
                    <w:tr2bl w:val="nil"/>
                  </w:tcBorders>
                  <w:noWrap w:val="0"/>
                  <w:tcMar>
                    <w:top w:w="0" w:type="dxa"/>
                    <w:left w:w="0" w:type="dxa"/>
                    <w:bottom w:w="0" w:type="dxa"/>
                    <w:right w:w="0" w:type="dxa"/>
                  </w:tcMar>
                  <w:vAlign w:val="center"/>
                </w:tcPr>
                <w:p w14:paraId="1C0486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1.7 </w:t>
                  </w:r>
                </w:p>
              </w:tc>
              <w:tc>
                <w:tcPr>
                  <w:tcW w:w="342" w:type="pct"/>
                  <w:vMerge w:val="continue"/>
                  <w:tcBorders>
                    <w:tl2br w:val="nil"/>
                    <w:tr2bl w:val="nil"/>
                  </w:tcBorders>
                  <w:noWrap w:val="0"/>
                  <w:tcMar>
                    <w:top w:w="0" w:type="dxa"/>
                    <w:left w:w="0" w:type="dxa"/>
                    <w:bottom w:w="0" w:type="dxa"/>
                    <w:right w:w="0" w:type="dxa"/>
                  </w:tcMar>
                  <w:vAlign w:val="center"/>
                </w:tcPr>
                <w:p w14:paraId="7E956A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7CBF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04BBF791">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noWrap w:val="0"/>
                  <w:tcMar>
                    <w:top w:w="0" w:type="dxa"/>
                    <w:left w:w="0" w:type="dxa"/>
                    <w:bottom w:w="0" w:type="dxa"/>
                    <w:right w:w="0" w:type="dxa"/>
                  </w:tcMar>
                  <w:vAlign w:val="center"/>
                </w:tcPr>
                <w:p w14:paraId="7112A8E5">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苯系物</w:t>
                  </w:r>
                </w:p>
              </w:tc>
              <w:tc>
                <w:tcPr>
                  <w:tcW w:w="873" w:type="dxa"/>
                  <w:tcBorders>
                    <w:tl2br w:val="nil"/>
                    <w:tr2bl w:val="nil"/>
                  </w:tcBorders>
                  <w:noWrap w:val="0"/>
                  <w:tcMar>
                    <w:top w:w="0" w:type="dxa"/>
                    <w:left w:w="0" w:type="dxa"/>
                    <w:bottom w:w="0" w:type="dxa"/>
                    <w:right w:w="0" w:type="dxa"/>
                  </w:tcMar>
                  <w:vAlign w:val="center"/>
                </w:tcPr>
                <w:p w14:paraId="6F52D11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1.499 </w:t>
                  </w:r>
                </w:p>
              </w:tc>
              <w:tc>
                <w:tcPr>
                  <w:tcW w:w="1074" w:type="dxa"/>
                  <w:tcBorders>
                    <w:tl2br w:val="nil"/>
                    <w:tr2bl w:val="nil"/>
                  </w:tcBorders>
                  <w:noWrap w:val="0"/>
                  <w:tcMar>
                    <w:top w:w="0" w:type="dxa"/>
                    <w:left w:w="0" w:type="dxa"/>
                    <w:bottom w:w="0" w:type="dxa"/>
                    <w:right w:w="0" w:type="dxa"/>
                  </w:tcMar>
                  <w:vAlign w:val="center"/>
                </w:tcPr>
                <w:p w14:paraId="15A1F7C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0.777 </w:t>
                  </w:r>
                </w:p>
              </w:tc>
              <w:tc>
                <w:tcPr>
                  <w:tcW w:w="1102" w:type="dxa"/>
                  <w:tcBorders>
                    <w:tl2br w:val="nil"/>
                    <w:tr2bl w:val="nil"/>
                  </w:tcBorders>
                  <w:noWrap w:val="0"/>
                  <w:tcMar>
                    <w:top w:w="0" w:type="dxa"/>
                    <w:left w:w="0" w:type="dxa"/>
                    <w:bottom w:w="0" w:type="dxa"/>
                    <w:right w:w="0" w:type="dxa"/>
                  </w:tcMar>
                  <w:vAlign w:val="center"/>
                </w:tcPr>
                <w:p w14:paraId="67FE828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4.3 </w:t>
                  </w:r>
                </w:p>
              </w:tc>
              <w:tc>
                <w:tcPr>
                  <w:tcW w:w="352" w:type="pct"/>
                  <w:vMerge w:val="continue"/>
                  <w:tcBorders>
                    <w:tl2br w:val="nil"/>
                    <w:tr2bl w:val="nil"/>
                  </w:tcBorders>
                  <w:noWrap w:val="0"/>
                  <w:tcMar>
                    <w:top w:w="0" w:type="dxa"/>
                    <w:left w:w="0" w:type="dxa"/>
                    <w:bottom w:w="0" w:type="dxa"/>
                    <w:right w:w="0" w:type="dxa"/>
                  </w:tcMar>
                  <w:vAlign w:val="center"/>
                </w:tcPr>
                <w:p w14:paraId="70F8AF8E">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3806232A">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shd w:val="clear" w:color="auto" w:fill="auto"/>
                  <w:noWrap w:val="0"/>
                  <w:tcMar>
                    <w:top w:w="0" w:type="dxa"/>
                    <w:left w:w="0" w:type="dxa"/>
                    <w:bottom w:w="0" w:type="dxa"/>
                    <w:right w:w="0" w:type="dxa"/>
                  </w:tcMar>
                  <w:vAlign w:val="center"/>
                </w:tcPr>
                <w:p w14:paraId="575312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261" w:type="pct"/>
                  <w:tcBorders>
                    <w:tl2br w:val="nil"/>
                    <w:tr2bl w:val="nil"/>
                  </w:tcBorders>
                  <w:shd w:val="clear" w:color="auto" w:fill="auto"/>
                  <w:noWrap w:val="0"/>
                  <w:tcMar>
                    <w:top w:w="0" w:type="dxa"/>
                    <w:left w:w="0" w:type="dxa"/>
                    <w:bottom w:w="0" w:type="dxa"/>
                    <w:right w:w="0" w:type="dxa"/>
                  </w:tcMar>
                  <w:vAlign w:val="center"/>
                </w:tcPr>
                <w:p w14:paraId="04A007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73" w:type="dxa"/>
                  <w:tcBorders>
                    <w:tl2br w:val="nil"/>
                    <w:tr2bl w:val="nil"/>
                  </w:tcBorders>
                  <w:noWrap w:val="0"/>
                  <w:tcMar>
                    <w:top w:w="0" w:type="dxa"/>
                    <w:left w:w="0" w:type="dxa"/>
                    <w:bottom w:w="0" w:type="dxa"/>
                    <w:right w:w="0" w:type="dxa"/>
                  </w:tcMar>
                  <w:vAlign w:val="center"/>
                </w:tcPr>
                <w:p w14:paraId="5FEFE41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0.300 </w:t>
                  </w:r>
                </w:p>
              </w:tc>
              <w:tc>
                <w:tcPr>
                  <w:tcW w:w="1109" w:type="dxa"/>
                  <w:tcBorders>
                    <w:tl2br w:val="nil"/>
                    <w:tr2bl w:val="nil"/>
                  </w:tcBorders>
                  <w:noWrap w:val="0"/>
                  <w:tcMar>
                    <w:top w:w="0" w:type="dxa"/>
                    <w:left w:w="0" w:type="dxa"/>
                    <w:bottom w:w="0" w:type="dxa"/>
                    <w:right w:w="0" w:type="dxa"/>
                  </w:tcMar>
                  <w:vAlign w:val="center"/>
                </w:tcPr>
                <w:p w14:paraId="09CABF2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0.155 </w:t>
                  </w:r>
                </w:p>
              </w:tc>
              <w:tc>
                <w:tcPr>
                  <w:tcW w:w="1225" w:type="dxa"/>
                  <w:tcBorders>
                    <w:tl2br w:val="nil"/>
                    <w:tr2bl w:val="nil"/>
                  </w:tcBorders>
                  <w:noWrap w:val="0"/>
                  <w:tcMar>
                    <w:top w:w="0" w:type="dxa"/>
                    <w:left w:w="0" w:type="dxa"/>
                    <w:bottom w:w="0" w:type="dxa"/>
                    <w:right w:w="0" w:type="dxa"/>
                  </w:tcMar>
                  <w:vAlign w:val="center"/>
                </w:tcPr>
                <w:p w14:paraId="6931682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0.9 </w:t>
                  </w:r>
                </w:p>
              </w:tc>
              <w:tc>
                <w:tcPr>
                  <w:tcW w:w="342" w:type="pct"/>
                  <w:vMerge w:val="continue"/>
                  <w:tcBorders>
                    <w:tl2br w:val="nil"/>
                    <w:tr2bl w:val="nil"/>
                  </w:tcBorders>
                  <w:noWrap w:val="0"/>
                  <w:tcMar>
                    <w:top w:w="0" w:type="dxa"/>
                    <w:left w:w="0" w:type="dxa"/>
                    <w:bottom w:w="0" w:type="dxa"/>
                    <w:right w:w="0" w:type="dxa"/>
                  </w:tcMar>
                  <w:vAlign w:val="center"/>
                </w:tcPr>
                <w:p w14:paraId="5D0F8DD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69BF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5852B505">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noWrap w:val="0"/>
                  <w:tcMar>
                    <w:top w:w="0" w:type="dxa"/>
                    <w:left w:w="0" w:type="dxa"/>
                    <w:bottom w:w="0" w:type="dxa"/>
                    <w:right w:w="0" w:type="dxa"/>
                  </w:tcMar>
                  <w:vAlign w:val="center"/>
                </w:tcPr>
                <w:p w14:paraId="09D87456">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臭气浓度</w:t>
                  </w:r>
                </w:p>
              </w:tc>
              <w:tc>
                <w:tcPr>
                  <w:tcW w:w="873" w:type="dxa"/>
                  <w:tcBorders>
                    <w:tl2br w:val="nil"/>
                    <w:tr2bl w:val="nil"/>
                  </w:tcBorders>
                  <w:noWrap w:val="0"/>
                  <w:tcMar>
                    <w:top w:w="0" w:type="dxa"/>
                    <w:left w:w="0" w:type="dxa"/>
                    <w:bottom w:w="0" w:type="dxa"/>
                    <w:right w:w="0" w:type="dxa"/>
                  </w:tcMar>
                  <w:vAlign w:val="center"/>
                </w:tcPr>
                <w:p w14:paraId="500249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074" w:type="dxa"/>
                  <w:tcBorders>
                    <w:tl2br w:val="nil"/>
                    <w:tr2bl w:val="nil"/>
                  </w:tcBorders>
                  <w:noWrap w:val="0"/>
                  <w:tcMar>
                    <w:top w:w="0" w:type="dxa"/>
                    <w:left w:w="0" w:type="dxa"/>
                    <w:bottom w:w="0" w:type="dxa"/>
                    <w:right w:w="0" w:type="dxa"/>
                  </w:tcMar>
                  <w:vAlign w:val="center"/>
                </w:tcPr>
                <w:p w14:paraId="7AA52C1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2" w:type="dxa"/>
                  <w:tcBorders>
                    <w:tl2br w:val="nil"/>
                    <w:tr2bl w:val="nil"/>
                  </w:tcBorders>
                  <w:noWrap w:val="0"/>
                  <w:tcMar>
                    <w:top w:w="0" w:type="dxa"/>
                    <w:left w:w="0" w:type="dxa"/>
                    <w:bottom w:w="0" w:type="dxa"/>
                    <w:right w:w="0" w:type="dxa"/>
                  </w:tcMar>
                  <w:vAlign w:val="center"/>
                </w:tcPr>
                <w:p w14:paraId="701D2C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continue"/>
                  <w:tcBorders>
                    <w:tl2br w:val="nil"/>
                    <w:tr2bl w:val="nil"/>
                  </w:tcBorders>
                  <w:noWrap w:val="0"/>
                  <w:tcMar>
                    <w:top w:w="0" w:type="dxa"/>
                    <w:left w:w="0" w:type="dxa"/>
                    <w:bottom w:w="0" w:type="dxa"/>
                    <w:right w:w="0" w:type="dxa"/>
                  </w:tcMar>
                  <w:vAlign w:val="center"/>
                </w:tcPr>
                <w:p w14:paraId="546FCF4F">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1AC16480">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shd w:val="clear" w:color="auto" w:fill="auto"/>
                  <w:noWrap w:val="0"/>
                  <w:tcMar>
                    <w:top w:w="0" w:type="dxa"/>
                    <w:left w:w="0" w:type="dxa"/>
                    <w:bottom w:w="0" w:type="dxa"/>
                    <w:right w:w="0" w:type="dxa"/>
                  </w:tcMar>
                  <w:vAlign w:val="center"/>
                </w:tcPr>
                <w:p w14:paraId="4CA3E1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shd w:val="clear" w:color="auto" w:fill="auto"/>
                  <w:noWrap w:val="0"/>
                  <w:tcMar>
                    <w:top w:w="0" w:type="dxa"/>
                    <w:left w:w="0" w:type="dxa"/>
                    <w:bottom w:w="0" w:type="dxa"/>
                    <w:right w:w="0" w:type="dxa"/>
                  </w:tcMar>
                  <w:vAlign w:val="center"/>
                </w:tcPr>
                <w:p w14:paraId="6910968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3C020C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9" w:type="dxa"/>
                  <w:tcBorders>
                    <w:tl2br w:val="nil"/>
                    <w:tr2bl w:val="nil"/>
                  </w:tcBorders>
                  <w:noWrap w:val="0"/>
                  <w:tcMar>
                    <w:top w:w="0" w:type="dxa"/>
                    <w:left w:w="0" w:type="dxa"/>
                    <w:bottom w:w="0" w:type="dxa"/>
                    <w:right w:w="0" w:type="dxa"/>
                  </w:tcMar>
                  <w:vAlign w:val="center"/>
                </w:tcPr>
                <w:p w14:paraId="68B8A1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225" w:type="dxa"/>
                  <w:tcBorders>
                    <w:tl2br w:val="nil"/>
                    <w:tr2bl w:val="nil"/>
                  </w:tcBorders>
                  <w:noWrap w:val="0"/>
                  <w:tcMar>
                    <w:top w:w="0" w:type="dxa"/>
                    <w:left w:w="0" w:type="dxa"/>
                    <w:bottom w:w="0" w:type="dxa"/>
                    <w:right w:w="0" w:type="dxa"/>
                  </w:tcMar>
                  <w:vAlign w:val="center"/>
                </w:tcPr>
                <w:p w14:paraId="3A717A6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0E80E4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4059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40184B22">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6B292EDB">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颗粒物</w:t>
                  </w:r>
                </w:p>
              </w:tc>
              <w:tc>
                <w:tcPr>
                  <w:tcW w:w="873" w:type="dxa"/>
                  <w:tcBorders>
                    <w:tl2br w:val="nil"/>
                    <w:tr2bl w:val="nil"/>
                  </w:tcBorders>
                  <w:noWrap w:val="0"/>
                  <w:tcMar>
                    <w:top w:w="0" w:type="dxa"/>
                    <w:left w:w="0" w:type="dxa"/>
                    <w:bottom w:w="0" w:type="dxa"/>
                    <w:right w:w="0" w:type="dxa"/>
                  </w:tcMar>
                  <w:vAlign w:val="center"/>
                </w:tcPr>
                <w:p w14:paraId="70AA6D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0.025 </w:t>
                  </w:r>
                </w:p>
              </w:tc>
              <w:tc>
                <w:tcPr>
                  <w:tcW w:w="1074" w:type="dxa"/>
                  <w:tcBorders>
                    <w:tl2br w:val="nil"/>
                    <w:tr2bl w:val="nil"/>
                  </w:tcBorders>
                  <w:noWrap w:val="0"/>
                  <w:tcMar>
                    <w:top w:w="0" w:type="dxa"/>
                    <w:left w:w="0" w:type="dxa"/>
                    <w:bottom w:w="0" w:type="dxa"/>
                    <w:right w:w="0" w:type="dxa"/>
                  </w:tcMar>
                  <w:vAlign w:val="center"/>
                </w:tcPr>
                <w:p w14:paraId="0A83A8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1102" w:type="dxa"/>
                  <w:tcBorders>
                    <w:tl2br w:val="nil"/>
                    <w:tr2bl w:val="nil"/>
                  </w:tcBorders>
                  <w:noWrap w:val="0"/>
                  <w:tcMar>
                    <w:top w:w="0" w:type="dxa"/>
                    <w:left w:w="0" w:type="dxa"/>
                    <w:bottom w:w="0" w:type="dxa"/>
                    <w:right w:w="0" w:type="dxa"/>
                  </w:tcMar>
                  <w:vAlign w:val="center"/>
                </w:tcPr>
                <w:p w14:paraId="5FE7BE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restart"/>
                  <w:tcBorders>
                    <w:tl2br w:val="nil"/>
                    <w:tr2bl w:val="nil"/>
                  </w:tcBorders>
                  <w:noWrap w:val="0"/>
                  <w:tcMar>
                    <w:top w:w="0" w:type="dxa"/>
                    <w:left w:w="0" w:type="dxa"/>
                    <w:bottom w:w="0" w:type="dxa"/>
                    <w:right w:w="0" w:type="dxa"/>
                  </w:tcMar>
                  <w:vAlign w:val="center"/>
                </w:tcPr>
                <w:p w14:paraId="410D46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50C9A6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38D31D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2FD699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21B83F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0.025 </w:t>
                  </w:r>
                </w:p>
              </w:tc>
              <w:tc>
                <w:tcPr>
                  <w:tcW w:w="1109" w:type="dxa"/>
                  <w:tcBorders>
                    <w:tl2br w:val="nil"/>
                    <w:tr2bl w:val="nil"/>
                  </w:tcBorders>
                  <w:noWrap w:val="0"/>
                  <w:tcMar>
                    <w:top w:w="0" w:type="dxa"/>
                    <w:left w:w="0" w:type="dxa"/>
                    <w:bottom w:w="0" w:type="dxa"/>
                    <w:right w:w="0" w:type="dxa"/>
                  </w:tcMar>
                  <w:vAlign w:val="center"/>
                </w:tcPr>
                <w:p w14:paraId="38769FD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1225" w:type="dxa"/>
                  <w:tcBorders>
                    <w:tl2br w:val="nil"/>
                    <w:tr2bl w:val="nil"/>
                  </w:tcBorders>
                  <w:noWrap w:val="0"/>
                  <w:tcMar>
                    <w:top w:w="0" w:type="dxa"/>
                    <w:left w:w="0" w:type="dxa"/>
                    <w:bottom w:w="0" w:type="dxa"/>
                    <w:right w:w="0" w:type="dxa"/>
                  </w:tcMar>
                  <w:vAlign w:val="center"/>
                </w:tcPr>
                <w:p w14:paraId="210E365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44198E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224E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4537CA8F">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30832A3A">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非甲烷总烃</w:t>
                  </w:r>
                </w:p>
              </w:tc>
              <w:tc>
                <w:tcPr>
                  <w:tcW w:w="873" w:type="dxa"/>
                  <w:tcBorders>
                    <w:tl2br w:val="nil"/>
                    <w:tr2bl w:val="nil"/>
                  </w:tcBorders>
                  <w:noWrap w:val="0"/>
                  <w:tcMar>
                    <w:top w:w="0" w:type="dxa"/>
                    <w:left w:w="0" w:type="dxa"/>
                    <w:bottom w:w="0" w:type="dxa"/>
                    <w:right w:w="0" w:type="dxa"/>
                  </w:tcMar>
                  <w:vAlign w:val="center"/>
                </w:tcPr>
                <w:p w14:paraId="0F3A24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0.335 </w:t>
                  </w:r>
                </w:p>
              </w:tc>
              <w:tc>
                <w:tcPr>
                  <w:tcW w:w="1074" w:type="dxa"/>
                  <w:tcBorders>
                    <w:tl2br w:val="nil"/>
                    <w:tr2bl w:val="nil"/>
                  </w:tcBorders>
                  <w:noWrap w:val="0"/>
                  <w:tcMar>
                    <w:top w:w="0" w:type="dxa"/>
                    <w:left w:w="0" w:type="dxa"/>
                    <w:bottom w:w="0" w:type="dxa"/>
                    <w:right w:w="0" w:type="dxa"/>
                  </w:tcMar>
                  <w:vAlign w:val="center"/>
                </w:tcPr>
                <w:p w14:paraId="122E123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0.174 </w:t>
                  </w:r>
                </w:p>
              </w:tc>
              <w:tc>
                <w:tcPr>
                  <w:tcW w:w="1102" w:type="dxa"/>
                  <w:tcBorders>
                    <w:tl2br w:val="nil"/>
                    <w:tr2bl w:val="nil"/>
                  </w:tcBorders>
                  <w:noWrap w:val="0"/>
                  <w:tcMar>
                    <w:top w:w="0" w:type="dxa"/>
                    <w:left w:w="0" w:type="dxa"/>
                    <w:bottom w:w="0" w:type="dxa"/>
                    <w:right w:w="0" w:type="dxa"/>
                  </w:tcMar>
                  <w:vAlign w:val="center"/>
                </w:tcPr>
                <w:p w14:paraId="225DC48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continue"/>
                  <w:tcBorders>
                    <w:tl2br w:val="nil"/>
                    <w:tr2bl w:val="nil"/>
                  </w:tcBorders>
                  <w:noWrap w:val="0"/>
                  <w:tcMar>
                    <w:top w:w="0" w:type="dxa"/>
                    <w:left w:w="0" w:type="dxa"/>
                    <w:bottom w:w="0" w:type="dxa"/>
                    <w:right w:w="0" w:type="dxa"/>
                  </w:tcMar>
                  <w:vAlign w:val="center"/>
                </w:tcPr>
                <w:p w14:paraId="5D528056">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tcBorders>
                    <w:tl2br w:val="nil"/>
                    <w:tr2bl w:val="nil"/>
                  </w:tcBorders>
                  <w:noWrap w:val="0"/>
                  <w:tcMar>
                    <w:top w:w="0" w:type="dxa"/>
                    <w:left w:w="0" w:type="dxa"/>
                    <w:bottom w:w="0" w:type="dxa"/>
                    <w:right w:w="0" w:type="dxa"/>
                  </w:tcMar>
                  <w:vAlign w:val="center"/>
                </w:tcPr>
                <w:p w14:paraId="32A0E4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3BC333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65E734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29B0CB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0.335 </w:t>
                  </w:r>
                </w:p>
              </w:tc>
              <w:tc>
                <w:tcPr>
                  <w:tcW w:w="1109" w:type="dxa"/>
                  <w:tcBorders>
                    <w:tl2br w:val="nil"/>
                    <w:tr2bl w:val="nil"/>
                  </w:tcBorders>
                  <w:noWrap w:val="0"/>
                  <w:tcMar>
                    <w:top w:w="0" w:type="dxa"/>
                    <w:left w:w="0" w:type="dxa"/>
                    <w:bottom w:w="0" w:type="dxa"/>
                    <w:right w:w="0" w:type="dxa"/>
                  </w:tcMar>
                  <w:vAlign w:val="center"/>
                </w:tcPr>
                <w:p w14:paraId="6564FD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0.174 </w:t>
                  </w:r>
                </w:p>
              </w:tc>
              <w:tc>
                <w:tcPr>
                  <w:tcW w:w="1225" w:type="dxa"/>
                  <w:tcBorders>
                    <w:tl2br w:val="nil"/>
                    <w:tr2bl w:val="nil"/>
                  </w:tcBorders>
                  <w:noWrap w:val="0"/>
                  <w:tcMar>
                    <w:top w:w="0" w:type="dxa"/>
                    <w:left w:w="0" w:type="dxa"/>
                    <w:bottom w:w="0" w:type="dxa"/>
                    <w:right w:w="0" w:type="dxa"/>
                  </w:tcMar>
                  <w:vAlign w:val="center"/>
                </w:tcPr>
                <w:p w14:paraId="1DD234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53023E3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1D28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2B1C40DB">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64710AA1">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苯系物</w:t>
                  </w:r>
                </w:p>
              </w:tc>
              <w:tc>
                <w:tcPr>
                  <w:tcW w:w="873" w:type="dxa"/>
                  <w:tcBorders>
                    <w:tl2br w:val="nil"/>
                    <w:tr2bl w:val="nil"/>
                  </w:tcBorders>
                  <w:noWrap w:val="0"/>
                  <w:tcMar>
                    <w:top w:w="0" w:type="dxa"/>
                    <w:left w:w="0" w:type="dxa"/>
                    <w:bottom w:w="0" w:type="dxa"/>
                    <w:right w:w="0" w:type="dxa"/>
                  </w:tcMar>
                  <w:vAlign w:val="center"/>
                </w:tcPr>
                <w:p w14:paraId="6755AB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0.167 </w:t>
                  </w:r>
                </w:p>
              </w:tc>
              <w:tc>
                <w:tcPr>
                  <w:tcW w:w="1074" w:type="dxa"/>
                  <w:tcBorders>
                    <w:tl2br w:val="nil"/>
                    <w:tr2bl w:val="nil"/>
                  </w:tcBorders>
                  <w:noWrap w:val="0"/>
                  <w:tcMar>
                    <w:top w:w="0" w:type="dxa"/>
                    <w:left w:w="0" w:type="dxa"/>
                    <w:bottom w:w="0" w:type="dxa"/>
                    <w:right w:w="0" w:type="dxa"/>
                  </w:tcMar>
                  <w:vAlign w:val="center"/>
                </w:tcPr>
                <w:p w14:paraId="4C503EA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0.086 </w:t>
                  </w:r>
                </w:p>
              </w:tc>
              <w:tc>
                <w:tcPr>
                  <w:tcW w:w="1102" w:type="dxa"/>
                  <w:tcBorders>
                    <w:tl2br w:val="nil"/>
                    <w:tr2bl w:val="nil"/>
                  </w:tcBorders>
                  <w:noWrap w:val="0"/>
                  <w:tcMar>
                    <w:top w:w="0" w:type="dxa"/>
                    <w:left w:w="0" w:type="dxa"/>
                    <w:bottom w:w="0" w:type="dxa"/>
                    <w:right w:w="0" w:type="dxa"/>
                  </w:tcMar>
                  <w:vAlign w:val="center"/>
                </w:tcPr>
                <w:p w14:paraId="7B5035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continue"/>
                  <w:tcBorders>
                    <w:tl2br w:val="nil"/>
                    <w:tr2bl w:val="nil"/>
                  </w:tcBorders>
                  <w:noWrap w:val="0"/>
                  <w:tcMar>
                    <w:top w:w="0" w:type="dxa"/>
                    <w:left w:w="0" w:type="dxa"/>
                    <w:bottom w:w="0" w:type="dxa"/>
                    <w:right w:w="0" w:type="dxa"/>
                  </w:tcMar>
                  <w:vAlign w:val="center"/>
                </w:tcPr>
                <w:p w14:paraId="6056F0D2">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tcBorders>
                    <w:tl2br w:val="nil"/>
                    <w:tr2bl w:val="nil"/>
                  </w:tcBorders>
                  <w:noWrap w:val="0"/>
                  <w:tcMar>
                    <w:top w:w="0" w:type="dxa"/>
                    <w:left w:w="0" w:type="dxa"/>
                    <w:bottom w:w="0" w:type="dxa"/>
                    <w:right w:w="0" w:type="dxa"/>
                  </w:tcMar>
                  <w:vAlign w:val="center"/>
                </w:tcPr>
                <w:p w14:paraId="47BBA1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468FAF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0429EB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2E6980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0.167 </w:t>
                  </w:r>
                </w:p>
              </w:tc>
              <w:tc>
                <w:tcPr>
                  <w:tcW w:w="1109" w:type="dxa"/>
                  <w:tcBorders>
                    <w:tl2br w:val="nil"/>
                    <w:tr2bl w:val="nil"/>
                  </w:tcBorders>
                  <w:noWrap w:val="0"/>
                  <w:tcMar>
                    <w:top w:w="0" w:type="dxa"/>
                    <w:left w:w="0" w:type="dxa"/>
                    <w:bottom w:w="0" w:type="dxa"/>
                    <w:right w:w="0" w:type="dxa"/>
                  </w:tcMar>
                  <w:vAlign w:val="center"/>
                </w:tcPr>
                <w:p w14:paraId="03A69A9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0.086 </w:t>
                  </w:r>
                </w:p>
              </w:tc>
              <w:tc>
                <w:tcPr>
                  <w:tcW w:w="1225" w:type="dxa"/>
                  <w:tcBorders>
                    <w:tl2br w:val="nil"/>
                    <w:tr2bl w:val="nil"/>
                  </w:tcBorders>
                  <w:noWrap w:val="0"/>
                  <w:tcMar>
                    <w:top w:w="0" w:type="dxa"/>
                    <w:left w:w="0" w:type="dxa"/>
                    <w:bottom w:w="0" w:type="dxa"/>
                    <w:right w:w="0" w:type="dxa"/>
                  </w:tcMar>
                  <w:vAlign w:val="center"/>
                </w:tcPr>
                <w:p w14:paraId="5267171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34E51D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0399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4D81BC97">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714C8CF">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臭气浓度</w:t>
                  </w:r>
                </w:p>
              </w:tc>
              <w:tc>
                <w:tcPr>
                  <w:tcW w:w="873" w:type="dxa"/>
                  <w:tcBorders>
                    <w:tl2br w:val="nil"/>
                    <w:tr2bl w:val="nil"/>
                  </w:tcBorders>
                  <w:noWrap w:val="0"/>
                  <w:tcMar>
                    <w:top w:w="0" w:type="dxa"/>
                    <w:left w:w="0" w:type="dxa"/>
                    <w:bottom w:w="0" w:type="dxa"/>
                    <w:right w:w="0" w:type="dxa"/>
                  </w:tcMar>
                  <w:vAlign w:val="center"/>
                </w:tcPr>
                <w:p w14:paraId="47224E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074" w:type="dxa"/>
                  <w:tcBorders>
                    <w:tl2br w:val="nil"/>
                    <w:tr2bl w:val="nil"/>
                  </w:tcBorders>
                  <w:noWrap w:val="0"/>
                  <w:tcMar>
                    <w:top w:w="0" w:type="dxa"/>
                    <w:left w:w="0" w:type="dxa"/>
                    <w:bottom w:w="0" w:type="dxa"/>
                    <w:right w:w="0" w:type="dxa"/>
                  </w:tcMar>
                  <w:vAlign w:val="center"/>
                </w:tcPr>
                <w:p w14:paraId="7ECF88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2" w:type="dxa"/>
                  <w:tcBorders>
                    <w:tl2br w:val="nil"/>
                    <w:tr2bl w:val="nil"/>
                  </w:tcBorders>
                  <w:noWrap w:val="0"/>
                  <w:tcMar>
                    <w:top w:w="0" w:type="dxa"/>
                    <w:left w:w="0" w:type="dxa"/>
                    <w:bottom w:w="0" w:type="dxa"/>
                    <w:right w:w="0" w:type="dxa"/>
                  </w:tcMar>
                  <w:vAlign w:val="center"/>
                </w:tcPr>
                <w:p w14:paraId="36201BC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continue"/>
                  <w:tcBorders>
                    <w:tl2br w:val="nil"/>
                    <w:tr2bl w:val="nil"/>
                  </w:tcBorders>
                  <w:noWrap w:val="0"/>
                  <w:tcMar>
                    <w:top w:w="0" w:type="dxa"/>
                    <w:left w:w="0" w:type="dxa"/>
                    <w:bottom w:w="0" w:type="dxa"/>
                    <w:right w:w="0" w:type="dxa"/>
                  </w:tcMar>
                  <w:vAlign w:val="center"/>
                </w:tcPr>
                <w:p w14:paraId="3DA40ECC">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tcBorders>
                    <w:tl2br w:val="nil"/>
                    <w:tr2bl w:val="nil"/>
                  </w:tcBorders>
                  <w:noWrap w:val="0"/>
                  <w:tcMar>
                    <w:top w:w="0" w:type="dxa"/>
                    <w:left w:w="0" w:type="dxa"/>
                    <w:bottom w:w="0" w:type="dxa"/>
                    <w:right w:w="0" w:type="dxa"/>
                  </w:tcMar>
                  <w:vAlign w:val="center"/>
                </w:tcPr>
                <w:p w14:paraId="65DF3F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55DCD2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0EA780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65DCAFE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9" w:type="dxa"/>
                  <w:tcBorders>
                    <w:tl2br w:val="nil"/>
                    <w:tr2bl w:val="nil"/>
                  </w:tcBorders>
                  <w:noWrap w:val="0"/>
                  <w:tcMar>
                    <w:top w:w="0" w:type="dxa"/>
                    <w:left w:w="0" w:type="dxa"/>
                    <w:bottom w:w="0" w:type="dxa"/>
                    <w:right w:w="0" w:type="dxa"/>
                  </w:tcMar>
                  <w:vAlign w:val="center"/>
                </w:tcPr>
                <w:p w14:paraId="314CB9B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225" w:type="dxa"/>
                  <w:tcBorders>
                    <w:tl2br w:val="nil"/>
                    <w:tr2bl w:val="nil"/>
                  </w:tcBorders>
                  <w:noWrap w:val="0"/>
                  <w:tcMar>
                    <w:top w:w="0" w:type="dxa"/>
                    <w:left w:w="0" w:type="dxa"/>
                    <w:bottom w:w="0" w:type="dxa"/>
                    <w:right w:w="0" w:type="dxa"/>
                  </w:tcMar>
                  <w:vAlign w:val="center"/>
                </w:tcPr>
                <w:p w14:paraId="3A0E5D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78AE483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4B25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5DAA45DE">
                  <w:pPr>
                    <w:pStyle w:val="109"/>
                    <w:bidi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固化废气（DA002）</w:t>
                  </w:r>
                </w:p>
              </w:tc>
              <w:tc>
                <w:tcPr>
                  <w:tcW w:w="394" w:type="pct"/>
                  <w:tcBorders>
                    <w:tl2br w:val="nil"/>
                    <w:tr2bl w:val="nil"/>
                  </w:tcBorders>
                  <w:noWrap w:val="0"/>
                  <w:tcMar>
                    <w:top w:w="0" w:type="dxa"/>
                    <w:left w:w="0" w:type="dxa"/>
                    <w:bottom w:w="0" w:type="dxa"/>
                    <w:right w:w="0" w:type="dxa"/>
                  </w:tcMar>
                  <w:vAlign w:val="center"/>
                </w:tcPr>
                <w:p w14:paraId="5C522D96">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非甲烷总烃</w:t>
                  </w:r>
                </w:p>
              </w:tc>
              <w:tc>
                <w:tcPr>
                  <w:tcW w:w="873" w:type="dxa"/>
                  <w:tcBorders>
                    <w:tl2br w:val="nil"/>
                    <w:tr2bl w:val="nil"/>
                  </w:tcBorders>
                  <w:noWrap w:val="0"/>
                  <w:tcMar>
                    <w:top w:w="0" w:type="dxa"/>
                    <w:left w:w="0" w:type="dxa"/>
                    <w:bottom w:w="0" w:type="dxa"/>
                    <w:right w:w="0" w:type="dxa"/>
                  </w:tcMar>
                  <w:vAlign w:val="center"/>
                </w:tcPr>
                <w:p w14:paraId="4ADEB88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0.338 </w:t>
                  </w:r>
                </w:p>
              </w:tc>
              <w:tc>
                <w:tcPr>
                  <w:tcW w:w="1074" w:type="dxa"/>
                  <w:tcBorders>
                    <w:tl2br w:val="nil"/>
                    <w:tr2bl w:val="nil"/>
                  </w:tcBorders>
                  <w:noWrap w:val="0"/>
                  <w:tcMar>
                    <w:top w:w="0" w:type="dxa"/>
                    <w:left w:w="0" w:type="dxa"/>
                    <w:bottom w:w="0" w:type="dxa"/>
                    <w:right w:w="0" w:type="dxa"/>
                  </w:tcMar>
                  <w:vAlign w:val="center"/>
                </w:tcPr>
                <w:p w14:paraId="3A1E14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0.175 </w:t>
                  </w:r>
                </w:p>
              </w:tc>
              <w:tc>
                <w:tcPr>
                  <w:tcW w:w="1102" w:type="dxa"/>
                  <w:tcBorders>
                    <w:tl2br w:val="nil"/>
                    <w:tr2bl w:val="nil"/>
                  </w:tcBorders>
                  <w:noWrap w:val="0"/>
                  <w:tcMar>
                    <w:top w:w="0" w:type="dxa"/>
                    <w:left w:w="0" w:type="dxa"/>
                    <w:bottom w:w="0" w:type="dxa"/>
                    <w:right w:w="0" w:type="dxa"/>
                  </w:tcMar>
                  <w:vAlign w:val="center"/>
                </w:tcPr>
                <w:p w14:paraId="24CA1AD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4.4 </w:t>
                  </w:r>
                </w:p>
              </w:tc>
              <w:tc>
                <w:tcPr>
                  <w:tcW w:w="352" w:type="pct"/>
                  <w:vMerge w:val="restart"/>
                  <w:tcBorders>
                    <w:tl2br w:val="nil"/>
                    <w:tr2bl w:val="nil"/>
                  </w:tcBorders>
                  <w:noWrap w:val="0"/>
                  <w:tcMar>
                    <w:top w:w="0" w:type="dxa"/>
                    <w:left w:w="0" w:type="dxa"/>
                    <w:bottom w:w="0" w:type="dxa"/>
                    <w:right w:w="0" w:type="dxa"/>
                  </w:tcMar>
                  <w:vAlign w:val="center"/>
                </w:tcPr>
                <w:p w14:paraId="5332129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有组织</w:t>
                  </w:r>
                </w:p>
              </w:tc>
              <w:tc>
                <w:tcPr>
                  <w:tcW w:w="432" w:type="pct"/>
                  <w:vMerge w:val="restart"/>
                  <w:tcBorders>
                    <w:tl2br w:val="nil"/>
                    <w:tr2bl w:val="nil"/>
                  </w:tcBorders>
                  <w:noWrap w:val="0"/>
                  <w:tcMar>
                    <w:top w:w="0" w:type="dxa"/>
                    <w:left w:w="0" w:type="dxa"/>
                    <w:bottom w:w="0" w:type="dxa"/>
                    <w:right w:w="0" w:type="dxa"/>
                  </w:tcMar>
                  <w:vAlign w:val="center"/>
                </w:tcPr>
                <w:p w14:paraId="2178965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40000</w:t>
                  </w:r>
                </w:p>
              </w:tc>
              <w:tc>
                <w:tcPr>
                  <w:tcW w:w="286" w:type="pct"/>
                  <w:tcBorders>
                    <w:tl2br w:val="nil"/>
                    <w:tr2bl w:val="nil"/>
                  </w:tcBorders>
                  <w:noWrap w:val="0"/>
                  <w:tcMar>
                    <w:top w:w="0" w:type="dxa"/>
                    <w:left w:w="0" w:type="dxa"/>
                    <w:bottom w:w="0" w:type="dxa"/>
                    <w:right w:w="0" w:type="dxa"/>
                  </w:tcMar>
                  <w:vAlign w:val="center"/>
                </w:tcPr>
                <w:p w14:paraId="7DBCFD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261" w:type="pct"/>
                  <w:tcBorders>
                    <w:tl2br w:val="nil"/>
                    <w:tr2bl w:val="nil"/>
                  </w:tcBorders>
                  <w:noWrap w:val="0"/>
                  <w:tcMar>
                    <w:top w:w="0" w:type="dxa"/>
                    <w:left w:w="0" w:type="dxa"/>
                    <w:bottom w:w="0" w:type="dxa"/>
                    <w:right w:w="0" w:type="dxa"/>
                  </w:tcMar>
                  <w:vAlign w:val="center"/>
                </w:tcPr>
                <w:p w14:paraId="68D566B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73" w:type="dxa"/>
                  <w:tcBorders>
                    <w:tl2br w:val="nil"/>
                    <w:tr2bl w:val="nil"/>
                  </w:tcBorders>
                  <w:noWrap w:val="0"/>
                  <w:tcMar>
                    <w:top w:w="0" w:type="dxa"/>
                    <w:left w:w="0" w:type="dxa"/>
                    <w:bottom w:w="0" w:type="dxa"/>
                    <w:right w:w="0" w:type="dxa"/>
                  </w:tcMar>
                  <w:vAlign w:val="center"/>
                </w:tcPr>
                <w:p w14:paraId="32E807F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0.068 </w:t>
                  </w:r>
                </w:p>
              </w:tc>
              <w:tc>
                <w:tcPr>
                  <w:tcW w:w="1109" w:type="dxa"/>
                  <w:tcBorders>
                    <w:tl2br w:val="nil"/>
                    <w:tr2bl w:val="nil"/>
                  </w:tcBorders>
                  <w:noWrap w:val="0"/>
                  <w:tcMar>
                    <w:top w:w="0" w:type="dxa"/>
                    <w:left w:w="0" w:type="dxa"/>
                    <w:bottom w:w="0" w:type="dxa"/>
                    <w:right w:w="0" w:type="dxa"/>
                  </w:tcMar>
                  <w:vAlign w:val="center"/>
                </w:tcPr>
                <w:p w14:paraId="37228B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0.035 </w:t>
                  </w:r>
                </w:p>
              </w:tc>
              <w:tc>
                <w:tcPr>
                  <w:tcW w:w="1225" w:type="dxa"/>
                  <w:tcBorders>
                    <w:tl2br w:val="nil"/>
                    <w:tr2bl w:val="nil"/>
                  </w:tcBorders>
                  <w:noWrap w:val="0"/>
                  <w:tcMar>
                    <w:top w:w="0" w:type="dxa"/>
                    <w:left w:w="0" w:type="dxa"/>
                    <w:bottom w:w="0" w:type="dxa"/>
                    <w:right w:w="0" w:type="dxa"/>
                  </w:tcMar>
                  <w:vAlign w:val="center"/>
                </w:tcPr>
                <w:p w14:paraId="1DDE120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0.876 </w:t>
                  </w:r>
                </w:p>
              </w:tc>
              <w:tc>
                <w:tcPr>
                  <w:tcW w:w="342" w:type="pct"/>
                  <w:vMerge w:val="restart"/>
                  <w:tcBorders>
                    <w:tl2br w:val="nil"/>
                    <w:tr2bl w:val="nil"/>
                  </w:tcBorders>
                  <w:noWrap w:val="0"/>
                  <w:tcMar>
                    <w:top w:w="0" w:type="dxa"/>
                    <w:left w:w="0" w:type="dxa"/>
                    <w:bottom w:w="0" w:type="dxa"/>
                    <w:right w:w="0" w:type="dxa"/>
                  </w:tcMar>
                  <w:vAlign w:val="center"/>
                </w:tcPr>
                <w:p w14:paraId="4AA5E23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1928</w:t>
                  </w:r>
                </w:p>
              </w:tc>
            </w:tr>
            <w:tr w14:paraId="2845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3343B195">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noWrap w:val="0"/>
                  <w:tcMar>
                    <w:top w:w="0" w:type="dxa"/>
                    <w:left w:w="0" w:type="dxa"/>
                    <w:bottom w:w="0" w:type="dxa"/>
                    <w:right w:w="0" w:type="dxa"/>
                  </w:tcMar>
                  <w:vAlign w:val="center"/>
                </w:tcPr>
                <w:p w14:paraId="34E7496F">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苯系物</w:t>
                  </w:r>
                </w:p>
              </w:tc>
              <w:tc>
                <w:tcPr>
                  <w:tcW w:w="873" w:type="dxa"/>
                  <w:tcBorders>
                    <w:tl2br w:val="nil"/>
                    <w:tr2bl w:val="nil"/>
                  </w:tcBorders>
                  <w:noWrap w:val="0"/>
                  <w:tcMar>
                    <w:top w:w="0" w:type="dxa"/>
                    <w:left w:w="0" w:type="dxa"/>
                    <w:bottom w:w="0" w:type="dxa"/>
                    <w:right w:w="0" w:type="dxa"/>
                  </w:tcMar>
                  <w:vAlign w:val="center"/>
                </w:tcPr>
                <w:p w14:paraId="1979FDC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074" w:type="dxa"/>
                  <w:tcBorders>
                    <w:tl2br w:val="nil"/>
                    <w:tr2bl w:val="nil"/>
                  </w:tcBorders>
                  <w:noWrap w:val="0"/>
                  <w:tcMar>
                    <w:top w:w="0" w:type="dxa"/>
                    <w:left w:w="0" w:type="dxa"/>
                    <w:bottom w:w="0" w:type="dxa"/>
                    <w:right w:w="0" w:type="dxa"/>
                  </w:tcMar>
                  <w:vAlign w:val="center"/>
                </w:tcPr>
                <w:p w14:paraId="3940F5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1102" w:type="dxa"/>
                  <w:tcBorders>
                    <w:tl2br w:val="nil"/>
                    <w:tr2bl w:val="nil"/>
                  </w:tcBorders>
                  <w:noWrap w:val="0"/>
                  <w:tcMar>
                    <w:top w:w="0" w:type="dxa"/>
                    <w:left w:w="0" w:type="dxa"/>
                    <w:bottom w:w="0" w:type="dxa"/>
                    <w:right w:w="0" w:type="dxa"/>
                  </w:tcMar>
                  <w:vAlign w:val="center"/>
                </w:tcPr>
                <w:p w14:paraId="28C68FB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1.1 </w:t>
                  </w:r>
                </w:p>
              </w:tc>
              <w:tc>
                <w:tcPr>
                  <w:tcW w:w="352" w:type="pct"/>
                  <w:vMerge w:val="continue"/>
                  <w:tcBorders>
                    <w:tl2br w:val="nil"/>
                    <w:tr2bl w:val="nil"/>
                  </w:tcBorders>
                  <w:noWrap w:val="0"/>
                  <w:tcMar>
                    <w:top w:w="0" w:type="dxa"/>
                    <w:left w:w="0" w:type="dxa"/>
                    <w:bottom w:w="0" w:type="dxa"/>
                    <w:right w:w="0" w:type="dxa"/>
                  </w:tcMar>
                  <w:vAlign w:val="center"/>
                </w:tcPr>
                <w:p w14:paraId="750D7241">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2004682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5DC921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261" w:type="pct"/>
                  <w:tcBorders>
                    <w:tl2br w:val="nil"/>
                    <w:tr2bl w:val="nil"/>
                  </w:tcBorders>
                  <w:noWrap w:val="0"/>
                  <w:tcMar>
                    <w:top w:w="0" w:type="dxa"/>
                    <w:left w:w="0" w:type="dxa"/>
                    <w:bottom w:w="0" w:type="dxa"/>
                    <w:right w:w="0" w:type="dxa"/>
                  </w:tcMar>
                  <w:vAlign w:val="center"/>
                </w:tcPr>
                <w:p w14:paraId="7A740E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73" w:type="dxa"/>
                  <w:tcBorders>
                    <w:tl2br w:val="nil"/>
                    <w:tr2bl w:val="nil"/>
                  </w:tcBorders>
                  <w:noWrap w:val="0"/>
                  <w:tcMar>
                    <w:top w:w="0" w:type="dxa"/>
                    <w:left w:w="0" w:type="dxa"/>
                    <w:bottom w:w="0" w:type="dxa"/>
                    <w:right w:w="0" w:type="dxa"/>
                  </w:tcMar>
                  <w:vAlign w:val="center"/>
                </w:tcPr>
                <w:p w14:paraId="2728B34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0.017 </w:t>
                  </w:r>
                </w:p>
              </w:tc>
              <w:tc>
                <w:tcPr>
                  <w:tcW w:w="1109" w:type="dxa"/>
                  <w:tcBorders>
                    <w:tl2br w:val="nil"/>
                    <w:tr2bl w:val="nil"/>
                  </w:tcBorders>
                  <w:noWrap w:val="0"/>
                  <w:tcMar>
                    <w:top w:w="0" w:type="dxa"/>
                    <w:left w:w="0" w:type="dxa"/>
                    <w:bottom w:w="0" w:type="dxa"/>
                    <w:right w:w="0" w:type="dxa"/>
                  </w:tcMar>
                  <w:vAlign w:val="center"/>
                </w:tcPr>
                <w:p w14:paraId="12C1ED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225" w:type="dxa"/>
                  <w:tcBorders>
                    <w:tl2br w:val="nil"/>
                    <w:tr2bl w:val="nil"/>
                  </w:tcBorders>
                  <w:noWrap w:val="0"/>
                  <w:tcMar>
                    <w:top w:w="0" w:type="dxa"/>
                    <w:left w:w="0" w:type="dxa"/>
                    <w:bottom w:w="0" w:type="dxa"/>
                    <w:right w:w="0" w:type="dxa"/>
                  </w:tcMar>
                  <w:vAlign w:val="center"/>
                </w:tcPr>
                <w:p w14:paraId="34CBF3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0.217 </w:t>
                  </w:r>
                </w:p>
              </w:tc>
              <w:tc>
                <w:tcPr>
                  <w:tcW w:w="342" w:type="pct"/>
                  <w:vMerge w:val="continue"/>
                  <w:tcBorders>
                    <w:tl2br w:val="nil"/>
                    <w:tr2bl w:val="nil"/>
                  </w:tcBorders>
                  <w:noWrap w:val="0"/>
                  <w:tcMar>
                    <w:top w:w="0" w:type="dxa"/>
                    <w:left w:w="0" w:type="dxa"/>
                    <w:bottom w:w="0" w:type="dxa"/>
                    <w:right w:w="0" w:type="dxa"/>
                  </w:tcMar>
                  <w:vAlign w:val="center"/>
                </w:tcPr>
                <w:p w14:paraId="25C4E60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1A91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3B72046A">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noWrap w:val="0"/>
                  <w:tcMar>
                    <w:top w:w="0" w:type="dxa"/>
                    <w:left w:w="0" w:type="dxa"/>
                    <w:bottom w:w="0" w:type="dxa"/>
                    <w:right w:w="0" w:type="dxa"/>
                  </w:tcMar>
                  <w:vAlign w:val="center"/>
                </w:tcPr>
                <w:p w14:paraId="49133CB0">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臭气浓度</w:t>
                  </w:r>
                </w:p>
              </w:tc>
              <w:tc>
                <w:tcPr>
                  <w:tcW w:w="873" w:type="dxa"/>
                  <w:tcBorders>
                    <w:tl2br w:val="nil"/>
                    <w:tr2bl w:val="nil"/>
                  </w:tcBorders>
                  <w:noWrap w:val="0"/>
                  <w:tcMar>
                    <w:top w:w="0" w:type="dxa"/>
                    <w:left w:w="0" w:type="dxa"/>
                    <w:bottom w:w="0" w:type="dxa"/>
                    <w:right w:w="0" w:type="dxa"/>
                  </w:tcMar>
                  <w:vAlign w:val="center"/>
                </w:tcPr>
                <w:p w14:paraId="42EFD3C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074" w:type="dxa"/>
                  <w:tcBorders>
                    <w:tl2br w:val="nil"/>
                    <w:tr2bl w:val="nil"/>
                  </w:tcBorders>
                  <w:noWrap w:val="0"/>
                  <w:tcMar>
                    <w:top w:w="0" w:type="dxa"/>
                    <w:left w:w="0" w:type="dxa"/>
                    <w:bottom w:w="0" w:type="dxa"/>
                    <w:right w:w="0" w:type="dxa"/>
                  </w:tcMar>
                  <w:vAlign w:val="center"/>
                </w:tcPr>
                <w:p w14:paraId="0D13B13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2" w:type="dxa"/>
                  <w:tcBorders>
                    <w:tl2br w:val="nil"/>
                    <w:tr2bl w:val="nil"/>
                  </w:tcBorders>
                  <w:noWrap w:val="0"/>
                  <w:tcMar>
                    <w:top w:w="0" w:type="dxa"/>
                    <w:left w:w="0" w:type="dxa"/>
                    <w:bottom w:w="0" w:type="dxa"/>
                    <w:right w:w="0" w:type="dxa"/>
                  </w:tcMar>
                  <w:vAlign w:val="center"/>
                </w:tcPr>
                <w:p w14:paraId="56203C4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continue"/>
                  <w:tcBorders>
                    <w:tl2br w:val="nil"/>
                    <w:tr2bl w:val="nil"/>
                  </w:tcBorders>
                  <w:noWrap w:val="0"/>
                  <w:tcMar>
                    <w:top w:w="0" w:type="dxa"/>
                    <w:left w:w="0" w:type="dxa"/>
                    <w:bottom w:w="0" w:type="dxa"/>
                    <w:right w:w="0" w:type="dxa"/>
                  </w:tcMar>
                  <w:vAlign w:val="center"/>
                </w:tcPr>
                <w:p w14:paraId="140F1723">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21DBF9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shd w:val="clear" w:color="auto" w:fill="auto"/>
                  <w:noWrap w:val="0"/>
                  <w:tcMar>
                    <w:top w:w="0" w:type="dxa"/>
                    <w:left w:w="0" w:type="dxa"/>
                    <w:bottom w:w="0" w:type="dxa"/>
                    <w:right w:w="0" w:type="dxa"/>
                  </w:tcMar>
                  <w:vAlign w:val="center"/>
                </w:tcPr>
                <w:p w14:paraId="2A3DDA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shd w:val="clear" w:color="auto" w:fill="auto"/>
                  <w:noWrap w:val="0"/>
                  <w:tcMar>
                    <w:top w:w="0" w:type="dxa"/>
                    <w:left w:w="0" w:type="dxa"/>
                    <w:bottom w:w="0" w:type="dxa"/>
                    <w:right w:w="0" w:type="dxa"/>
                  </w:tcMar>
                  <w:vAlign w:val="center"/>
                </w:tcPr>
                <w:p w14:paraId="4CBBB9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shd w:val="clear" w:color="auto" w:fill="auto"/>
                  <w:noWrap w:val="0"/>
                  <w:tcMar>
                    <w:top w:w="0" w:type="dxa"/>
                    <w:left w:w="0" w:type="dxa"/>
                    <w:bottom w:w="0" w:type="dxa"/>
                    <w:right w:w="0" w:type="dxa"/>
                  </w:tcMar>
                  <w:vAlign w:val="center"/>
                </w:tcPr>
                <w:p w14:paraId="6B09DBC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9" w:type="dxa"/>
                  <w:tcBorders>
                    <w:tl2br w:val="nil"/>
                    <w:tr2bl w:val="nil"/>
                  </w:tcBorders>
                  <w:shd w:val="clear" w:color="auto" w:fill="auto"/>
                  <w:noWrap w:val="0"/>
                  <w:tcMar>
                    <w:top w:w="0" w:type="dxa"/>
                    <w:left w:w="0" w:type="dxa"/>
                    <w:bottom w:w="0" w:type="dxa"/>
                    <w:right w:w="0" w:type="dxa"/>
                  </w:tcMar>
                  <w:vAlign w:val="center"/>
                </w:tcPr>
                <w:p w14:paraId="7D5CB0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225" w:type="dxa"/>
                  <w:tcBorders>
                    <w:tl2br w:val="nil"/>
                    <w:tr2bl w:val="nil"/>
                  </w:tcBorders>
                  <w:shd w:val="clear" w:color="auto" w:fill="auto"/>
                  <w:noWrap w:val="0"/>
                  <w:tcMar>
                    <w:top w:w="0" w:type="dxa"/>
                    <w:left w:w="0" w:type="dxa"/>
                    <w:bottom w:w="0" w:type="dxa"/>
                    <w:right w:w="0" w:type="dxa"/>
                  </w:tcMar>
                  <w:vAlign w:val="center"/>
                </w:tcPr>
                <w:p w14:paraId="7A083DD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01AB564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736C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18BC6584">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5FF1D693">
                  <w:pPr>
                    <w:keepNext w:val="0"/>
                    <w:keepLines w:val="0"/>
                    <w:widowControl/>
                    <w:suppressLineNumbers w:val="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873" w:type="dxa"/>
                  <w:tcBorders>
                    <w:tl2br w:val="nil"/>
                    <w:tr2bl w:val="nil"/>
                  </w:tcBorders>
                  <w:noWrap w:val="0"/>
                  <w:tcMar>
                    <w:top w:w="0" w:type="dxa"/>
                    <w:left w:w="0" w:type="dxa"/>
                    <w:bottom w:w="0" w:type="dxa"/>
                    <w:right w:w="0" w:type="dxa"/>
                  </w:tcMar>
                  <w:vAlign w:val="center"/>
                </w:tcPr>
                <w:p w14:paraId="02D5BCA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c>
                <w:tcPr>
                  <w:tcW w:w="1074" w:type="dxa"/>
                  <w:tcBorders>
                    <w:tl2br w:val="nil"/>
                    <w:tr2bl w:val="nil"/>
                  </w:tcBorders>
                  <w:noWrap w:val="0"/>
                  <w:tcMar>
                    <w:top w:w="0" w:type="dxa"/>
                    <w:left w:w="0" w:type="dxa"/>
                    <w:bottom w:w="0" w:type="dxa"/>
                    <w:right w:w="0" w:type="dxa"/>
                  </w:tcMar>
                  <w:vAlign w:val="center"/>
                </w:tcPr>
                <w:p w14:paraId="01A969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c>
                <w:tcPr>
                  <w:tcW w:w="1102" w:type="dxa"/>
                  <w:tcBorders>
                    <w:tl2br w:val="nil"/>
                    <w:tr2bl w:val="nil"/>
                  </w:tcBorders>
                  <w:noWrap w:val="0"/>
                  <w:tcMar>
                    <w:top w:w="0" w:type="dxa"/>
                    <w:left w:w="0" w:type="dxa"/>
                    <w:bottom w:w="0" w:type="dxa"/>
                    <w:right w:w="0" w:type="dxa"/>
                  </w:tcMar>
                  <w:vAlign w:val="center"/>
                </w:tcPr>
                <w:p w14:paraId="5E63AB0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352" w:type="pct"/>
                  <w:vMerge w:val="continue"/>
                  <w:tcBorders>
                    <w:tl2br w:val="nil"/>
                    <w:tr2bl w:val="nil"/>
                  </w:tcBorders>
                  <w:noWrap w:val="0"/>
                  <w:tcMar>
                    <w:top w:w="0" w:type="dxa"/>
                    <w:left w:w="0" w:type="dxa"/>
                    <w:bottom w:w="0" w:type="dxa"/>
                    <w:right w:w="0" w:type="dxa"/>
                  </w:tcMar>
                  <w:vAlign w:val="center"/>
                </w:tcPr>
                <w:p w14:paraId="635F3588">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5F6E1EC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24A13C7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261" w:type="pct"/>
                  <w:tcBorders>
                    <w:tl2br w:val="nil"/>
                    <w:tr2bl w:val="nil"/>
                  </w:tcBorders>
                  <w:noWrap w:val="0"/>
                  <w:tcMar>
                    <w:top w:w="0" w:type="dxa"/>
                    <w:left w:w="0" w:type="dxa"/>
                    <w:bottom w:w="0" w:type="dxa"/>
                    <w:right w:w="0" w:type="dxa"/>
                  </w:tcMar>
                  <w:vAlign w:val="center"/>
                </w:tcPr>
                <w:p w14:paraId="31FB253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2FD7DE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c>
                <w:tcPr>
                  <w:tcW w:w="1109" w:type="dxa"/>
                  <w:tcBorders>
                    <w:tl2br w:val="nil"/>
                    <w:tr2bl w:val="nil"/>
                  </w:tcBorders>
                  <w:noWrap w:val="0"/>
                  <w:tcMar>
                    <w:top w:w="0" w:type="dxa"/>
                    <w:left w:w="0" w:type="dxa"/>
                    <w:bottom w:w="0" w:type="dxa"/>
                    <w:right w:w="0" w:type="dxa"/>
                  </w:tcMar>
                  <w:vAlign w:val="center"/>
                </w:tcPr>
                <w:p w14:paraId="6DDF13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c>
                <w:tcPr>
                  <w:tcW w:w="1225" w:type="dxa"/>
                  <w:tcBorders>
                    <w:tl2br w:val="nil"/>
                    <w:tr2bl w:val="nil"/>
                  </w:tcBorders>
                  <w:noWrap w:val="0"/>
                  <w:tcMar>
                    <w:top w:w="0" w:type="dxa"/>
                    <w:left w:w="0" w:type="dxa"/>
                    <w:bottom w:w="0" w:type="dxa"/>
                    <w:right w:w="0" w:type="dxa"/>
                  </w:tcMar>
                  <w:vAlign w:val="center"/>
                </w:tcPr>
                <w:p w14:paraId="6ADF0E7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342" w:type="pct"/>
                  <w:vMerge w:val="continue"/>
                  <w:tcBorders>
                    <w:tl2br w:val="nil"/>
                    <w:tr2bl w:val="nil"/>
                  </w:tcBorders>
                  <w:noWrap w:val="0"/>
                  <w:tcMar>
                    <w:top w:w="0" w:type="dxa"/>
                    <w:left w:w="0" w:type="dxa"/>
                    <w:bottom w:w="0" w:type="dxa"/>
                    <w:right w:w="0" w:type="dxa"/>
                  </w:tcMar>
                  <w:vAlign w:val="center"/>
                </w:tcPr>
                <w:p w14:paraId="179A1A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777F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4A78F14F">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C62894E">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X</w:t>
                  </w:r>
                </w:p>
              </w:tc>
              <w:tc>
                <w:tcPr>
                  <w:tcW w:w="873" w:type="dxa"/>
                  <w:tcBorders>
                    <w:tl2br w:val="nil"/>
                    <w:tr2bl w:val="nil"/>
                  </w:tcBorders>
                  <w:noWrap w:val="0"/>
                  <w:tcMar>
                    <w:top w:w="0" w:type="dxa"/>
                    <w:left w:w="0" w:type="dxa"/>
                    <w:bottom w:w="0" w:type="dxa"/>
                    <w:right w:w="0" w:type="dxa"/>
                  </w:tcMar>
                  <w:vAlign w:val="center"/>
                </w:tcPr>
                <w:p w14:paraId="42AB35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c>
                <w:tcPr>
                  <w:tcW w:w="1074" w:type="dxa"/>
                  <w:tcBorders>
                    <w:tl2br w:val="nil"/>
                    <w:tr2bl w:val="nil"/>
                  </w:tcBorders>
                  <w:noWrap w:val="0"/>
                  <w:tcMar>
                    <w:top w:w="0" w:type="dxa"/>
                    <w:left w:w="0" w:type="dxa"/>
                    <w:bottom w:w="0" w:type="dxa"/>
                    <w:right w:w="0" w:type="dxa"/>
                  </w:tcMar>
                  <w:vAlign w:val="center"/>
                </w:tcPr>
                <w:p w14:paraId="1BABF9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0.133 </w:t>
                  </w:r>
                </w:p>
              </w:tc>
              <w:tc>
                <w:tcPr>
                  <w:tcW w:w="1102" w:type="dxa"/>
                  <w:tcBorders>
                    <w:tl2br w:val="nil"/>
                    <w:tr2bl w:val="nil"/>
                  </w:tcBorders>
                  <w:noWrap w:val="0"/>
                  <w:tcMar>
                    <w:top w:w="0" w:type="dxa"/>
                    <w:left w:w="0" w:type="dxa"/>
                    <w:bottom w:w="0" w:type="dxa"/>
                    <w:right w:w="0" w:type="dxa"/>
                  </w:tcMar>
                  <w:vAlign w:val="center"/>
                </w:tcPr>
                <w:p w14:paraId="2EEC04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3.3 </w:t>
                  </w:r>
                </w:p>
              </w:tc>
              <w:tc>
                <w:tcPr>
                  <w:tcW w:w="352" w:type="pct"/>
                  <w:vMerge w:val="continue"/>
                  <w:tcBorders>
                    <w:tl2br w:val="nil"/>
                    <w:tr2bl w:val="nil"/>
                  </w:tcBorders>
                  <w:noWrap w:val="0"/>
                  <w:tcMar>
                    <w:top w:w="0" w:type="dxa"/>
                    <w:left w:w="0" w:type="dxa"/>
                    <w:bottom w:w="0" w:type="dxa"/>
                    <w:right w:w="0" w:type="dxa"/>
                  </w:tcMar>
                  <w:vAlign w:val="center"/>
                </w:tcPr>
                <w:p w14:paraId="7013FEC4">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776D9B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756C0C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261" w:type="pct"/>
                  <w:tcBorders>
                    <w:tl2br w:val="nil"/>
                    <w:tr2bl w:val="nil"/>
                  </w:tcBorders>
                  <w:noWrap w:val="0"/>
                  <w:tcMar>
                    <w:top w:w="0" w:type="dxa"/>
                    <w:left w:w="0" w:type="dxa"/>
                    <w:bottom w:w="0" w:type="dxa"/>
                    <w:right w:w="0" w:type="dxa"/>
                  </w:tcMar>
                  <w:vAlign w:val="center"/>
                </w:tcPr>
                <w:p w14:paraId="110EF1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3E6DC03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c>
                <w:tcPr>
                  <w:tcW w:w="1109" w:type="dxa"/>
                  <w:tcBorders>
                    <w:tl2br w:val="nil"/>
                    <w:tr2bl w:val="nil"/>
                  </w:tcBorders>
                  <w:noWrap w:val="0"/>
                  <w:tcMar>
                    <w:top w:w="0" w:type="dxa"/>
                    <w:left w:w="0" w:type="dxa"/>
                    <w:bottom w:w="0" w:type="dxa"/>
                    <w:right w:w="0" w:type="dxa"/>
                  </w:tcMar>
                  <w:vAlign w:val="center"/>
                </w:tcPr>
                <w:p w14:paraId="1EAF8E1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0.133 </w:t>
                  </w:r>
                </w:p>
              </w:tc>
              <w:tc>
                <w:tcPr>
                  <w:tcW w:w="1225" w:type="dxa"/>
                  <w:tcBorders>
                    <w:tl2br w:val="nil"/>
                    <w:tr2bl w:val="nil"/>
                  </w:tcBorders>
                  <w:noWrap w:val="0"/>
                  <w:tcMar>
                    <w:top w:w="0" w:type="dxa"/>
                    <w:left w:w="0" w:type="dxa"/>
                    <w:bottom w:w="0" w:type="dxa"/>
                    <w:right w:w="0" w:type="dxa"/>
                  </w:tcMar>
                  <w:vAlign w:val="center"/>
                </w:tcPr>
                <w:p w14:paraId="0CD53B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3.3 </w:t>
                  </w:r>
                </w:p>
              </w:tc>
              <w:tc>
                <w:tcPr>
                  <w:tcW w:w="342" w:type="pct"/>
                  <w:vMerge w:val="continue"/>
                  <w:tcBorders>
                    <w:tl2br w:val="nil"/>
                    <w:tr2bl w:val="nil"/>
                  </w:tcBorders>
                  <w:noWrap w:val="0"/>
                  <w:tcMar>
                    <w:top w:w="0" w:type="dxa"/>
                    <w:left w:w="0" w:type="dxa"/>
                    <w:bottom w:w="0" w:type="dxa"/>
                    <w:right w:w="0" w:type="dxa"/>
                  </w:tcMar>
                  <w:vAlign w:val="center"/>
                </w:tcPr>
                <w:p w14:paraId="73A5497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2A32D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7F06BB1E">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noWrap w:val="0"/>
                  <w:tcMar>
                    <w:top w:w="0" w:type="dxa"/>
                    <w:left w:w="0" w:type="dxa"/>
                    <w:bottom w:w="0" w:type="dxa"/>
                    <w:right w:w="0" w:type="dxa"/>
                  </w:tcMar>
                  <w:vAlign w:val="center"/>
                </w:tcPr>
                <w:p w14:paraId="33AC6F5F">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颗粒物</w:t>
                  </w:r>
                </w:p>
              </w:tc>
              <w:tc>
                <w:tcPr>
                  <w:tcW w:w="873" w:type="dxa"/>
                  <w:tcBorders>
                    <w:tl2br w:val="nil"/>
                    <w:tr2bl w:val="nil"/>
                  </w:tcBorders>
                  <w:noWrap w:val="0"/>
                  <w:tcMar>
                    <w:top w:w="0" w:type="dxa"/>
                    <w:left w:w="0" w:type="dxa"/>
                    <w:bottom w:w="0" w:type="dxa"/>
                    <w:right w:w="0" w:type="dxa"/>
                  </w:tcMar>
                  <w:vAlign w:val="center"/>
                </w:tcPr>
                <w:p w14:paraId="444AC8B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0.039 </w:t>
                  </w:r>
                </w:p>
              </w:tc>
              <w:tc>
                <w:tcPr>
                  <w:tcW w:w="1074" w:type="dxa"/>
                  <w:tcBorders>
                    <w:tl2br w:val="nil"/>
                    <w:tr2bl w:val="nil"/>
                  </w:tcBorders>
                  <w:noWrap w:val="0"/>
                  <w:tcMar>
                    <w:top w:w="0" w:type="dxa"/>
                    <w:left w:w="0" w:type="dxa"/>
                    <w:bottom w:w="0" w:type="dxa"/>
                    <w:right w:w="0" w:type="dxa"/>
                  </w:tcMar>
                  <w:vAlign w:val="center"/>
                </w:tcPr>
                <w:p w14:paraId="566900A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0.020 </w:t>
                  </w:r>
                </w:p>
              </w:tc>
              <w:tc>
                <w:tcPr>
                  <w:tcW w:w="1102" w:type="dxa"/>
                  <w:tcBorders>
                    <w:tl2br w:val="nil"/>
                    <w:tr2bl w:val="nil"/>
                  </w:tcBorders>
                  <w:noWrap w:val="0"/>
                  <w:tcMar>
                    <w:top w:w="0" w:type="dxa"/>
                    <w:left w:w="0" w:type="dxa"/>
                    <w:bottom w:w="0" w:type="dxa"/>
                    <w:right w:w="0" w:type="dxa"/>
                  </w:tcMar>
                  <w:vAlign w:val="center"/>
                </w:tcPr>
                <w:p w14:paraId="70EBCC3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0.5 </w:t>
                  </w:r>
                </w:p>
              </w:tc>
              <w:tc>
                <w:tcPr>
                  <w:tcW w:w="352" w:type="pct"/>
                  <w:vMerge w:val="continue"/>
                  <w:tcBorders>
                    <w:tl2br w:val="nil"/>
                    <w:tr2bl w:val="nil"/>
                  </w:tcBorders>
                  <w:noWrap w:val="0"/>
                  <w:tcMar>
                    <w:top w:w="0" w:type="dxa"/>
                    <w:left w:w="0" w:type="dxa"/>
                    <w:bottom w:w="0" w:type="dxa"/>
                    <w:right w:w="0" w:type="dxa"/>
                  </w:tcMar>
                  <w:vAlign w:val="center"/>
                </w:tcPr>
                <w:p w14:paraId="3E0F9046">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3ECD73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58F3E0B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261" w:type="pct"/>
                  <w:tcBorders>
                    <w:tl2br w:val="nil"/>
                    <w:tr2bl w:val="nil"/>
                  </w:tcBorders>
                  <w:noWrap w:val="0"/>
                  <w:tcMar>
                    <w:top w:w="0" w:type="dxa"/>
                    <w:left w:w="0" w:type="dxa"/>
                    <w:bottom w:w="0" w:type="dxa"/>
                    <w:right w:w="0" w:type="dxa"/>
                  </w:tcMar>
                  <w:vAlign w:val="center"/>
                </w:tcPr>
                <w:p w14:paraId="14E304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0189987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0.039 </w:t>
                  </w:r>
                </w:p>
              </w:tc>
              <w:tc>
                <w:tcPr>
                  <w:tcW w:w="1109" w:type="dxa"/>
                  <w:tcBorders>
                    <w:tl2br w:val="nil"/>
                    <w:tr2bl w:val="nil"/>
                  </w:tcBorders>
                  <w:noWrap w:val="0"/>
                  <w:tcMar>
                    <w:top w:w="0" w:type="dxa"/>
                    <w:left w:w="0" w:type="dxa"/>
                    <w:bottom w:w="0" w:type="dxa"/>
                    <w:right w:w="0" w:type="dxa"/>
                  </w:tcMar>
                  <w:vAlign w:val="center"/>
                </w:tcPr>
                <w:p w14:paraId="254B41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0.020 </w:t>
                  </w:r>
                </w:p>
              </w:tc>
              <w:tc>
                <w:tcPr>
                  <w:tcW w:w="1225" w:type="dxa"/>
                  <w:tcBorders>
                    <w:tl2br w:val="nil"/>
                    <w:tr2bl w:val="nil"/>
                  </w:tcBorders>
                  <w:noWrap w:val="0"/>
                  <w:tcMar>
                    <w:top w:w="0" w:type="dxa"/>
                    <w:left w:w="0" w:type="dxa"/>
                    <w:bottom w:w="0" w:type="dxa"/>
                    <w:right w:w="0" w:type="dxa"/>
                  </w:tcMar>
                  <w:vAlign w:val="center"/>
                </w:tcPr>
                <w:p w14:paraId="10EC65E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0.5 </w:t>
                  </w:r>
                </w:p>
              </w:tc>
              <w:tc>
                <w:tcPr>
                  <w:tcW w:w="342" w:type="pct"/>
                  <w:vMerge w:val="continue"/>
                  <w:tcBorders>
                    <w:tl2br w:val="nil"/>
                    <w:tr2bl w:val="nil"/>
                  </w:tcBorders>
                  <w:noWrap w:val="0"/>
                  <w:tcMar>
                    <w:top w:w="0" w:type="dxa"/>
                    <w:left w:w="0" w:type="dxa"/>
                    <w:bottom w:w="0" w:type="dxa"/>
                    <w:right w:w="0" w:type="dxa"/>
                  </w:tcMar>
                  <w:vAlign w:val="center"/>
                </w:tcPr>
                <w:p w14:paraId="2A624F4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1579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4" w:type="pct"/>
                  <w:vMerge w:val="continue"/>
                  <w:tcBorders>
                    <w:tl2br w:val="nil"/>
                    <w:tr2bl w:val="nil"/>
                  </w:tcBorders>
                  <w:noWrap w:val="0"/>
                  <w:tcMar>
                    <w:top w:w="0" w:type="dxa"/>
                    <w:left w:w="0" w:type="dxa"/>
                    <w:bottom w:w="0" w:type="dxa"/>
                    <w:right w:w="0" w:type="dxa"/>
                  </w:tcMar>
                  <w:vAlign w:val="center"/>
                </w:tcPr>
                <w:p w14:paraId="1473C5FA">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53FAD01D">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非甲烷总烃</w:t>
                  </w:r>
                </w:p>
              </w:tc>
              <w:tc>
                <w:tcPr>
                  <w:tcW w:w="873" w:type="dxa"/>
                  <w:tcBorders>
                    <w:tl2br w:val="nil"/>
                    <w:tr2bl w:val="nil"/>
                  </w:tcBorders>
                  <w:noWrap w:val="0"/>
                  <w:tcMar>
                    <w:top w:w="0" w:type="dxa"/>
                    <w:left w:w="0" w:type="dxa"/>
                    <w:bottom w:w="0" w:type="dxa"/>
                    <w:right w:w="0" w:type="dxa"/>
                  </w:tcMar>
                  <w:vAlign w:val="center"/>
                </w:tcPr>
                <w:p w14:paraId="2DBDCA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c>
                <w:tcPr>
                  <w:tcW w:w="1074" w:type="dxa"/>
                  <w:tcBorders>
                    <w:tl2br w:val="nil"/>
                    <w:tr2bl w:val="nil"/>
                  </w:tcBorders>
                  <w:noWrap w:val="0"/>
                  <w:tcMar>
                    <w:top w:w="0" w:type="dxa"/>
                    <w:left w:w="0" w:type="dxa"/>
                    <w:bottom w:w="0" w:type="dxa"/>
                    <w:right w:w="0" w:type="dxa"/>
                  </w:tcMar>
                  <w:vAlign w:val="center"/>
                </w:tcPr>
                <w:p w14:paraId="48E9FC9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102" w:type="dxa"/>
                  <w:tcBorders>
                    <w:tl2br w:val="nil"/>
                    <w:tr2bl w:val="nil"/>
                  </w:tcBorders>
                  <w:noWrap w:val="0"/>
                  <w:tcMar>
                    <w:top w:w="0" w:type="dxa"/>
                    <w:left w:w="0" w:type="dxa"/>
                    <w:bottom w:w="0" w:type="dxa"/>
                    <w:right w:w="0" w:type="dxa"/>
                  </w:tcMar>
                  <w:vAlign w:val="center"/>
                </w:tcPr>
                <w:p w14:paraId="058182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restart"/>
                  <w:tcBorders>
                    <w:tl2br w:val="nil"/>
                    <w:tr2bl w:val="nil"/>
                  </w:tcBorders>
                  <w:noWrap w:val="0"/>
                  <w:tcMar>
                    <w:top w:w="0" w:type="dxa"/>
                    <w:left w:w="0" w:type="dxa"/>
                    <w:bottom w:w="0" w:type="dxa"/>
                    <w:right w:w="0" w:type="dxa"/>
                  </w:tcMar>
                  <w:vAlign w:val="center"/>
                </w:tcPr>
                <w:p w14:paraId="7E27EBC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40E210B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426469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34B3487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1E40AF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c>
                <w:tcPr>
                  <w:tcW w:w="1109" w:type="dxa"/>
                  <w:tcBorders>
                    <w:tl2br w:val="nil"/>
                    <w:tr2bl w:val="nil"/>
                  </w:tcBorders>
                  <w:noWrap w:val="0"/>
                  <w:tcMar>
                    <w:top w:w="0" w:type="dxa"/>
                    <w:left w:w="0" w:type="dxa"/>
                    <w:bottom w:w="0" w:type="dxa"/>
                    <w:right w:w="0" w:type="dxa"/>
                  </w:tcMar>
                  <w:vAlign w:val="center"/>
                </w:tcPr>
                <w:p w14:paraId="509D4A9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225" w:type="dxa"/>
                  <w:tcBorders>
                    <w:tl2br w:val="nil"/>
                    <w:tr2bl w:val="nil"/>
                  </w:tcBorders>
                  <w:noWrap w:val="0"/>
                  <w:tcMar>
                    <w:top w:w="0" w:type="dxa"/>
                    <w:left w:w="0" w:type="dxa"/>
                    <w:bottom w:w="0" w:type="dxa"/>
                    <w:right w:w="0" w:type="dxa"/>
                  </w:tcMar>
                  <w:vAlign w:val="center"/>
                </w:tcPr>
                <w:p w14:paraId="0C0A49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5A11921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068E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03844130">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9FA61D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苯系物</w:t>
                  </w:r>
                </w:p>
              </w:tc>
              <w:tc>
                <w:tcPr>
                  <w:tcW w:w="873" w:type="dxa"/>
                  <w:tcBorders>
                    <w:tl2br w:val="nil"/>
                    <w:tr2bl w:val="nil"/>
                  </w:tcBorders>
                  <w:noWrap w:val="0"/>
                  <w:tcMar>
                    <w:top w:w="0" w:type="dxa"/>
                    <w:left w:w="0" w:type="dxa"/>
                    <w:bottom w:w="0" w:type="dxa"/>
                    <w:right w:w="0" w:type="dxa"/>
                  </w:tcMar>
                  <w:vAlign w:val="center"/>
                </w:tcPr>
                <w:p w14:paraId="759BE3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0.004 </w:t>
                  </w:r>
                </w:p>
              </w:tc>
              <w:tc>
                <w:tcPr>
                  <w:tcW w:w="1074" w:type="dxa"/>
                  <w:tcBorders>
                    <w:tl2br w:val="nil"/>
                    <w:tr2bl w:val="nil"/>
                  </w:tcBorders>
                  <w:noWrap w:val="0"/>
                  <w:tcMar>
                    <w:top w:w="0" w:type="dxa"/>
                    <w:left w:w="0" w:type="dxa"/>
                    <w:bottom w:w="0" w:type="dxa"/>
                    <w:right w:w="0" w:type="dxa"/>
                  </w:tcMar>
                  <w:vAlign w:val="center"/>
                </w:tcPr>
                <w:p w14:paraId="6CFE0CB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0.002 </w:t>
                  </w:r>
                </w:p>
              </w:tc>
              <w:tc>
                <w:tcPr>
                  <w:tcW w:w="1102" w:type="dxa"/>
                  <w:tcBorders>
                    <w:tl2br w:val="nil"/>
                    <w:tr2bl w:val="nil"/>
                  </w:tcBorders>
                  <w:noWrap w:val="0"/>
                  <w:tcMar>
                    <w:top w:w="0" w:type="dxa"/>
                    <w:left w:w="0" w:type="dxa"/>
                    <w:bottom w:w="0" w:type="dxa"/>
                    <w:right w:w="0" w:type="dxa"/>
                  </w:tcMar>
                  <w:vAlign w:val="center"/>
                </w:tcPr>
                <w:p w14:paraId="0E6652D6">
                  <w:pPr>
                    <w:jc w:val="center"/>
                    <w:rPr>
                      <w:rFonts w:hint="default" w:ascii="Times New Roman" w:hAnsi="Times New Roman" w:eastAsia="宋体" w:cs="Times New Roman"/>
                      <w:i w:val="0"/>
                      <w:iCs w:val="0"/>
                      <w:color w:val="auto"/>
                      <w:kern w:val="0"/>
                      <w:sz w:val="21"/>
                      <w:szCs w:val="21"/>
                      <w:u w:val="none"/>
                      <w:lang w:val="en-US" w:eastAsia="zh-CN" w:bidi="ar"/>
                    </w:rPr>
                  </w:pPr>
                </w:p>
              </w:tc>
              <w:tc>
                <w:tcPr>
                  <w:tcW w:w="352" w:type="pct"/>
                  <w:vMerge w:val="continue"/>
                  <w:tcBorders>
                    <w:tl2br w:val="nil"/>
                    <w:tr2bl w:val="nil"/>
                  </w:tcBorders>
                  <w:noWrap w:val="0"/>
                  <w:tcMar>
                    <w:top w:w="0" w:type="dxa"/>
                    <w:left w:w="0" w:type="dxa"/>
                    <w:bottom w:w="0" w:type="dxa"/>
                    <w:right w:w="0" w:type="dxa"/>
                  </w:tcMar>
                  <w:vAlign w:val="center"/>
                </w:tcPr>
                <w:p w14:paraId="6C0B852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432" w:type="pct"/>
                  <w:tcBorders>
                    <w:tl2br w:val="nil"/>
                    <w:tr2bl w:val="nil"/>
                  </w:tcBorders>
                  <w:noWrap w:val="0"/>
                  <w:tcMar>
                    <w:top w:w="0" w:type="dxa"/>
                    <w:left w:w="0" w:type="dxa"/>
                    <w:bottom w:w="0" w:type="dxa"/>
                    <w:right w:w="0" w:type="dxa"/>
                  </w:tcMar>
                  <w:vAlign w:val="center"/>
                </w:tcPr>
                <w:p w14:paraId="428B1D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4F8105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7427CDC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3" w:type="dxa"/>
                  <w:tcBorders>
                    <w:tl2br w:val="nil"/>
                    <w:tr2bl w:val="nil"/>
                  </w:tcBorders>
                  <w:noWrap w:val="0"/>
                  <w:tcMar>
                    <w:top w:w="0" w:type="dxa"/>
                    <w:left w:w="0" w:type="dxa"/>
                    <w:bottom w:w="0" w:type="dxa"/>
                    <w:right w:w="0" w:type="dxa"/>
                  </w:tcMar>
                  <w:vAlign w:val="center"/>
                </w:tcPr>
                <w:p w14:paraId="2C20AD2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0.004 </w:t>
                  </w:r>
                </w:p>
              </w:tc>
              <w:tc>
                <w:tcPr>
                  <w:tcW w:w="1109" w:type="dxa"/>
                  <w:tcBorders>
                    <w:tl2br w:val="nil"/>
                    <w:tr2bl w:val="nil"/>
                  </w:tcBorders>
                  <w:noWrap w:val="0"/>
                  <w:tcMar>
                    <w:top w:w="0" w:type="dxa"/>
                    <w:left w:w="0" w:type="dxa"/>
                    <w:bottom w:w="0" w:type="dxa"/>
                    <w:right w:w="0" w:type="dxa"/>
                  </w:tcMar>
                  <w:vAlign w:val="center"/>
                </w:tcPr>
                <w:p w14:paraId="6A0933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0.002 </w:t>
                  </w:r>
                </w:p>
              </w:tc>
              <w:tc>
                <w:tcPr>
                  <w:tcW w:w="1225" w:type="dxa"/>
                  <w:tcBorders>
                    <w:tl2br w:val="nil"/>
                    <w:tr2bl w:val="nil"/>
                  </w:tcBorders>
                  <w:noWrap w:val="0"/>
                  <w:tcMar>
                    <w:top w:w="0" w:type="dxa"/>
                    <w:left w:w="0" w:type="dxa"/>
                    <w:bottom w:w="0" w:type="dxa"/>
                    <w:right w:w="0" w:type="dxa"/>
                  </w:tcMar>
                  <w:vAlign w:val="center"/>
                </w:tcPr>
                <w:p w14:paraId="3215EDB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56B404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66999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532EEC65">
                  <w:pPr>
                    <w:pStyle w:val="109"/>
                    <w:bidi w:val="0"/>
                    <w:rPr>
                      <w:rFonts w:hint="default" w:ascii="Times New Roman" w:hAnsi="Times New Roman" w:cs="Times New Roman"/>
                      <w:bCs/>
                      <w:color w:val="auto"/>
                      <w:sz w:val="21"/>
                      <w:szCs w:val="21"/>
                      <w:highlight w:val="none"/>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16166AE">
                  <w:pPr>
                    <w:keepNext w:val="0"/>
                    <w:keepLines w:val="0"/>
                    <w:widowControl/>
                    <w:suppressLineNumbers w:val="0"/>
                    <w:jc w:val="center"/>
                    <w:textAlignment w:val="center"/>
                    <w:rPr>
                      <w:rFonts w:hint="default"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臭气浓度</w:t>
                  </w:r>
                </w:p>
              </w:tc>
              <w:tc>
                <w:tcPr>
                  <w:tcW w:w="873" w:type="dxa"/>
                  <w:tcBorders>
                    <w:tl2br w:val="nil"/>
                    <w:tr2bl w:val="nil"/>
                  </w:tcBorders>
                  <w:noWrap w:val="0"/>
                  <w:tcMar>
                    <w:top w:w="0" w:type="dxa"/>
                    <w:left w:w="0" w:type="dxa"/>
                    <w:bottom w:w="0" w:type="dxa"/>
                    <w:right w:w="0" w:type="dxa"/>
                  </w:tcMar>
                  <w:vAlign w:val="center"/>
                </w:tcPr>
                <w:p w14:paraId="01A3445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074" w:type="dxa"/>
                  <w:tcBorders>
                    <w:tl2br w:val="nil"/>
                    <w:tr2bl w:val="nil"/>
                  </w:tcBorders>
                  <w:noWrap w:val="0"/>
                  <w:tcMar>
                    <w:top w:w="0" w:type="dxa"/>
                    <w:left w:w="0" w:type="dxa"/>
                    <w:bottom w:w="0" w:type="dxa"/>
                    <w:right w:w="0" w:type="dxa"/>
                  </w:tcMar>
                  <w:vAlign w:val="center"/>
                </w:tcPr>
                <w:p w14:paraId="070D952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102" w:type="dxa"/>
                  <w:tcBorders>
                    <w:tl2br w:val="nil"/>
                    <w:tr2bl w:val="nil"/>
                  </w:tcBorders>
                  <w:noWrap w:val="0"/>
                  <w:tcMar>
                    <w:top w:w="0" w:type="dxa"/>
                    <w:left w:w="0" w:type="dxa"/>
                    <w:bottom w:w="0" w:type="dxa"/>
                    <w:right w:w="0" w:type="dxa"/>
                  </w:tcMar>
                  <w:vAlign w:val="center"/>
                </w:tcPr>
                <w:p w14:paraId="5B77580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vMerge w:val="continue"/>
                  <w:tcBorders>
                    <w:tl2br w:val="nil"/>
                    <w:tr2bl w:val="nil"/>
                  </w:tcBorders>
                  <w:noWrap w:val="0"/>
                  <w:tcMar>
                    <w:top w:w="0" w:type="dxa"/>
                    <w:left w:w="0" w:type="dxa"/>
                    <w:bottom w:w="0" w:type="dxa"/>
                    <w:right w:w="0" w:type="dxa"/>
                  </w:tcMar>
                  <w:vAlign w:val="center"/>
                </w:tcPr>
                <w:p w14:paraId="7EE1CA55">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32" w:type="pct"/>
                  <w:tcBorders>
                    <w:tl2br w:val="nil"/>
                    <w:tr2bl w:val="nil"/>
                  </w:tcBorders>
                  <w:noWrap w:val="0"/>
                  <w:tcMar>
                    <w:top w:w="0" w:type="dxa"/>
                    <w:left w:w="0" w:type="dxa"/>
                    <w:bottom w:w="0" w:type="dxa"/>
                    <w:right w:w="0" w:type="dxa"/>
                  </w:tcMar>
                  <w:vAlign w:val="center"/>
                </w:tcPr>
                <w:p w14:paraId="0449256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45D1EB3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005007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0FF321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32" w:type="pct"/>
                  <w:tcBorders>
                    <w:tl2br w:val="nil"/>
                    <w:tr2bl w:val="nil"/>
                  </w:tcBorders>
                  <w:noWrap w:val="0"/>
                  <w:tcMar>
                    <w:top w:w="0" w:type="dxa"/>
                    <w:left w:w="0" w:type="dxa"/>
                    <w:bottom w:w="0" w:type="dxa"/>
                    <w:right w:w="0" w:type="dxa"/>
                  </w:tcMar>
                  <w:vAlign w:val="center"/>
                </w:tcPr>
                <w:p w14:paraId="5E7D83A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477" w:type="pct"/>
                  <w:tcBorders>
                    <w:tl2br w:val="nil"/>
                    <w:tr2bl w:val="nil"/>
                  </w:tcBorders>
                  <w:noWrap w:val="0"/>
                  <w:tcMar>
                    <w:top w:w="0" w:type="dxa"/>
                    <w:left w:w="0" w:type="dxa"/>
                    <w:bottom w:w="0" w:type="dxa"/>
                    <w:right w:w="0" w:type="dxa"/>
                  </w:tcMar>
                  <w:vAlign w:val="center"/>
                </w:tcPr>
                <w:p w14:paraId="7999AC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51E35F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5D5F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6B4912A9">
                  <w:pPr>
                    <w:pStyle w:val="109"/>
                    <w:bidi w:val="0"/>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表面预处理废气(DA003)</w:t>
                  </w:r>
                </w:p>
              </w:tc>
              <w:tc>
                <w:tcPr>
                  <w:tcW w:w="394" w:type="pct"/>
                  <w:tcBorders>
                    <w:tl2br w:val="nil"/>
                    <w:tr2bl w:val="nil"/>
                  </w:tcBorders>
                  <w:shd w:val="clear" w:color="auto" w:fill="auto"/>
                  <w:noWrap w:val="0"/>
                  <w:tcMar>
                    <w:top w:w="0" w:type="dxa"/>
                    <w:left w:w="0" w:type="dxa"/>
                    <w:bottom w:w="0" w:type="dxa"/>
                    <w:right w:w="0" w:type="dxa"/>
                  </w:tcMar>
                  <w:vAlign w:val="center"/>
                </w:tcPr>
                <w:p w14:paraId="5BA63305">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氟化物</w:t>
                  </w:r>
                </w:p>
              </w:tc>
              <w:tc>
                <w:tcPr>
                  <w:tcW w:w="340" w:type="pct"/>
                  <w:tcBorders>
                    <w:tl2br w:val="nil"/>
                    <w:tr2bl w:val="nil"/>
                  </w:tcBorders>
                  <w:noWrap w:val="0"/>
                  <w:tcMar>
                    <w:top w:w="0" w:type="dxa"/>
                    <w:left w:w="0" w:type="dxa"/>
                    <w:bottom w:w="0" w:type="dxa"/>
                    <w:right w:w="0" w:type="dxa"/>
                  </w:tcMar>
                  <w:vAlign w:val="center"/>
                </w:tcPr>
                <w:p w14:paraId="4F23ED7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0.012 </w:t>
                  </w:r>
                </w:p>
              </w:tc>
              <w:tc>
                <w:tcPr>
                  <w:tcW w:w="418" w:type="pct"/>
                  <w:tcBorders>
                    <w:tl2br w:val="nil"/>
                    <w:tr2bl w:val="nil"/>
                  </w:tcBorders>
                  <w:noWrap w:val="0"/>
                  <w:tcMar>
                    <w:top w:w="0" w:type="dxa"/>
                    <w:left w:w="0" w:type="dxa"/>
                    <w:bottom w:w="0" w:type="dxa"/>
                    <w:right w:w="0" w:type="dxa"/>
                  </w:tcMar>
                  <w:vAlign w:val="center"/>
                </w:tcPr>
                <w:p w14:paraId="1F89A70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0.006 </w:t>
                  </w:r>
                </w:p>
              </w:tc>
              <w:tc>
                <w:tcPr>
                  <w:tcW w:w="429" w:type="pct"/>
                  <w:tcBorders>
                    <w:tl2br w:val="nil"/>
                    <w:tr2bl w:val="nil"/>
                  </w:tcBorders>
                  <w:noWrap w:val="0"/>
                  <w:tcMar>
                    <w:top w:w="0" w:type="dxa"/>
                    <w:left w:w="0" w:type="dxa"/>
                    <w:bottom w:w="0" w:type="dxa"/>
                    <w:right w:w="0" w:type="dxa"/>
                  </w:tcMar>
                  <w:vAlign w:val="center"/>
                </w:tcPr>
                <w:p w14:paraId="6ACDB1B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 </w:t>
                  </w:r>
                </w:p>
              </w:tc>
              <w:tc>
                <w:tcPr>
                  <w:tcW w:w="352" w:type="pct"/>
                  <w:vMerge w:val="restart"/>
                  <w:tcBorders>
                    <w:tl2br w:val="nil"/>
                    <w:tr2bl w:val="nil"/>
                  </w:tcBorders>
                  <w:noWrap w:val="0"/>
                  <w:tcMar>
                    <w:top w:w="0" w:type="dxa"/>
                    <w:left w:w="0" w:type="dxa"/>
                    <w:bottom w:w="0" w:type="dxa"/>
                    <w:right w:w="0" w:type="dxa"/>
                  </w:tcMar>
                  <w:vAlign w:val="center"/>
                </w:tcPr>
                <w:p w14:paraId="64BBC9E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olor w:val="auto"/>
                      <w:lang w:val="en-US" w:eastAsia="zh-CN"/>
                    </w:rPr>
                    <w:t>有</w:t>
                  </w:r>
                  <w:r>
                    <w:rPr>
                      <w:rFonts w:hint="eastAsia" w:cs="Times New Roman"/>
                      <w:i w:val="0"/>
                      <w:iCs w:val="0"/>
                      <w:color w:val="auto"/>
                      <w:kern w:val="0"/>
                      <w:sz w:val="21"/>
                      <w:szCs w:val="21"/>
                      <w:highlight w:val="none"/>
                      <w:u w:val="none"/>
                      <w:lang w:val="en-US" w:eastAsia="zh-CN" w:bidi="ar"/>
                    </w:rPr>
                    <w:t>组织</w:t>
                  </w:r>
                </w:p>
              </w:tc>
              <w:tc>
                <w:tcPr>
                  <w:tcW w:w="432" w:type="pct"/>
                  <w:vMerge w:val="restart"/>
                  <w:tcBorders>
                    <w:tl2br w:val="nil"/>
                    <w:tr2bl w:val="nil"/>
                  </w:tcBorders>
                  <w:noWrap w:val="0"/>
                  <w:tcMar>
                    <w:top w:w="0" w:type="dxa"/>
                    <w:left w:w="0" w:type="dxa"/>
                    <w:bottom w:w="0" w:type="dxa"/>
                    <w:right w:w="0" w:type="dxa"/>
                  </w:tcMar>
                  <w:vAlign w:val="center"/>
                </w:tcPr>
                <w:p w14:paraId="28102A9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11000</w:t>
                  </w:r>
                </w:p>
              </w:tc>
              <w:tc>
                <w:tcPr>
                  <w:tcW w:w="286" w:type="pct"/>
                  <w:tcBorders>
                    <w:tl2br w:val="nil"/>
                    <w:tr2bl w:val="nil"/>
                  </w:tcBorders>
                  <w:noWrap w:val="0"/>
                  <w:tcMar>
                    <w:top w:w="0" w:type="dxa"/>
                    <w:left w:w="0" w:type="dxa"/>
                    <w:bottom w:w="0" w:type="dxa"/>
                    <w:right w:w="0" w:type="dxa"/>
                  </w:tcMar>
                  <w:vAlign w:val="center"/>
                </w:tcPr>
                <w:p w14:paraId="10613C7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w:t>
                  </w:r>
                  <w:r>
                    <w:rPr>
                      <w:rFonts w:hint="eastAsia" w:ascii="Times New Roman" w:hAnsi="Times New Roman" w:eastAsia="宋体" w:cs="Times New Roman"/>
                      <w:i w:val="0"/>
                      <w:iCs w:val="0"/>
                      <w:color w:val="auto"/>
                      <w:kern w:val="0"/>
                      <w:sz w:val="21"/>
                      <w:szCs w:val="21"/>
                      <w:u w:val="none"/>
                      <w:lang w:val="en-US" w:eastAsia="zh-CN" w:bidi="ar"/>
                    </w:rPr>
                    <w:t>5</w:t>
                  </w: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14B8B99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85%</w:t>
                  </w:r>
                </w:p>
              </w:tc>
              <w:tc>
                <w:tcPr>
                  <w:tcW w:w="340" w:type="pct"/>
                  <w:tcBorders>
                    <w:tl2br w:val="nil"/>
                    <w:tr2bl w:val="nil"/>
                  </w:tcBorders>
                  <w:noWrap w:val="0"/>
                  <w:tcMar>
                    <w:top w:w="0" w:type="dxa"/>
                    <w:left w:w="0" w:type="dxa"/>
                    <w:bottom w:w="0" w:type="dxa"/>
                    <w:right w:w="0" w:type="dxa"/>
                  </w:tcMar>
                  <w:vAlign w:val="center"/>
                </w:tcPr>
                <w:p w14:paraId="1445266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0.002 </w:t>
                  </w:r>
                </w:p>
              </w:tc>
              <w:tc>
                <w:tcPr>
                  <w:tcW w:w="432" w:type="pct"/>
                  <w:tcBorders>
                    <w:tl2br w:val="nil"/>
                    <w:tr2bl w:val="nil"/>
                  </w:tcBorders>
                  <w:noWrap w:val="0"/>
                  <w:tcMar>
                    <w:top w:w="0" w:type="dxa"/>
                    <w:left w:w="0" w:type="dxa"/>
                    <w:bottom w:w="0" w:type="dxa"/>
                    <w:right w:w="0" w:type="dxa"/>
                  </w:tcMar>
                  <w:vAlign w:val="center"/>
                </w:tcPr>
                <w:p w14:paraId="3DFB77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477" w:type="pct"/>
                  <w:tcBorders>
                    <w:tl2br w:val="nil"/>
                    <w:tr2bl w:val="nil"/>
                  </w:tcBorders>
                  <w:noWrap w:val="0"/>
                  <w:tcMar>
                    <w:top w:w="0" w:type="dxa"/>
                    <w:left w:w="0" w:type="dxa"/>
                    <w:bottom w:w="0" w:type="dxa"/>
                    <w:right w:w="0" w:type="dxa"/>
                  </w:tcMar>
                  <w:vAlign w:val="center"/>
                </w:tcPr>
                <w:p w14:paraId="4542DB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0.09 </w:t>
                  </w:r>
                </w:p>
              </w:tc>
              <w:tc>
                <w:tcPr>
                  <w:tcW w:w="342" w:type="pct"/>
                  <w:vMerge w:val="restart"/>
                  <w:tcBorders>
                    <w:tl2br w:val="nil"/>
                    <w:tr2bl w:val="nil"/>
                  </w:tcBorders>
                  <w:noWrap w:val="0"/>
                  <w:tcMar>
                    <w:top w:w="0" w:type="dxa"/>
                    <w:left w:w="0" w:type="dxa"/>
                    <w:bottom w:w="0" w:type="dxa"/>
                    <w:right w:w="0" w:type="dxa"/>
                  </w:tcMar>
                  <w:vAlign w:val="center"/>
                </w:tcPr>
                <w:p w14:paraId="0CB1E65A">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1928</w:t>
                  </w:r>
                </w:p>
              </w:tc>
            </w:tr>
            <w:tr w14:paraId="0EEB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391FEA25">
                  <w:pPr>
                    <w:pStyle w:val="109"/>
                    <w:bidi w:val="0"/>
                    <w:rPr>
                      <w:rFonts w:hint="eastAsia" w:ascii="Times New Roman" w:hAnsi="Times New Roman" w:cs="Times New Roman"/>
                      <w:bCs/>
                      <w:color w:val="auto"/>
                      <w:sz w:val="21"/>
                      <w:szCs w:val="21"/>
                      <w:highlight w:val="none"/>
                      <w:lang w:val="en-US" w:eastAsia="zh-CN"/>
                    </w:rPr>
                  </w:pPr>
                </w:p>
              </w:tc>
              <w:tc>
                <w:tcPr>
                  <w:tcW w:w="394" w:type="pct"/>
                  <w:tcBorders>
                    <w:tl2br w:val="nil"/>
                    <w:tr2bl w:val="nil"/>
                  </w:tcBorders>
                  <w:shd w:val="clear" w:color="auto" w:fill="auto"/>
                  <w:noWrap w:val="0"/>
                  <w:tcMar>
                    <w:top w:w="0" w:type="dxa"/>
                    <w:left w:w="0" w:type="dxa"/>
                    <w:bottom w:w="0" w:type="dxa"/>
                    <w:right w:w="0" w:type="dxa"/>
                  </w:tcMar>
                  <w:vAlign w:val="center"/>
                </w:tcPr>
                <w:p w14:paraId="1409453A">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340" w:type="pct"/>
                  <w:tcBorders>
                    <w:tl2br w:val="nil"/>
                    <w:tr2bl w:val="nil"/>
                  </w:tcBorders>
                  <w:noWrap w:val="0"/>
                  <w:tcMar>
                    <w:top w:w="0" w:type="dxa"/>
                    <w:left w:w="0" w:type="dxa"/>
                    <w:bottom w:w="0" w:type="dxa"/>
                    <w:right w:w="0" w:type="dxa"/>
                  </w:tcMar>
                  <w:vAlign w:val="center"/>
                </w:tcPr>
                <w:p w14:paraId="761143A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418" w:type="pct"/>
                  <w:tcBorders>
                    <w:tl2br w:val="nil"/>
                    <w:tr2bl w:val="nil"/>
                  </w:tcBorders>
                  <w:noWrap w:val="0"/>
                  <w:tcMar>
                    <w:top w:w="0" w:type="dxa"/>
                    <w:left w:w="0" w:type="dxa"/>
                    <w:bottom w:w="0" w:type="dxa"/>
                    <w:right w:w="0" w:type="dxa"/>
                  </w:tcMar>
                  <w:vAlign w:val="center"/>
                </w:tcPr>
                <w:p w14:paraId="4B9C06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429" w:type="pct"/>
                  <w:tcBorders>
                    <w:tl2br w:val="nil"/>
                    <w:tr2bl w:val="nil"/>
                  </w:tcBorders>
                  <w:noWrap w:val="0"/>
                  <w:tcMar>
                    <w:top w:w="0" w:type="dxa"/>
                    <w:left w:w="0" w:type="dxa"/>
                    <w:bottom w:w="0" w:type="dxa"/>
                    <w:right w:w="0" w:type="dxa"/>
                  </w:tcMar>
                  <w:vAlign w:val="center"/>
                </w:tcPr>
                <w:p w14:paraId="7B4CBD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352" w:type="pct"/>
                  <w:vMerge w:val="continue"/>
                  <w:tcBorders>
                    <w:tl2br w:val="nil"/>
                    <w:tr2bl w:val="nil"/>
                  </w:tcBorders>
                  <w:noWrap w:val="0"/>
                  <w:tcMar>
                    <w:top w:w="0" w:type="dxa"/>
                    <w:left w:w="0" w:type="dxa"/>
                    <w:bottom w:w="0" w:type="dxa"/>
                    <w:right w:w="0" w:type="dxa"/>
                  </w:tcMar>
                  <w:vAlign w:val="center"/>
                </w:tcPr>
                <w:p w14:paraId="4479CDA5">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067B7A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19D160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261" w:type="pct"/>
                  <w:tcBorders>
                    <w:tl2br w:val="nil"/>
                    <w:tr2bl w:val="nil"/>
                  </w:tcBorders>
                  <w:noWrap w:val="0"/>
                  <w:tcMar>
                    <w:top w:w="0" w:type="dxa"/>
                    <w:left w:w="0" w:type="dxa"/>
                    <w:bottom w:w="0" w:type="dxa"/>
                    <w:right w:w="0" w:type="dxa"/>
                  </w:tcMar>
                  <w:vAlign w:val="center"/>
                </w:tcPr>
                <w:p w14:paraId="630D6D8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1860E6C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432" w:type="pct"/>
                  <w:tcBorders>
                    <w:tl2br w:val="nil"/>
                    <w:tr2bl w:val="nil"/>
                  </w:tcBorders>
                  <w:noWrap w:val="0"/>
                  <w:tcMar>
                    <w:top w:w="0" w:type="dxa"/>
                    <w:left w:w="0" w:type="dxa"/>
                    <w:bottom w:w="0" w:type="dxa"/>
                    <w:right w:w="0" w:type="dxa"/>
                  </w:tcMar>
                  <w:vAlign w:val="center"/>
                </w:tcPr>
                <w:p w14:paraId="6E07A9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477" w:type="pct"/>
                  <w:tcBorders>
                    <w:tl2br w:val="nil"/>
                    <w:tr2bl w:val="nil"/>
                  </w:tcBorders>
                  <w:noWrap w:val="0"/>
                  <w:tcMar>
                    <w:top w:w="0" w:type="dxa"/>
                    <w:left w:w="0" w:type="dxa"/>
                    <w:bottom w:w="0" w:type="dxa"/>
                    <w:right w:w="0" w:type="dxa"/>
                  </w:tcMar>
                  <w:vAlign w:val="center"/>
                </w:tcPr>
                <w:p w14:paraId="204CBA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342" w:type="pct"/>
                  <w:vMerge w:val="continue"/>
                  <w:tcBorders>
                    <w:tl2br w:val="nil"/>
                    <w:tr2bl w:val="nil"/>
                  </w:tcBorders>
                  <w:noWrap w:val="0"/>
                  <w:tcMar>
                    <w:top w:w="0" w:type="dxa"/>
                    <w:left w:w="0" w:type="dxa"/>
                    <w:bottom w:w="0" w:type="dxa"/>
                    <w:right w:w="0" w:type="dxa"/>
                  </w:tcMar>
                  <w:vAlign w:val="center"/>
                </w:tcPr>
                <w:p w14:paraId="687EBE5B">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p>
              </w:tc>
            </w:tr>
            <w:tr w14:paraId="5697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136CEF27">
                  <w:pPr>
                    <w:pStyle w:val="109"/>
                    <w:bidi w:val="0"/>
                    <w:rPr>
                      <w:rFonts w:hint="eastAsia" w:ascii="Times New Roman" w:hAnsi="Times New Roman" w:cs="Times New Roman"/>
                      <w:bCs/>
                      <w:color w:val="auto"/>
                      <w:sz w:val="21"/>
                      <w:szCs w:val="21"/>
                      <w:highlight w:val="none"/>
                      <w:lang w:val="en-US" w:eastAsia="zh-CN"/>
                    </w:rPr>
                  </w:pPr>
                </w:p>
              </w:tc>
              <w:tc>
                <w:tcPr>
                  <w:tcW w:w="394" w:type="pct"/>
                  <w:tcBorders>
                    <w:tl2br w:val="nil"/>
                    <w:tr2bl w:val="nil"/>
                  </w:tcBorders>
                  <w:shd w:val="clear" w:color="auto" w:fill="auto"/>
                  <w:noWrap w:val="0"/>
                  <w:tcMar>
                    <w:top w:w="0" w:type="dxa"/>
                    <w:left w:w="0" w:type="dxa"/>
                    <w:bottom w:w="0" w:type="dxa"/>
                    <w:right w:w="0" w:type="dxa"/>
                  </w:tcMar>
                  <w:vAlign w:val="center"/>
                </w:tcPr>
                <w:p w14:paraId="5E8925FE">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X</w:t>
                  </w:r>
                </w:p>
              </w:tc>
              <w:tc>
                <w:tcPr>
                  <w:tcW w:w="340" w:type="pct"/>
                  <w:tcBorders>
                    <w:tl2br w:val="nil"/>
                    <w:tr2bl w:val="nil"/>
                  </w:tcBorders>
                  <w:noWrap w:val="0"/>
                  <w:tcMar>
                    <w:top w:w="0" w:type="dxa"/>
                    <w:left w:w="0" w:type="dxa"/>
                    <w:bottom w:w="0" w:type="dxa"/>
                    <w:right w:w="0" w:type="dxa"/>
                  </w:tcMar>
                  <w:vAlign w:val="center"/>
                </w:tcPr>
                <w:p w14:paraId="0C635A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418" w:type="pct"/>
                  <w:tcBorders>
                    <w:tl2br w:val="nil"/>
                    <w:tr2bl w:val="nil"/>
                  </w:tcBorders>
                  <w:noWrap w:val="0"/>
                  <w:tcMar>
                    <w:top w:w="0" w:type="dxa"/>
                    <w:left w:w="0" w:type="dxa"/>
                    <w:bottom w:w="0" w:type="dxa"/>
                    <w:right w:w="0" w:type="dxa"/>
                  </w:tcMar>
                  <w:vAlign w:val="center"/>
                </w:tcPr>
                <w:p w14:paraId="6ABA41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429" w:type="pct"/>
                  <w:tcBorders>
                    <w:tl2br w:val="nil"/>
                    <w:tr2bl w:val="nil"/>
                  </w:tcBorders>
                  <w:noWrap w:val="0"/>
                  <w:tcMar>
                    <w:top w:w="0" w:type="dxa"/>
                    <w:left w:w="0" w:type="dxa"/>
                    <w:bottom w:w="0" w:type="dxa"/>
                    <w:right w:w="0" w:type="dxa"/>
                  </w:tcMar>
                  <w:vAlign w:val="center"/>
                </w:tcPr>
                <w:p w14:paraId="487C25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3.9 </w:t>
                  </w:r>
                </w:p>
              </w:tc>
              <w:tc>
                <w:tcPr>
                  <w:tcW w:w="352" w:type="pct"/>
                  <w:vMerge w:val="continue"/>
                  <w:tcBorders>
                    <w:tl2br w:val="nil"/>
                    <w:tr2bl w:val="nil"/>
                  </w:tcBorders>
                  <w:noWrap w:val="0"/>
                  <w:tcMar>
                    <w:top w:w="0" w:type="dxa"/>
                    <w:left w:w="0" w:type="dxa"/>
                    <w:bottom w:w="0" w:type="dxa"/>
                    <w:right w:w="0" w:type="dxa"/>
                  </w:tcMar>
                  <w:vAlign w:val="center"/>
                </w:tcPr>
                <w:p w14:paraId="59F2A988">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p>
              </w:tc>
              <w:tc>
                <w:tcPr>
                  <w:tcW w:w="432" w:type="pct"/>
                  <w:vMerge w:val="continue"/>
                  <w:tcBorders>
                    <w:tl2br w:val="nil"/>
                    <w:tr2bl w:val="nil"/>
                  </w:tcBorders>
                  <w:noWrap w:val="0"/>
                  <w:tcMar>
                    <w:top w:w="0" w:type="dxa"/>
                    <w:left w:w="0" w:type="dxa"/>
                    <w:bottom w:w="0" w:type="dxa"/>
                    <w:right w:w="0" w:type="dxa"/>
                  </w:tcMar>
                  <w:vAlign w:val="center"/>
                </w:tcPr>
                <w:p w14:paraId="77A8461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6727A5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261" w:type="pct"/>
                  <w:tcBorders>
                    <w:tl2br w:val="nil"/>
                    <w:tr2bl w:val="nil"/>
                  </w:tcBorders>
                  <w:noWrap w:val="0"/>
                  <w:tcMar>
                    <w:top w:w="0" w:type="dxa"/>
                    <w:left w:w="0" w:type="dxa"/>
                    <w:bottom w:w="0" w:type="dxa"/>
                    <w:right w:w="0" w:type="dxa"/>
                  </w:tcMar>
                  <w:vAlign w:val="center"/>
                </w:tcPr>
                <w:p w14:paraId="3BAFE1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0E372F2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432" w:type="pct"/>
                  <w:tcBorders>
                    <w:tl2br w:val="nil"/>
                    <w:tr2bl w:val="nil"/>
                  </w:tcBorders>
                  <w:noWrap w:val="0"/>
                  <w:tcMar>
                    <w:top w:w="0" w:type="dxa"/>
                    <w:left w:w="0" w:type="dxa"/>
                    <w:bottom w:w="0" w:type="dxa"/>
                    <w:right w:w="0" w:type="dxa"/>
                  </w:tcMar>
                  <w:vAlign w:val="center"/>
                </w:tcPr>
                <w:p w14:paraId="4FD64BF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477" w:type="pct"/>
                  <w:tcBorders>
                    <w:tl2br w:val="nil"/>
                    <w:tr2bl w:val="nil"/>
                  </w:tcBorders>
                  <w:noWrap w:val="0"/>
                  <w:tcMar>
                    <w:top w:w="0" w:type="dxa"/>
                    <w:left w:w="0" w:type="dxa"/>
                    <w:bottom w:w="0" w:type="dxa"/>
                    <w:right w:w="0" w:type="dxa"/>
                  </w:tcMar>
                  <w:vAlign w:val="center"/>
                </w:tcPr>
                <w:p w14:paraId="55E5FB5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3.9 </w:t>
                  </w:r>
                </w:p>
              </w:tc>
              <w:tc>
                <w:tcPr>
                  <w:tcW w:w="342" w:type="pct"/>
                  <w:vMerge w:val="continue"/>
                  <w:tcBorders>
                    <w:tl2br w:val="nil"/>
                    <w:tr2bl w:val="nil"/>
                  </w:tcBorders>
                  <w:noWrap w:val="0"/>
                  <w:tcMar>
                    <w:top w:w="0" w:type="dxa"/>
                    <w:left w:w="0" w:type="dxa"/>
                    <w:bottom w:w="0" w:type="dxa"/>
                    <w:right w:w="0" w:type="dxa"/>
                  </w:tcMar>
                  <w:vAlign w:val="center"/>
                </w:tcPr>
                <w:p w14:paraId="28374A93">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p>
              </w:tc>
            </w:tr>
            <w:tr w14:paraId="53D8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0DD352A0">
                  <w:pPr>
                    <w:pStyle w:val="109"/>
                    <w:bidi w:val="0"/>
                    <w:rPr>
                      <w:rFonts w:hint="eastAsia" w:ascii="Times New Roman" w:hAnsi="Times New Roman" w:cs="Times New Roman"/>
                      <w:bCs/>
                      <w:color w:val="auto"/>
                      <w:sz w:val="21"/>
                      <w:szCs w:val="21"/>
                      <w:highlight w:val="none"/>
                      <w:lang w:val="en-US" w:eastAsia="zh-CN"/>
                    </w:rPr>
                  </w:pPr>
                </w:p>
              </w:tc>
              <w:tc>
                <w:tcPr>
                  <w:tcW w:w="394" w:type="pct"/>
                  <w:tcBorders>
                    <w:tl2br w:val="nil"/>
                    <w:tr2bl w:val="nil"/>
                  </w:tcBorders>
                  <w:shd w:val="clear" w:color="auto" w:fill="auto"/>
                  <w:noWrap w:val="0"/>
                  <w:tcMar>
                    <w:top w:w="0" w:type="dxa"/>
                    <w:left w:w="0" w:type="dxa"/>
                    <w:bottom w:w="0" w:type="dxa"/>
                    <w:right w:w="0" w:type="dxa"/>
                  </w:tcMar>
                  <w:vAlign w:val="center"/>
                </w:tcPr>
                <w:p w14:paraId="4070FBA0">
                  <w:pPr>
                    <w:keepNext w:val="0"/>
                    <w:keepLines w:val="0"/>
                    <w:widowControl/>
                    <w:suppressLineNumbers w:val="0"/>
                    <w:jc w:val="center"/>
                    <w:textAlignment w:val="center"/>
                    <w:rPr>
                      <w:rFonts w:hint="eastAsia" w:ascii="宋体" w:hAnsi="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颗粒物</w:t>
                  </w:r>
                </w:p>
              </w:tc>
              <w:tc>
                <w:tcPr>
                  <w:tcW w:w="340" w:type="pct"/>
                  <w:tcBorders>
                    <w:tl2br w:val="nil"/>
                    <w:tr2bl w:val="nil"/>
                  </w:tcBorders>
                  <w:noWrap w:val="0"/>
                  <w:tcMar>
                    <w:top w:w="0" w:type="dxa"/>
                    <w:left w:w="0" w:type="dxa"/>
                    <w:bottom w:w="0" w:type="dxa"/>
                    <w:right w:w="0" w:type="dxa"/>
                  </w:tcMar>
                  <w:vAlign w:val="center"/>
                </w:tcPr>
                <w:p w14:paraId="21A8C6D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418" w:type="pct"/>
                  <w:tcBorders>
                    <w:tl2br w:val="nil"/>
                    <w:tr2bl w:val="nil"/>
                  </w:tcBorders>
                  <w:noWrap w:val="0"/>
                  <w:tcMar>
                    <w:top w:w="0" w:type="dxa"/>
                    <w:left w:w="0" w:type="dxa"/>
                    <w:bottom w:w="0" w:type="dxa"/>
                    <w:right w:w="0" w:type="dxa"/>
                  </w:tcMar>
                  <w:vAlign w:val="center"/>
                </w:tcPr>
                <w:p w14:paraId="390CE8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429" w:type="pct"/>
                  <w:tcBorders>
                    <w:tl2br w:val="nil"/>
                    <w:tr2bl w:val="nil"/>
                  </w:tcBorders>
                  <w:noWrap w:val="0"/>
                  <w:tcMar>
                    <w:top w:w="0" w:type="dxa"/>
                    <w:left w:w="0" w:type="dxa"/>
                    <w:bottom w:w="0" w:type="dxa"/>
                    <w:right w:w="0" w:type="dxa"/>
                  </w:tcMar>
                  <w:vAlign w:val="center"/>
                </w:tcPr>
                <w:p w14:paraId="4208821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 </w:t>
                  </w:r>
                </w:p>
              </w:tc>
              <w:tc>
                <w:tcPr>
                  <w:tcW w:w="352" w:type="pct"/>
                  <w:vMerge w:val="continue"/>
                  <w:tcBorders>
                    <w:tl2br w:val="nil"/>
                    <w:tr2bl w:val="nil"/>
                  </w:tcBorders>
                  <w:noWrap w:val="0"/>
                  <w:tcMar>
                    <w:top w:w="0" w:type="dxa"/>
                    <w:left w:w="0" w:type="dxa"/>
                    <w:bottom w:w="0" w:type="dxa"/>
                    <w:right w:w="0" w:type="dxa"/>
                  </w:tcMar>
                  <w:vAlign w:val="center"/>
                </w:tcPr>
                <w:p w14:paraId="639DBE67">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p>
              </w:tc>
              <w:tc>
                <w:tcPr>
                  <w:tcW w:w="432" w:type="pct"/>
                  <w:tcBorders>
                    <w:tl2br w:val="nil"/>
                    <w:tr2bl w:val="nil"/>
                  </w:tcBorders>
                  <w:shd w:val="clear" w:color="auto" w:fill="auto"/>
                  <w:noWrap w:val="0"/>
                  <w:tcMar>
                    <w:top w:w="0" w:type="dxa"/>
                    <w:left w:w="0" w:type="dxa"/>
                    <w:bottom w:w="0" w:type="dxa"/>
                    <w:right w:w="0" w:type="dxa"/>
                  </w:tcMar>
                  <w:vAlign w:val="center"/>
                </w:tcPr>
                <w:p w14:paraId="220A0D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86" w:type="pct"/>
                  <w:tcBorders>
                    <w:tl2br w:val="nil"/>
                    <w:tr2bl w:val="nil"/>
                  </w:tcBorders>
                  <w:shd w:val="clear" w:color="auto" w:fill="auto"/>
                  <w:noWrap w:val="0"/>
                  <w:tcMar>
                    <w:top w:w="0" w:type="dxa"/>
                    <w:left w:w="0" w:type="dxa"/>
                    <w:bottom w:w="0" w:type="dxa"/>
                    <w:right w:w="0" w:type="dxa"/>
                  </w:tcMar>
                  <w:vAlign w:val="center"/>
                </w:tcPr>
                <w:p w14:paraId="302778E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261" w:type="pct"/>
                  <w:tcBorders>
                    <w:tl2br w:val="nil"/>
                    <w:tr2bl w:val="nil"/>
                  </w:tcBorders>
                  <w:shd w:val="clear" w:color="auto" w:fill="auto"/>
                  <w:noWrap w:val="0"/>
                  <w:tcMar>
                    <w:top w:w="0" w:type="dxa"/>
                    <w:left w:w="0" w:type="dxa"/>
                    <w:bottom w:w="0" w:type="dxa"/>
                    <w:right w:w="0" w:type="dxa"/>
                  </w:tcMar>
                  <w:vAlign w:val="center"/>
                </w:tcPr>
                <w:p w14:paraId="17584E1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4B662D2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432" w:type="pct"/>
                  <w:tcBorders>
                    <w:tl2br w:val="nil"/>
                    <w:tr2bl w:val="nil"/>
                  </w:tcBorders>
                  <w:noWrap w:val="0"/>
                  <w:tcMar>
                    <w:top w:w="0" w:type="dxa"/>
                    <w:left w:w="0" w:type="dxa"/>
                    <w:bottom w:w="0" w:type="dxa"/>
                    <w:right w:w="0" w:type="dxa"/>
                  </w:tcMar>
                  <w:vAlign w:val="center"/>
                </w:tcPr>
                <w:p w14:paraId="0E7CDE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477" w:type="pct"/>
                  <w:tcBorders>
                    <w:tl2br w:val="nil"/>
                    <w:tr2bl w:val="nil"/>
                  </w:tcBorders>
                  <w:noWrap w:val="0"/>
                  <w:tcMar>
                    <w:top w:w="0" w:type="dxa"/>
                    <w:left w:w="0" w:type="dxa"/>
                    <w:bottom w:w="0" w:type="dxa"/>
                    <w:right w:w="0" w:type="dxa"/>
                  </w:tcMar>
                  <w:vAlign w:val="center"/>
                </w:tcPr>
                <w:p w14:paraId="77EDB6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 </w:t>
                  </w:r>
                </w:p>
              </w:tc>
              <w:tc>
                <w:tcPr>
                  <w:tcW w:w="342" w:type="pct"/>
                  <w:vMerge w:val="continue"/>
                  <w:tcBorders>
                    <w:tl2br w:val="nil"/>
                    <w:tr2bl w:val="nil"/>
                  </w:tcBorders>
                  <w:noWrap w:val="0"/>
                  <w:tcMar>
                    <w:top w:w="0" w:type="dxa"/>
                    <w:left w:w="0" w:type="dxa"/>
                    <w:bottom w:w="0" w:type="dxa"/>
                    <w:right w:w="0" w:type="dxa"/>
                  </w:tcMar>
                  <w:vAlign w:val="center"/>
                </w:tcPr>
                <w:p w14:paraId="2F56C510">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p>
              </w:tc>
            </w:tr>
            <w:tr w14:paraId="06A9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5EAD7F0D">
                  <w:pPr>
                    <w:pStyle w:val="109"/>
                    <w:bidi w:val="0"/>
                    <w:rPr>
                      <w:rFonts w:hint="eastAsia" w:ascii="Times New Roman" w:hAnsi="Times New Roman" w:cs="Times New Roman"/>
                      <w:bCs/>
                      <w:color w:val="auto"/>
                      <w:sz w:val="21"/>
                      <w:szCs w:val="21"/>
                      <w:highlight w:val="none"/>
                      <w:lang w:val="en-US" w:eastAsia="zh-CN"/>
                    </w:rPr>
                  </w:pPr>
                </w:p>
              </w:tc>
              <w:tc>
                <w:tcPr>
                  <w:tcW w:w="394" w:type="pct"/>
                  <w:tcBorders>
                    <w:tl2br w:val="nil"/>
                    <w:tr2bl w:val="nil"/>
                  </w:tcBorders>
                  <w:shd w:val="clear" w:color="auto" w:fill="auto"/>
                  <w:noWrap w:val="0"/>
                  <w:tcMar>
                    <w:top w:w="0" w:type="dxa"/>
                    <w:left w:w="0" w:type="dxa"/>
                    <w:bottom w:w="0" w:type="dxa"/>
                    <w:right w:w="0" w:type="dxa"/>
                  </w:tcMar>
                  <w:vAlign w:val="center"/>
                </w:tcPr>
                <w:p w14:paraId="796D61CC">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氟化物</w:t>
                  </w:r>
                </w:p>
              </w:tc>
              <w:tc>
                <w:tcPr>
                  <w:tcW w:w="340" w:type="pct"/>
                  <w:tcBorders>
                    <w:tl2br w:val="nil"/>
                    <w:tr2bl w:val="nil"/>
                  </w:tcBorders>
                  <w:noWrap w:val="0"/>
                  <w:tcMar>
                    <w:top w:w="0" w:type="dxa"/>
                    <w:left w:w="0" w:type="dxa"/>
                    <w:bottom w:w="0" w:type="dxa"/>
                    <w:right w:w="0" w:type="dxa"/>
                  </w:tcMar>
                  <w:vAlign w:val="center"/>
                </w:tcPr>
                <w:p w14:paraId="42E01D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418" w:type="pct"/>
                  <w:tcBorders>
                    <w:tl2br w:val="nil"/>
                    <w:tr2bl w:val="nil"/>
                  </w:tcBorders>
                  <w:noWrap w:val="0"/>
                  <w:tcMar>
                    <w:top w:w="0" w:type="dxa"/>
                    <w:left w:w="0" w:type="dxa"/>
                    <w:bottom w:w="0" w:type="dxa"/>
                    <w:right w:w="0" w:type="dxa"/>
                  </w:tcMar>
                  <w:vAlign w:val="center"/>
                </w:tcPr>
                <w:p w14:paraId="42AC8B2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w:t>
                  </w:r>
                  <w:r>
                    <w:rPr>
                      <w:rFonts w:hint="eastAsia" w:ascii="Times New Roman" w:hAnsi="Times New Roman" w:eastAsia="宋体" w:cs="Times New Roman"/>
                      <w:i w:val="0"/>
                      <w:iCs w:val="0"/>
                      <w:color w:val="auto"/>
                      <w:kern w:val="0"/>
                      <w:sz w:val="21"/>
                      <w:szCs w:val="21"/>
                      <w:u w:val="none"/>
                      <w:lang w:val="en-US" w:eastAsia="zh-CN" w:bidi="ar"/>
                    </w:rPr>
                    <w:t>03</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9" w:type="pct"/>
                  <w:tcBorders>
                    <w:tl2br w:val="nil"/>
                    <w:tr2bl w:val="nil"/>
                  </w:tcBorders>
                  <w:noWrap w:val="0"/>
                  <w:tcMar>
                    <w:top w:w="0" w:type="dxa"/>
                    <w:left w:w="0" w:type="dxa"/>
                    <w:bottom w:w="0" w:type="dxa"/>
                    <w:right w:w="0" w:type="dxa"/>
                  </w:tcMar>
                  <w:vAlign w:val="center"/>
                </w:tcPr>
                <w:p w14:paraId="5214E7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tcBorders>
                    <w:tl2br w:val="nil"/>
                    <w:tr2bl w:val="nil"/>
                  </w:tcBorders>
                  <w:noWrap w:val="0"/>
                  <w:tcMar>
                    <w:top w:w="0" w:type="dxa"/>
                    <w:left w:w="0" w:type="dxa"/>
                    <w:bottom w:w="0" w:type="dxa"/>
                    <w:right w:w="0" w:type="dxa"/>
                  </w:tcMar>
                  <w:vAlign w:val="center"/>
                </w:tcPr>
                <w:p w14:paraId="016C94B6">
                  <w:pPr>
                    <w:keepNext w:val="0"/>
                    <w:keepLines w:val="0"/>
                    <w:widowControl/>
                    <w:suppressLineNumbers w:val="0"/>
                    <w:jc w:val="center"/>
                    <w:textAlignment w:val="center"/>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424DCB1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86" w:type="pct"/>
                  <w:tcBorders>
                    <w:tl2br w:val="nil"/>
                    <w:tr2bl w:val="nil"/>
                  </w:tcBorders>
                  <w:noWrap w:val="0"/>
                  <w:tcMar>
                    <w:top w:w="0" w:type="dxa"/>
                    <w:left w:w="0" w:type="dxa"/>
                    <w:bottom w:w="0" w:type="dxa"/>
                    <w:right w:w="0" w:type="dxa"/>
                  </w:tcMar>
                  <w:vAlign w:val="center"/>
                </w:tcPr>
                <w:p w14:paraId="05913C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61" w:type="pct"/>
                  <w:tcBorders>
                    <w:tl2br w:val="nil"/>
                    <w:tr2bl w:val="nil"/>
                  </w:tcBorders>
                  <w:noWrap w:val="0"/>
                  <w:tcMar>
                    <w:top w:w="0" w:type="dxa"/>
                    <w:left w:w="0" w:type="dxa"/>
                    <w:bottom w:w="0" w:type="dxa"/>
                    <w:right w:w="0" w:type="dxa"/>
                  </w:tcMar>
                  <w:vAlign w:val="center"/>
                </w:tcPr>
                <w:p w14:paraId="231F7E2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340" w:type="pct"/>
                  <w:tcBorders>
                    <w:tl2br w:val="nil"/>
                    <w:tr2bl w:val="nil"/>
                  </w:tcBorders>
                  <w:noWrap w:val="0"/>
                  <w:tcMar>
                    <w:top w:w="0" w:type="dxa"/>
                    <w:left w:w="0" w:type="dxa"/>
                    <w:bottom w:w="0" w:type="dxa"/>
                    <w:right w:w="0" w:type="dxa"/>
                  </w:tcMar>
                  <w:vAlign w:val="center"/>
                </w:tcPr>
                <w:p w14:paraId="2D216B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432" w:type="pct"/>
                  <w:tcBorders>
                    <w:tl2br w:val="nil"/>
                    <w:tr2bl w:val="nil"/>
                  </w:tcBorders>
                  <w:noWrap w:val="0"/>
                  <w:tcMar>
                    <w:top w:w="0" w:type="dxa"/>
                    <w:left w:w="0" w:type="dxa"/>
                    <w:bottom w:w="0" w:type="dxa"/>
                    <w:right w:w="0" w:type="dxa"/>
                  </w:tcMar>
                  <w:vAlign w:val="center"/>
                </w:tcPr>
                <w:p w14:paraId="3D45FD9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0.0003 </w:t>
                  </w:r>
                </w:p>
              </w:tc>
              <w:tc>
                <w:tcPr>
                  <w:tcW w:w="477" w:type="pct"/>
                  <w:tcBorders>
                    <w:tl2br w:val="nil"/>
                    <w:tr2bl w:val="nil"/>
                  </w:tcBorders>
                  <w:noWrap w:val="0"/>
                  <w:tcMar>
                    <w:top w:w="0" w:type="dxa"/>
                    <w:left w:w="0" w:type="dxa"/>
                    <w:bottom w:w="0" w:type="dxa"/>
                    <w:right w:w="0" w:type="dxa"/>
                  </w:tcMar>
                  <w:vAlign w:val="center"/>
                </w:tcPr>
                <w:p w14:paraId="0E4C5C9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0B85F932">
                  <w:pPr>
                    <w:keepNext w:val="0"/>
                    <w:keepLines w:val="0"/>
                    <w:widowControl/>
                    <w:suppressLineNumbers w:val="0"/>
                    <w:jc w:val="center"/>
                    <w:textAlignment w:val="center"/>
                    <w:rPr>
                      <w:rFonts w:hint="eastAsia" w:cs="Times New Roman"/>
                      <w:i w:val="0"/>
                      <w:iCs w:val="0"/>
                      <w:color w:val="auto"/>
                      <w:kern w:val="0"/>
                      <w:sz w:val="21"/>
                      <w:szCs w:val="21"/>
                      <w:highlight w:val="none"/>
                      <w:u w:val="none"/>
                      <w:lang w:val="en-US" w:eastAsia="zh-CN" w:bidi="ar"/>
                    </w:rPr>
                  </w:pPr>
                </w:p>
              </w:tc>
            </w:tr>
            <w:tr w14:paraId="7CAA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restart"/>
                  <w:tcBorders>
                    <w:tl2br w:val="nil"/>
                    <w:tr2bl w:val="nil"/>
                  </w:tcBorders>
                  <w:noWrap w:val="0"/>
                  <w:tcMar>
                    <w:top w:w="0" w:type="dxa"/>
                    <w:left w:w="0" w:type="dxa"/>
                    <w:bottom w:w="0" w:type="dxa"/>
                    <w:right w:w="0" w:type="dxa"/>
                  </w:tcMar>
                  <w:vAlign w:val="center"/>
                </w:tcPr>
                <w:p w14:paraId="3A8B00E3">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eastAsia="zh-CN"/>
                    </w:rPr>
                    <w:t>厨房油烟废气</w:t>
                  </w:r>
                  <w:r>
                    <w:rPr>
                      <w:rFonts w:hint="eastAsia" w:ascii="Times New Roman" w:hAnsi="Times New Roman" w:eastAsia="宋体" w:cs="Times New Roman"/>
                      <w:snapToGrid/>
                      <w:color w:val="auto"/>
                      <w:kern w:val="2"/>
                      <w:sz w:val="21"/>
                      <w:szCs w:val="21"/>
                      <w:highlight w:val="none"/>
                      <w:lang w:eastAsia="zh-CN"/>
                    </w:rPr>
                    <w:t>（</w:t>
                  </w:r>
                  <w:r>
                    <w:rPr>
                      <w:rFonts w:hint="eastAsia" w:cs="Times New Roman"/>
                      <w:snapToGrid/>
                      <w:color w:val="auto"/>
                      <w:kern w:val="2"/>
                      <w:sz w:val="21"/>
                      <w:szCs w:val="21"/>
                      <w:highlight w:val="none"/>
                      <w:lang w:val="en-US" w:eastAsia="zh-CN"/>
                    </w:rPr>
                    <w:t>DA004</w:t>
                  </w:r>
                  <w:r>
                    <w:rPr>
                      <w:rFonts w:hint="eastAsia" w:ascii="Times New Roman" w:hAnsi="Times New Roman" w:eastAsia="宋体" w:cs="Times New Roman"/>
                      <w:snapToGrid/>
                      <w:color w:val="auto"/>
                      <w:kern w:val="2"/>
                      <w:sz w:val="21"/>
                      <w:szCs w:val="21"/>
                      <w:highlight w:val="none"/>
                      <w:lang w:eastAsia="zh-CN"/>
                    </w:rPr>
                    <w:t>）</w:t>
                  </w:r>
                </w:p>
              </w:tc>
              <w:tc>
                <w:tcPr>
                  <w:tcW w:w="394" w:type="pct"/>
                  <w:vMerge w:val="restart"/>
                  <w:tcBorders>
                    <w:tl2br w:val="nil"/>
                    <w:tr2bl w:val="nil"/>
                  </w:tcBorders>
                  <w:noWrap w:val="0"/>
                  <w:tcMar>
                    <w:top w:w="0" w:type="dxa"/>
                    <w:left w:w="0" w:type="dxa"/>
                    <w:bottom w:w="0" w:type="dxa"/>
                    <w:right w:w="0" w:type="dxa"/>
                  </w:tcMar>
                  <w:vAlign w:val="center"/>
                </w:tcPr>
                <w:p w14:paraId="27FB74AE">
                  <w:pPr>
                    <w:keepNext w:val="0"/>
                    <w:keepLines w:val="0"/>
                    <w:widowControl/>
                    <w:suppressLineNumbers w:val="0"/>
                    <w:jc w:val="center"/>
                    <w:textAlignment w:val="center"/>
                    <w:rPr>
                      <w:rFonts w:hint="eastAsia" w:ascii="Times New Roman" w:hAnsi="Times New Roman" w:eastAsia="宋体" w:cs="Times New Roman"/>
                      <w:snapToGrid/>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油烟</w:t>
                  </w:r>
                </w:p>
              </w:tc>
              <w:tc>
                <w:tcPr>
                  <w:tcW w:w="340" w:type="pct"/>
                  <w:tcBorders>
                    <w:tl2br w:val="nil"/>
                    <w:tr2bl w:val="nil"/>
                  </w:tcBorders>
                  <w:noWrap w:val="0"/>
                  <w:tcMar>
                    <w:top w:w="0" w:type="dxa"/>
                    <w:left w:w="0" w:type="dxa"/>
                    <w:bottom w:w="0" w:type="dxa"/>
                    <w:right w:w="0" w:type="dxa"/>
                  </w:tcMar>
                  <w:vAlign w:val="center"/>
                </w:tcPr>
                <w:p w14:paraId="1B22D272">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0.028 </w:t>
                  </w:r>
                </w:p>
              </w:tc>
              <w:tc>
                <w:tcPr>
                  <w:tcW w:w="418" w:type="pct"/>
                  <w:tcBorders>
                    <w:tl2br w:val="nil"/>
                    <w:tr2bl w:val="nil"/>
                  </w:tcBorders>
                  <w:noWrap w:val="0"/>
                  <w:tcMar>
                    <w:top w:w="0" w:type="dxa"/>
                    <w:left w:w="0" w:type="dxa"/>
                    <w:bottom w:w="0" w:type="dxa"/>
                    <w:right w:w="0" w:type="dxa"/>
                  </w:tcMar>
                  <w:vAlign w:val="center"/>
                </w:tcPr>
                <w:p w14:paraId="492E75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0.029 </w:t>
                  </w:r>
                </w:p>
              </w:tc>
              <w:tc>
                <w:tcPr>
                  <w:tcW w:w="429" w:type="pct"/>
                  <w:tcBorders>
                    <w:tl2br w:val="nil"/>
                    <w:tr2bl w:val="nil"/>
                  </w:tcBorders>
                  <w:noWrap w:val="0"/>
                  <w:tcMar>
                    <w:top w:w="0" w:type="dxa"/>
                    <w:left w:w="0" w:type="dxa"/>
                    <w:bottom w:w="0" w:type="dxa"/>
                    <w:right w:w="0" w:type="dxa"/>
                  </w:tcMar>
                  <w:vAlign w:val="center"/>
                </w:tcPr>
                <w:p w14:paraId="1809222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4.9</w:t>
                  </w:r>
                </w:p>
              </w:tc>
              <w:tc>
                <w:tcPr>
                  <w:tcW w:w="352" w:type="pct"/>
                  <w:tcBorders>
                    <w:tl2br w:val="nil"/>
                    <w:tr2bl w:val="nil"/>
                  </w:tcBorders>
                  <w:noWrap w:val="0"/>
                  <w:tcMar>
                    <w:top w:w="0" w:type="dxa"/>
                    <w:left w:w="0" w:type="dxa"/>
                    <w:bottom w:w="0" w:type="dxa"/>
                    <w:right w:w="0" w:type="dxa"/>
                  </w:tcMar>
                  <w:vAlign w:val="center"/>
                </w:tcPr>
                <w:p w14:paraId="6768FA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有组织</w:t>
                  </w:r>
                </w:p>
              </w:tc>
              <w:tc>
                <w:tcPr>
                  <w:tcW w:w="432" w:type="pct"/>
                  <w:tcBorders>
                    <w:tl2br w:val="nil"/>
                    <w:tr2bl w:val="nil"/>
                  </w:tcBorders>
                  <w:noWrap w:val="0"/>
                  <w:tcMar>
                    <w:top w:w="0" w:type="dxa"/>
                    <w:left w:w="0" w:type="dxa"/>
                    <w:bottom w:w="0" w:type="dxa"/>
                    <w:right w:w="0" w:type="dxa"/>
                  </w:tcMar>
                  <w:vAlign w:val="center"/>
                </w:tcPr>
                <w:p w14:paraId="2F2D4D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6000</w:t>
                  </w:r>
                </w:p>
              </w:tc>
              <w:tc>
                <w:tcPr>
                  <w:tcW w:w="286" w:type="pct"/>
                  <w:tcBorders>
                    <w:tl2br w:val="nil"/>
                    <w:tr2bl w:val="nil"/>
                  </w:tcBorders>
                  <w:noWrap w:val="0"/>
                  <w:tcMar>
                    <w:top w:w="0" w:type="dxa"/>
                    <w:left w:w="0" w:type="dxa"/>
                    <w:bottom w:w="0" w:type="dxa"/>
                    <w:right w:w="0" w:type="dxa"/>
                  </w:tcMar>
                  <w:vAlign w:val="center"/>
                </w:tcPr>
                <w:p w14:paraId="20C5F3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7</w:t>
                  </w: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261" w:type="pct"/>
                  <w:tcBorders>
                    <w:tl2br w:val="nil"/>
                    <w:tr2bl w:val="nil"/>
                  </w:tcBorders>
                  <w:noWrap w:val="0"/>
                  <w:tcMar>
                    <w:top w:w="0" w:type="dxa"/>
                    <w:left w:w="0" w:type="dxa"/>
                    <w:bottom w:w="0" w:type="dxa"/>
                    <w:right w:w="0" w:type="dxa"/>
                  </w:tcMar>
                  <w:vAlign w:val="center"/>
                </w:tcPr>
                <w:p w14:paraId="3D513B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75%</w:t>
                  </w:r>
                </w:p>
              </w:tc>
              <w:tc>
                <w:tcPr>
                  <w:tcW w:w="340" w:type="pct"/>
                  <w:tcBorders>
                    <w:tl2br w:val="nil"/>
                    <w:tr2bl w:val="nil"/>
                  </w:tcBorders>
                  <w:noWrap w:val="0"/>
                  <w:tcMar>
                    <w:top w:w="0" w:type="dxa"/>
                    <w:left w:w="0" w:type="dxa"/>
                    <w:bottom w:w="0" w:type="dxa"/>
                    <w:right w:w="0" w:type="dxa"/>
                  </w:tcMar>
                  <w:vAlign w:val="center"/>
                </w:tcPr>
                <w:p w14:paraId="026BC8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432" w:type="pct"/>
                  <w:tcBorders>
                    <w:tl2br w:val="nil"/>
                    <w:tr2bl w:val="nil"/>
                  </w:tcBorders>
                  <w:noWrap w:val="0"/>
                  <w:tcMar>
                    <w:top w:w="0" w:type="dxa"/>
                    <w:left w:w="0" w:type="dxa"/>
                    <w:bottom w:w="0" w:type="dxa"/>
                    <w:right w:w="0" w:type="dxa"/>
                  </w:tcMar>
                  <w:vAlign w:val="center"/>
                </w:tcPr>
                <w:p w14:paraId="69A0942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477" w:type="pct"/>
                  <w:tcBorders>
                    <w:tl2br w:val="nil"/>
                    <w:tr2bl w:val="nil"/>
                  </w:tcBorders>
                  <w:noWrap w:val="0"/>
                  <w:tcMar>
                    <w:top w:w="0" w:type="dxa"/>
                    <w:left w:w="0" w:type="dxa"/>
                    <w:bottom w:w="0" w:type="dxa"/>
                    <w:right w:w="0" w:type="dxa"/>
                  </w:tcMar>
                  <w:vAlign w:val="center"/>
                </w:tcPr>
                <w:p w14:paraId="4E86D79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1.2 </w:t>
                  </w:r>
                </w:p>
              </w:tc>
              <w:tc>
                <w:tcPr>
                  <w:tcW w:w="342" w:type="pct"/>
                  <w:vMerge w:val="restart"/>
                  <w:tcBorders>
                    <w:tl2br w:val="nil"/>
                    <w:tr2bl w:val="nil"/>
                  </w:tcBorders>
                  <w:noWrap w:val="0"/>
                  <w:tcMar>
                    <w:top w:w="0" w:type="dxa"/>
                    <w:left w:w="0" w:type="dxa"/>
                    <w:bottom w:w="0" w:type="dxa"/>
                    <w:right w:w="0" w:type="dxa"/>
                  </w:tcMar>
                  <w:vAlign w:val="center"/>
                </w:tcPr>
                <w:p w14:paraId="621DB160">
                  <w:pPr>
                    <w:widowControl w:val="0"/>
                    <w:kinsoku/>
                    <w:autoSpaceDE/>
                    <w:autoSpaceDN/>
                    <w:adjustRightInd w:val="0"/>
                    <w:snapToGrid w:val="0"/>
                    <w:spacing w:line="240" w:lineRule="auto"/>
                    <w:jc w:val="center"/>
                    <w:textAlignment w:val="auto"/>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snapToGrid/>
                      <w:color w:val="auto"/>
                      <w:kern w:val="2"/>
                      <w:sz w:val="21"/>
                      <w:szCs w:val="21"/>
                      <w:highlight w:val="none"/>
                      <w:lang w:val="en-US" w:eastAsia="zh-CN"/>
                    </w:rPr>
                    <w:t>964</w:t>
                  </w:r>
                </w:p>
              </w:tc>
            </w:tr>
            <w:tr w14:paraId="20017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Merge w:val="continue"/>
                  <w:tcBorders>
                    <w:tl2br w:val="nil"/>
                    <w:tr2bl w:val="nil"/>
                  </w:tcBorders>
                  <w:noWrap w:val="0"/>
                  <w:tcMar>
                    <w:top w:w="0" w:type="dxa"/>
                    <w:left w:w="0" w:type="dxa"/>
                    <w:bottom w:w="0" w:type="dxa"/>
                    <w:right w:w="0" w:type="dxa"/>
                  </w:tcMar>
                  <w:vAlign w:val="center"/>
                </w:tcPr>
                <w:p w14:paraId="2B5E14A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p>
              </w:tc>
              <w:tc>
                <w:tcPr>
                  <w:tcW w:w="394" w:type="pct"/>
                  <w:vMerge w:val="continue"/>
                  <w:tcBorders>
                    <w:tl2br w:val="nil"/>
                    <w:tr2bl w:val="nil"/>
                  </w:tcBorders>
                  <w:noWrap w:val="0"/>
                  <w:tcMar>
                    <w:top w:w="0" w:type="dxa"/>
                    <w:left w:w="0" w:type="dxa"/>
                    <w:bottom w:w="0" w:type="dxa"/>
                    <w:right w:w="0" w:type="dxa"/>
                  </w:tcMar>
                  <w:vAlign w:val="center"/>
                </w:tcPr>
                <w:p w14:paraId="02EDE441">
                  <w:pPr>
                    <w:jc w:val="center"/>
                    <w:rPr>
                      <w:rFonts w:hint="default" w:ascii="Times New Roman" w:hAnsi="Times New Roman" w:eastAsia="宋体" w:cs="Times New Roman"/>
                      <w:snapToGrid/>
                      <w:color w:val="auto"/>
                      <w:kern w:val="2"/>
                      <w:sz w:val="21"/>
                      <w:szCs w:val="21"/>
                      <w:highlight w:val="none"/>
                      <w:lang w:eastAsia="zh-CN"/>
                    </w:rPr>
                  </w:pPr>
                </w:p>
              </w:tc>
              <w:tc>
                <w:tcPr>
                  <w:tcW w:w="340" w:type="pct"/>
                  <w:tcBorders>
                    <w:tl2br w:val="nil"/>
                    <w:tr2bl w:val="nil"/>
                  </w:tcBorders>
                  <w:noWrap w:val="0"/>
                  <w:tcMar>
                    <w:top w:w="0" w:type="dxa"/>
                    <w:left w:w="0" w:type="dxa"/>
                    <w:bottom w:w="0" w:type="dxa"/>
                    <w:right w:w="0" w:type="dxa"/>
                  </w:tcMar>
                  <w:vAlign w:val="center"/>
                </w:tcPr>
                <w:p w14:paraId="4DE8B3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0.012 </w:t>
                  </w:r>
                </w:p>
              </w:tc>
              <w:tc>
                <w:tcPr>
                  <w:tcW w:w="418" w:type="pct"/>
                  <w:tcBorders>
                    <w:tl2br w:val="nil"/>
                    <w:tr2bl w:val="nil"/>
                  </w:tcBorders>
                  <w:noWrap w:val="0"/>
                  <w:tcMar>
                    <w:top w:w="0" w:type="dxa"/>
                    <w:left w:w="0" w:type="dxa"/>
                    <w:bottom w:w="0" w:type="dxa"/>
                    <w:right w:w="0" w:type="dxa"/>
                  </w:tcMar>
                  <w:vAlign w:val="center"/>
                </w:tcPr>
                <w:p w14:paraId="55FF0E3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429" w:type="pct"/>
                  <w:tcBorders>
                    <w:tl2br w:val="nil"/>
                    <w:tr2bl w:val="nil"/>
                  </w:tcBorders>
                  <w:noWrap w:val="0"/>
                  <w:tcMar>
                    <w:top w:w="0" w:type="dxa"/>
                    <w:left w:w="0" w:type="dxa"/>
                    <w:bottom w:w="0" w:type="dxa"/>
                    <w:right w:w="0" w:type="dxa"/>
                  </w:tcMar>
                  <w:vAlign w:val="center"/>
                </w:tcPr>
                <w:p w14:paraId="56DAAA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52" w:type="pct"/>
                  <w:tcBorders>
                    <w:tl2br w:val="nil"/>
                    <w:tr2bl w:val="nil"/>
                  </w:tcBorders>
                  <w:noWrap w:val="0"/>
                  <w:tcMar>
                    <w:top w:w="0" w:type="dxa"/>
                    <w:left w:w="0" w:type="dxa"/>
                    <w:bottom w:w="0" w:type="dxa"/>
                    <w:right w:w="0" w:type="dxa"/>
                  </w:tcMar>
                  <w:vAlign w:val="center"/>
                </w:tcPr>
                <w:p w14:paraId="5DA40486">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无组织</w:t>
                  </w:r>
                </w:p>
              </w:tc>
              <w:tc>
                <w:tcPr>
                  <w:tcW w:w="432" w:type="pct"/>
                  <w:tcBorders>
                    <w:tl2br w:val="nil"/>
                    <w:tr2bl w:val="nil"/>
                  </w:tcBorders>
                  <w:noWrap w:val="0"/>
                  <w:tcMar>
                    <w:top w:w="0" w:type="dxa"/>
                    <w:left w:w="0" w:type="dxa"/>
                    <w:bottom w:w="0" w:type="dxa"/>
                    <w:right w:w="0" w:type="dxa"/>
                  </w:tcMar>
                  <w:vAlign w:val="center"/>
                </w:tcPr>
                <w:p w14:paraId="75B22B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86" w:type="pct"/>
                  <w:tcBorders>
                    <w:tl2br w:val="nil"/>
                    <w:tr2bl w:val="nil"/>
                  </w:tcBorders>
                  <w:noWrap w:val="0"/>
                  <w:tcMar>
                    <w:top w:w="0" w:type="dxa"/>
                    <w:left w:w="0" w:type="dxa"/>
                    <w:bottom w:w="0" w:type="dxa"/>
                    <w:right w:w="0" w:type="dxa"/>
                  </w:tcMar>
                  <w:vAlign w:val="center"/>
                </w:tcPr>
                <w:p w14:paraId="7D3469C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61" w:type="pct"/>
                  <w:tcBorders>
                    <w:tl2br w:val="nil"/>
                    <w:tr2bl w:val="nil"/>
                  </w:tcBorders>
                  <w:noWrap w:val="0"/>
                  <w:tcMar>
                    <w:top w:w="0" w:type="dxa"/>
                    <w:left w:w="0" w:type="dxa"/>
                    <w:bottom w:w="0" w:type="dxa"/>
                    <w:right w:w="0" w:type="dxa"/>
                  </w:tcMar>
                  <w:vAlign w:val="center"/>
                </w:tcPr>
                <w:p w14:paraId="074176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340" w:type="pct"/>
                  <w:tcBorders>
                    <w:tl2br w:val="nil"/>
                    <w:tr2bl w:val="nil"/>
                  </w:tcBorders>
                  <w:noWrap w:val="0"/>
                  <w:tcMar>
                    <w:top w:w="0" w:type="dxa"/>
                    <w:left w:w="0" w:type="dxa"/>
                    <w:bottom w:w="0" w:type="dxa"/>
                    <w:right w:w="0" w:type="dxa"/>
                  </w:tcMar>
                  <w:vAlign w:val="center"/>
                </w:tcPr>
                <w:p w14:paraId="7440A12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0.012 </w:t>
                  </w:r>
                </w:p>
              </w:tc>
              <w:tc>
                <w:tcPr>
                  <w:tcW w:w="432" w:type="pct"/>
                  <w:tcBorders>
                    <w:tl2br w:val="nil"/>
                    <w:tr2bl w:val="nil"/>
                  </w:tcBorders>
                  <w:noWrap w:val="0"/>
                  <w:tcMar>
                    <w:top w:w="0" w:type="dxa"/>
                    <w:left w:w="0" w:type="dxa"/>
                    <w:bottom w:w="0" w:type="dxa"/>
                    <w:right w:w="0" w:type="dxa"/>
                  </w:tcMar>
                  <w:vAlign w:val="center"/>
                </w:tcPr>
                <w:p w14:paraId="7B759DE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477" w:type="pct"/>
                  <w:tcBorders>
                    <w:tl2br w:val="nil"/>
                    <w:tr2bl w:val="nil"/>
                  </w:tcBorders>
                  <w:noWrap w:val="0"/>
                  <w:tcMar>
                    <w:top w:w="0" w:type="dxa"/>
                    <w:left w:w="0" w:type="dxa"/>
                    <w:bottom w:w="0" w:type="dxa"/>
                    <w:right w:w="0" w:type="dxa"/>
                  </w:tcMar>
                  <w:vAlign w:val="center"/>
                </w:tcPr>
                <w:p w14:paraId="3C09DDA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342" w:type="pct"/>
                  <w:vMerge w:val="continue"/>
                  <w:tcBorders>
                    <w:tl2br w:val="nil"/>
                    <w:tr2bl w:val="nil"/>
                  </w:tcBorders>
                  <w:noWrap w:val="0"/>
                  <w:tcMar>
                    <w:top w:w="0" w:type="dxa"/>
                    <w:left w:w="0" w:type="dxa"/>
                    <w:bottom w:w="0" w:type="dxa"/>
                    <w:right w:w="0" w:type="dxa"/>
                  </w:tcMar>
                  <w:vAlign w:val="center"/>
                </w:tcPr>
                <w:p w14:paraId="0328D606">
                  <w:pPr>
                    <w:widowControl w:val="0"/>
                    <w:kinsoku/>
                    <w:autoSpaceDE/>
                    <w:autoSpaceDN/>
                    <w:adjustRightInd w:val="0"/>
                    <w:snapToGrid w:val="0"/>
                    <w:spacing w:line="240" w:lineRule="auto"/>
                    <w:jc w:val="center"/>
                    <w:textAlignment w:val="auto"/>
                    <w:rPr>
                      <w:rFonts w:hint="eastAsia" w:ascii="Times New Roman" w:hAnsi="Times New Roman" w:eastAsia="宋体" w:cs="Times New Roman"/>
                      <w:snapToGrid/>
                      <w:color w:val="auto"/>
                      <w:kern w:val="2"/>
                      <w:sz w:val="21"/>
                      <w:szCs w:val="21"/>
                      <w:highlight w:val="none"/>
                      <w:lang w:val="en-US" w:eastAsia="zh-CN"/>
                    </w:rPr>
                  </w:pPr>
                </w:p>
              </w:tc>
            </w:tr>
          </w:tbl>
          <w:p w14:paraId="7EC8F618">
            <w:pPr>
              <w:keepNext w:val="0"/>
              <w:keepLines w:val="0"/>
              <w:pageBreakBefore w:val="0"/>
              <w:widowControl w:val="0"/>
              <w:kinsoku/>
              <w:wordWrap/>
              <w:overflowPunct/>
              <w:topLinePunct w:val="0"/>
              <w:autoSpaceDE/>
              <w:autoSpaceDN/>
              <w:bidi w:val="0"/>
              <w:adjustRightInd/>
              <w:snapToGrid/>
              <w:spacing w:line="120" w:lineRule="exact"/>
              <w:ind w:firstLine="464" w:firstLineChars="200"/>
              <w:jc w:val="both"/>
              <w:textAlignment w:val="auto"/>
              <w:rPr>
                <w:rFonts w:ascii="Times New Roman" w:hAnsi="Times New Roman" w:eastAsia="宋体" w:cs="Times New Roman"/>
                <w:snapToGrid/>
                <w:color w:val="auto"/>
                <w:spacing w:val="-4"/>
                <w:kern w:val="2"/>
                <w:sz w:val="24"/>
                <w:szCs w:val="24"/>
                <w:highlight w:val="none"/>
                <w:lang w:eastAsia="zh-CN"/>
              </w:rPr>
            </w:pPr>
          </w:p>
          <w:p w14:paraId="54A8FB33">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b/>
                <w:color w:val="auto"/>
                <w:sz w:val="21"/>
                <w:szCs w:val="21"/>
                <w:lang w:bidi="ar"/>
              </w:rPr>
            </w:pPr>
            <w:r>
              <w:rPr>
                <w:rFonts w:hint="default" w:ascii="Times New Roman" w:hAnsi="Times New Roman" w:eastAsia="宋体" w:cs="Times New Roman"/>
                <w:b/>
                <w:bCs/>
                <w:color w:val="auto"/>
                <w:kern w:val="2"/>
                <w:sz w:val="21"/>
                <w:szCs w:val="21"/>
                <w:lang w:val="en-US" w:eastAsia="zh-CN" w:bidi="ar-SA"/>
              </w:rPr>
              <w:t>表4-3</w:t>
            </w:r>
            <w:r>
              <w:rPr>
                <w:rFonts w:hint="eastAsia" w:ascii="Times New Roman" w:eastAsia="宋体" w:cs="Times New Roman"/>
                <w:b/>
                <w:bCs/>
                <w:color w:val="auto"/>
                <w:kern w:val="2"/>
                <w:sz w:val="21"/>
                <w:szCs w:val="21"/>
                <w:lang w:val="en-US" w:eastAsia="zh-CN" w:bidi="ar-SA"/>
              </w:rPr>
              <w:t xml:space="preserve">  </w:t>
            </w:r>
            <w:r>
              <w:rPr>
                <w:b/>
                <w:color w:val="auto"/>
                <w:sz w:val="21"/>
                <w:szCs w:val="21"/>
                <w:lang w:bidi="ar"/>
              </w:rPr>
              <w:t>大气污染物有组织排放量核算表</w:t>
            </w:r>
          </w:p>
          <w:tbl>
            <w:tblPr>
              <w:tblStyle w:val="48"/>
              <w:tblW w:w="128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99"/>
              <w:gridCol w:w="2111"/>
              <w:gridCol w:w="2271"/>
              <w:gridCol w:w="2127"/>
              <w:gridCol w:w="2106"/>
              <w:gridCol w:w="2129"/>
            </w:tblGrid>
            <w:tr w14:paraId="3C878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C5C8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E97C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排放口编号</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9B44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3B6A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排放速率</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kg/h</w:t>
                  </w:r>
                  <w:r>
                    <w:rPr>
                      <w:rFonts w:hint="eastAsia" w:ascii="宋体" w:hAnsi="宋体" w:eastAsia="宋体" w:cs="宋体"/>
                      <w:b/>
                      <w:bCs/>
                      <w:i w:val="0"/>
                      <w:iCs w:val="0"/>
                      <w:color w:val="auto"/>
                      <w:kern w:val="0"/>
                      <w:sz w:val="21"/>
                      <w:szCs w:val="21"/>
                      <w:u w:val="none"/>
                      <w:lang w:val="en-US" w:eastAsia="zh-CN" w:bidi="ar"/>
                    </w:rPr>
                    <w:t>）</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024F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排放浓度</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mg/m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eastAsia" w:ascii="宋体" w:hAnsi="宋体" w:eastAsia="宋体" w:cs="宋体"/>
                      <w:b/>
                      <w:bCs/>
                      <w:i w:val="0"/>
                      <w:iCs w:val="0"/>
                      <w:color w:val="auto"/>
                      <w:kern w:val="0"/>
                      <w:sz w:val="21"/>
                      <w:szCs w:val="21"/>
                      <w:u w:val="none"/>
                      <w:lang w:val="en-US" w:eastAsia="zh-CN" w:bidi="ar"/>
                    </w:rPr>
                    <w:t>）</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9873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年排放量（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r>
            <w:tr w14:paraId="647F2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CD8AF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一般排放口</w:t>
                  </w:r>
                </w:p>
              </w:tc>
            </w:tr>
            <w:tr w14:paraId="1A3FF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vMerge w:val="restart"/>
                  <w:tcBorders>
                    <w:top w:val="single" w:color="000000" w:sz="4" w:space="0"/>
                    <w:left w:val="single" w:color="000000" w:sz="4" w:space="0"/>
                    <w:right w:val="single" w:color="000000" w:sz="4" w:space="0"/>
                  </w:tcBorders>
                  <w:shd w:val="clear" w:color="auto" w:fill="auto"/>
                  <w:noWrap/>
                  <w:vAlign w:val="center"/>
                </w:tcPr>
                <w:p w14:paraId="7334D0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1</w:t>
                  </w:r>
                </w:p>
              </w:tc>
              <w:tc>
                <w:tcPr>
                  <w:tcW w:w="821" w:type="pct"/>
                  <w:vMerge w:val="restart"/>
                  <w:tcBorders>
                    <w:top w:val="single" w:color="000000" w:sz="4" w:space="0"/>
                    <w:left w:val="single" w:color="000000" w:sz="4" w:space="0"/>
                    <w:right w:val="single" w:color="000000" w:sz="4" w:space="0"/>
                  </w:tcBorders>
                  <w:shd w:val="clear" w:color="auto" w:fill="auto"/>
                  <w:vAlign w:val="center"/>
                </w:tcPr>
                <w:p w14:paraId="354E10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排气筒</w:t>
                  </w:r>
                  <w:r>
                    <w:rPr>
                      <w:rFonts w:hint="eastAsia" w:cs="Times New Roman"/>
                      <w:i w:val="0"/>
                      <w:iCs w:val="0"/>
                      <w:color w:val="auto"/>
                      <w:kern w:val="0"/>
                      <w:sz w:val="21"/>
                      <w:szCs w:val="21"/>
                      <w:u w:val="none"/>
                      <w:lang w:val="en-US" w:eastAsia="zh-CN" w:bidi="ar"/>
                    </w:rPr>
                    <w:t>DA003</w:t>
                  </w: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8F81">
                  <w:pPr>
                    <w:keepNext w:val="0"/>
                    <w:keepLines w:val="0"/>
                    <w:widowControl/>
                    <w:suppressLineNumbers w:val="0"/>
                    <w:jc w:val="center"/>
                    <w:textAlignment w:val="center"/>
                    <w:rPr>
                      <w:rFonts w:hint="eastAsia" w:ascii="宋体" w:hAnsi="宋体" w:eastAsia="宋体" w:cs="宋体"/>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氟化物</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4B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1C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0.087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D3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0.002 </w:t>
                  </w:r>
                </w:p>
              </w:tc>
            </w:tr>
            <w:tr w14:paraId="3340C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vMerge w:val="continue"/>
                  <w:tcBorders>
                    <w:left w:val="single" w:color="000000" w:sz="4" w:space="0"/>
                    <w:right w:val="single" w:color="000000" w:sz="4" w:space="0"/>
                  </w:tcBorders>
                  <w:shd w:val="clear" w:color="auto" w:fill="auto"/>
                  <w:noWrap/>
                  <w:vAlign w:val="center"/>
                </w:tcPr>
                <w:p w14:paraId="0ADE4A45">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p>
              </w:tc>
              <w:tc>
                <w:tcPr>
                  <w:tcW w:w="821" w:type="pct"/>
                  <w:vMerge w:val="continue"/>
                  <w:tcBorders>
                    <w:left w:val="single" w:color="000000" w:sz="4" w:space="0"/>
                    <w:right w:val="single" w:color="000000" w:sz="4" w:space="0"/>
                  </w:tcBorders>
                  <w:shd w:val="clear" w:color="auto" w:fill="auto"/>
                  <w:vAlign w:val="center"/>
                </w:tcPr>
                <w:p w14:paraId="305AD155">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F210">
                  <w:pPr>
                    <w:keepNext w:val="0"/>
                    <w:keepLines w:val="0"/>
                    <w:widowControl/>
                    <w:suppressLineNumbers w:val="0"/>
                    <w:jc w:val="center"/>
                    <w:textAlignment w:val="center"/>
                    <w:rPr>
                      <w:rFonts w:hint="eastAsia" w:ascii="宋体" w:hAnsi="宋体" w:cs="宋体"/>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3151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6E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0.422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496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r>
            <w:tr w14:paraId="11C1C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vMerge w:val="continue"/>
                  <w:tcBorders>
                    <w:left w:val="single" w:color="000000" w:sz="4" w:space="0"/>
                    <w:right w:val="single" w:color="000000" w:sz="4" w:space="0"/>
                  </w:tcBorders>
                  <w:shd w:val="clear" w:color="auto" w:fill="auto"/>
                  <w:noWrap/>
                  <w:vAlign w:val="center"/>
                </w:tcPr>
                <w:p w14:paraId="594EF2C7">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p>
              </w:tc>
              <w:tc>
                <w:tcPr>
                  <w:tcW w:w="821" w:type="pct"/>
                  <w:vMerge w:val="continue"/>
                  <w:tcBorders>
                    <w:left w:val="single" w:color="000000" w:sz="4" w:space="0"/>
                    <w:right w:val="single" w:color="000000" w:sz="4" w:space="0"/>
                  </w:tcBorders>
                  <w:shd w:val="clear" w:color="auto" w:fill="auto"/>
                  <w:vAlign w:val="center"/>
                </w:tcPr>
                <w:p w14:paraId="3005AB1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3E0F">
                  <w:pPr>
                    <w:keepNext w:val="0"/>
                    <w:keepLines w:val="0"/>
                    <w:widowControl/>
                    <w:suppressLineNumbers w:val="0"/>
                    <w:jc w:val="center"/>
                    <w:textAlignment w:val="center"/>
                    <w:rPr>
                      <w:rFonts w:hint="eastAsia" w:ascii="宋体" w:hAnsi="宋体" w:cs="宋体"/>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X</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FC8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9B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3.946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FE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r>
            <w:tr w14:paraId="49277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vMerge w:val="continue"/>
                  <w:tcBorders>
                    <w:left w:val="single" w:color="000000" w:sz="4" w:space="0"/>
                    <w:bottom w:val="single" w:color="000000" w:sz="4" w:space="0"/>
                    <w:right w:val="single" w:color="000000" w:sz="4" w:space="0"/>
                  </w:tcBorders>
                  <w:shd w:val="clear" w:color="auto" w:fill="auto"/>
                  <w:noWrap/>
                  <w:vAlign w:val="center"/>
                </w:tcPr>
                <w:p w14:paraId="521CCD1C">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p>
              </w:tc>
              <w:tc>
                <w:tcPr>
                  <w:tcW w:w="821" w:type="pct"/>
                  <w:vMerge w:val="continue"/>
                  <w:tcBorders>
                    <w:left w:val="single" w:color="000000" w:sz="4" w:space="0"/>
                    <w:bottom w:val="single" w:color="000000" w:sz="4" w:space="0"/>
                    <w:right w:val="single" w:color="000000" w:sz="4" w:space="0"/>
                  </w:tcBorders>
                  <w:shd w:val="clear" w:color="auto" w:fill="auto"/>
                  <w:vAlign w:val="center"/>
                </w:tcPr>
                <w:p w14:paraId="5E7DF37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22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1ABF">
                  <w:pPr>
                    <w:keepNext w:val="0"/>
                    <w:keepLines w:val="0"/>
                    <w:widowControl/>
                    <w:suppressLineNumbers w:val="0"/>
                    <w:jc w:val="center"/>
                    <w:textAlignment w:val="center"/>
                    <w:rPr>
                      <w:rFonts w:hint="eastAsia" w:ascii="宋体" w:hAnsi="宋体" w:cs="宋体"/>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2F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CC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0.604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B4C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r>
            <w:tr w14:paraId="54BEA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FC2AE">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w:t>
                  </w:r>
                </w:p>
              </w:tc>
              <w:tc>
                <w:tcPr>
                  <w:tcW w:w="8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0B071">
                  <w:pPr>
                    <w:keepNext w:val="0"/>
                    <w:keepLines w:val="0"/>
                    <w:widowControl/>
                    <w:suppressLineNumbers w:val="0"/>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排气筒</w:t>
                  </w:r>
                  <w:r>
                    <w:rPr>
                      <w:rFonts w:hint="eastAsia" w:cs="Times New Roman"/>
                      <w:i w:val="0"/>
                      <w:iCs w:val="0"/>
                      <w:color w:val="auto"/>
                      <w:kern w:val="0"/>
                      <w:sz w:val="21"/>
                      <w:szCs w:val="21"/>
                      <w:u w:val="none"/>
                      <w:lang w:val="en-US" w:eastAsia="zh-CN" w:bidi="ar"/>
                    </w:rPr>
                    <w:t>DA004</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8322C">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油烟</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7819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B043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1.2 </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B26A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r>
            <w:tr w14:paraId="303C4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2D2E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主要排放口</w:t>
                  </w:r>
                </w:p>
              </w:tc>
            </w:tr>
            <w:tr w14:paraId="6F544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46A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3</w:t>
                  </w:r>
                </w:p>
              </w:tc>
              <w:tc>
                <w:tcPr>
                  <w:tcW w:w="8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9B98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排气筒</w:t>
                  </w:r>
                  <w:r>
                    <w:rPr>
                      <w:rFonts w:hint="eastAsia" w:cs="Times New Roman"/>
                      <w:i w:val="0"/>
                      <w:iCs w:val="0"/>
                      <w:color w:val="auto"/>
                      <w:kern w:val="0"/>
                      <w:sz w:val="21"/>
                      <w:szCs w:val="21"/>
                      <w:u w:val="none"/>
                      <w:lang w:val="en-US" w:eastAsia="zh-CN" w:bidi="ar"/>
                    </w:rPr>
                    <w:t>DA001</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E04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颗粒物</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2F5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0.012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2A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A8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0.023 </w:t>
                  </w:r>
                </w:p>
              </w:tc>
            </w:tr>
            <w:tr w14:paraId="648E3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E22C5">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0E16A">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ECC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非甲烷总烃</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DCA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0.312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6C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1.7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9E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0.602 </w:t>
                  </w:r>
                </w:p>
              </w:tc>
            </w:tr>
            <w:tr w14:paraId="5BD3D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DDB49">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D7E74">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CDBF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苯系物</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70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0.155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8A4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0.9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C655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0.300 </w:t>
                  </w:r>
                </w:p>
              </w:tc>
            </w:tr>
            <w:tr w14:paraId="0CA40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69434">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7EB96">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B5D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臭气浓度</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55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4D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0C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43071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2DC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4</w:t>
                  </w:r>
                </w:p>
              </w:tc>
              <w:tc>
                <w:tcPr>
                  <w:tcW w:w="8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9CF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排气筒</w:t>
                  </w:r>
                  <w:r>
                    <w:rPr>
                      <w:rFonts w:hint="eastAsia" w:cs="Times New Roman"/>
                      <w:i w:val="0"/>
                      <w:iCs w:val="0"/>
                      <w:color w:val="auto"/>
                      <w:kern w:val="0"/>
                      <w:sz w:val="21"/>
                      <w:szCs w:val="21"/>
                      <w:u w:val="none"/>
                      <w:lang w:val="en-US" w:eastAsia="zh-CN" w:bidi="ar"/>
                    </w:rPr>
                    <w:t>DA002</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C642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非甲烷总烃</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EE1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0.035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C3B5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0.9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30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0.068 </w:t>
                  </w:r>
                </w:p>
              </w:tc>
            </w:tr>
            <w:tr w14:paraId="6DA3F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440E">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32FB0">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5A7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苯系物</w:t>
                  </w:r>
                </w:p>
              </w:tc>
              <w:tc>
                <w:tcPr>
                  <w:tcW w:w="2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8C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2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4E1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3E4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0.017 </w:t>
                  </w:r>
                </w:p>
              </w:tc>
            </w:tr>
            <w:tr w14:paraId="5DA42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9B44">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E60F7">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34A4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臭气浓度</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0DB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DEA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8E3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2F754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67F44">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525EA">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03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FA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A7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73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r>
            <w:tr w14:paraId="6E85F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90BA9">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D299A">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8A0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X</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9FD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0.133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065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3.3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B2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r>
            <w:tr w14:paraId="5C157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9878">
                  <w:pPr>
                    <w:jc w:val="center"/>
                    <w:rPr>
                      <w:rFonts w:hint="default" w:ascii="Times New Roman" w:hAnsi="Times New Roman" w:eastAsia="宋体" w:cs="Times New Roman"/>
                      <w:i w:val="0"/>
                      <w:iCs w:val="0"/>
                      <w:color w:val="auto"/>
                      <w:sz w:val="21"/>
                      <w:szCs w:val="21"/>
                      <w:u w:val="none"/>
                    </w:rPr>
                  </w:pPr>
                </w:p>
              </w:tc>
              <w:tc>
                <w:tcPr>
                  <w:tcW w:w="8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FEBB9">
                  <w:pPr>
                    <w:jc w:val="center"/>
                    <w:rPr>
                      <w:rFonts w:hint="eastAsia" w:ascii="宋体" w:hAnsi="宋体" w:eastAsia="宋体" w:cs="宋体"/>
                      <w:i w:val="0"/>
                      <w:iCs w:val="0"/>
                      <w:color w:val="auto"/>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EFC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颗粒物</w:t>
                  </w:r>
                </w:p>
              </w:tc>
              <w:tc>
                <w:tcPr>
                  <w:tcW w:w="2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B81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0.020 </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8A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0.5 </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997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0.039 </w:t>
                  </w:r>
                </w:p>
              </w:tc>
            </w:tr>
            <w:tr w14:paraId="3F844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162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有组织排放合计</w:t>
                  </w:r>
                  <w:r>
                    <w:rPr>
                      <w:rFonts w:hint="default" w:ascii="Times New Roman" w:hAnsi="Times New Roman" w:eastAsia="宋体" w:cs="Times New Roman"/>
                      <w:i w:val="0"/>
                      <w:iCs w:val="0"/>
                      <w:color w:val="auto"/>
                      <w:kern w:val="0"/>
                      <w:sz w:val="21"/>
                      <w:szCs w:val="21"/>
                      <w:u w:val="none"/>
                      <w:lang w:val="en-US" w:eastAsia="zh-CN" w:bidi="ar"/>
                    </w:rPr>
                    <w:t>t/a</w:t>
                  </w: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6ABF4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颗粒物</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7374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0.075 </w:t>
                  </w:r>
                </w:p>
              </w:tc>
            </w:tr>
            <w:tr w14:paraId="546BC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82B05">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6A43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非甲烷总烃</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B4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0.670 </w:t>
                  </w:r>
                </w:p>
              </w:tc>
            </w:tr>
            <w:tr w14:paraId="34AF7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C6855">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78638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苯系物</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F0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0.316 </w:t>
                  </w:r>
                </w:p>
              </w:tc>
            </w:tr>
            <w:tr w14:paraId="3D5EA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78B77">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8742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2F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0.036 </w:t>
                  </w:r>
                </w:p>
              </w:tc>
            </w:tr>
            <w:tr w14:paraId="0DF46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7D317">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222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X</w:t>
                  </w:r>
                </w:p>
              </w:tc>
              <w:tc>
                <w:tcPr>
                  <w:tcW w:w="2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E26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0.341 </w:t>
                  </w:r>
                </w:p>
              </w:tc>
            </w:tr>
            <w:tr w14:paraId="01093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90DF0">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EE8FA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油烟</w:t>
                  </w:r>
                </w:p>
              </w:tc>
              <w:tc>
                <w:tcPr>
                  <w:tcW w:w="8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855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r>
            <w:tr w14:paraId="07D27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04049">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5A7D6">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氟化物</w:t>
                  </w:r>
                </w:p>
              </w:tc>
              <w:tc>
                <w:tcPr>
                  <w:tcW w:w="8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A99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0.002</w:t>
                  </w:r>
                </w:p>
              </w:tc>
            </w:tr>
            <w:tr w14:paraId="33B17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3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B0D22">
                  <w:pPr>
                    <w:jc w:val="center"/>
                    <w:rPr>
                      <w:rFonts w:hint="eastAsia" w:ascii="宋体" w:hAnsi="宋体" w:eastAsia="宋体" w:cs="宋体"/>
                      <w:i w:val="0"/>
                      <w:iCs w:val="0"/>
                      <w:color w:val="auto"/>
                      <w:sz w:val="21"/>
                      <w:szCs w:val="21"/>
                      <w:u w:val="none"/>
                    </w:rPr>
                  </w:pPr>
                </w:p>
              </w:tc>
              <w:tc>
                <w:tcPr>
                  <w:tcW w:w="25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63B41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臭气浓度</w:t>
                  </w:r>
                </w:p>
              </w:tc>
              <w:tc>
                <w:tcPr>
                  <w:tcW w:w="8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39E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bl>
          <w:p w14:paraId="243A0338">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表4-4</w:t>
            </w:r>
            <w:r>
              <w:rPr>
                <w:rFonts w:hint="eastAsia" w:ascii="Times New Roman" w:eastAsia="宋体" w:cs="Times New Roman"/>
                <w:b/>
                <w:bCs/>
                <w:color w:val="auto"/>
                <w:kern w:val="2"/>
                <w:sz w:val="21"/>
                <w:szCs w:val="21"/>
                <w:lang w:val="en-US" w:eastAsia="zh-CN" w:bidi="ar-SA"/>
              </w:rPr>
              <w:t xml:space="preserve"> </w:t>
            </w:r>
            <w:r>
              <w:rPr>
                <w:b/>
                <w:color w:val="auto"/>
                <w:sz w:val="21"/>
                <w:szCs w:val="21"/>
                <w:lang w:bidi="ar"/>
              </w:rPr>
              <w:t>大气污染物无组织排放核算表</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59"/>
              <w:gridCol w:w="741"/>
              <w:gridCol w:w="1217"/>
              <w:gridCol w:w="1099"/>
              <w:gridCol w:w="832"/>
              <w:gridCol w:w="3971"/>
              <w:gridCol w:w="1825"/>
              <w:gridCol w:w="1016"/>
              <w:gridCol w:w="1273"/>
            </w:tblGrid>
            <w:tr w14:paraId="35EF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335" w:type="pct"/>
                  <w:vMerge w:val="restart"/>
                  <w:shd w:val="clear" w:color="auto" w:fill="auto"/>
                  <w:vAlign w:val="center"/>
                </w:tcPr>
                <w:p w14:paraId="516A09D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289" w:type="pct"/>
                  <w:vMerge w:val="restart"/>
                  <w:shd w:val="clear" w:color="auto" w:fill="auto"/>
                  <w:vAlign w:val="center"/>
                </w:tcPr>
                <w:p w14:paraId="340D6D9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排放口编号</w:t>
                  </w:r>
                </w:p>
              </w:tc>
              <w:tc>
                <w:tcPr>
                  <w:tcW w:w="474" w:type="pct"/>
                  <w:vMerge w:val="restart"/>
                  <w:shd w:val="clear" w:color="auto" w:fill="auto"/>
                  <w:vAlign w:val="center"/>
                </w:tcPr>
                <w:p w14:paraId="0E1E052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产污环节</w:t>
                  </w:r>
                </w:p>
              </w:tc>
              <w:tc>
                <w:tcPr>
                  <w:tcW w:w="428" w:type="pct"/>
                  <w:vMerge w:val="restart"/>
                  <w:shd w:val="clear" w:color="auto" w:fill="auto"/>
                  <w:vAlign w:val="center"/>
                </w:tcPr>
                <w:p w14:paraId="1E416E9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污染物种类</w:t>
                  </w:r>
                </w:p>
              </w:tc>
              <w:tc>
                <w:tcPr>
                  <w:tcW w:w="324" w:type="pct"/>
                  <w:vMerge w:val="restart"/>
                  <w:shd w:val="clear" w:color="auto" w:fill="auto"/>
                  <w:vAlign w:val="center"/>
                </w:tcPr>
                <w:p w14:paraId="4A99C39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主要污染防治措施</w:t>
                  </w:r>
                </w:p>
              </w:tc>
              <w:tc>
                <w:tcPr>
                  <w:tcW w:w="2650" w:type="pct"/>
                  <w:gridSpan w:val="3"/>
                  <w:shd w:val="clear" w:color="auto" w:fill="auto"/>
                  <w:vAlign w:val="center"/>
                </w:tcPr>
                <w:p w14:paraId="11359E0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国家或地方污染物排放标准</w:t>
                  </w:r>
                </w:p>
              </w:tc>
              <w:tc>
                <w:tcPr>
                  <w:tcW w:w="495" w:type="pct"/>
                  <w:vMerge w:val="restart"/>
                  <w:shd w:val="clear" w:color="auto" w:fill="auto"/>
                  <w:vAlign w:val="center"/>
                </w:tcPr>
                <w:p w14:paraId="5F09056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r>
            <w:tr w14:paraId="2772B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335" w:type="pct"/>
                  <w:vMerge w:val="continue"/>
                  <w:shd w:val="clear" w:color="auto" w:fill="auto"/>
                  <w:vAlign w:val="center"/>
                </w:tcPr>
                <w:p w14:paraId="62690D27">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79E2B16F">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41EA0EE8">
                  <w:pPr>
                    <w:jc w:val="center"/>
                    <w:rPr>
                      <w:rFonts w:hint="default" w:ascii="Times New Roman" w:hAnsi="Times New Roman" w:eastAsia="宋体" w:cs="Times New Roman"/>
                      <w:b/>
                      <w:bCs/>
                      <w:i w:val="0"/>
                      <w:iCs w:val="0"/>
                      <w:color w:val="auto"/>
                      <w:sz w:val="21"/>
                      <w:szCs w:val="21"/>
                      <w:u w:val="none"/>
                    </w:rPr>
                  </w:pPr>
                </w:p>
              </w:tc>
              <w:tc>
                <w:tcPr>
                  <w:tcW w:w="428" w:type="pct"/>
                  <w:vMerge w:val="continue"/>
                  <w:shd w:val="clear" w:color="auto" w:fill="auto"/>
                  <w:vAlign w:val="center"/>
                </w:tcPr>
                <w:p w14:paraId="6CB5A04A">
                  <w:pPr>
                    <w:jc w:val="center"/>
                    <w:rPr>
                      <w:rFonts w:hint="default" w:ascii="Times New Roman" w:hAnsi="Times New Roman" w:eastAsia="宋体" w:cs="Times New Roman"/>
                      <w:b/>
                      <w:bCs/>
                      <w:i w:val="0"/>
                      <w:iCs w:val="0"/>
                      <w:color w:val="auto"/>
                      <w:sz w:val="21"/>
                      <w:szCs w:val="21"/>
                      <w:u w:val="none"/>
                    </w:rPr>
                  </w:pPr>
                </w:p>
              </w:tc>
              <w:tc>
                <w:tcPr>
                  <w:tcW w:w="324" w:type="pct"/>
                  <w:vMerge w:val="continue"/>
                  <w:shd w:val="clear" w:color="auto" w:fill="auto"/>
                  <w:vAlign w:val="center"/>
                </w:tcPr>
                <w:p w14:paraId="32EFA5A7">
                  <w:pPr>
                    <w:jc w:val="center"/>
                    <w:rPr>
                      <w:rFonts w:hint="default" w:ascii="Times New Roman" w:hAnsi="Times New Roman" w:eastAsia="宋体" w:cs="Times New Roman"/>
                      <w:b/>
                      <w:bCs/>
                      <w:i w:val="0"/>
                      <w:iCs w:val="0"/>
                      <w:color w:val="auto"/>
                      <w:sz w:val="21"/>
                      <w:szCs w:val="21"/>
                      <w:u w:val="none"/>
                    </w:rPr>
                  </w:pPr>
                </w:p>
              </w:tc>
              <w:tc>
                <w:tcPr>
                  <w:tcW w:w="1547" w:type="pct"/>
                  <w:shd w:val="clear" w:color="auto" w:fill="auto"/>
                  <w:vAlign w:val="center"/>
                </w:tcPr>
                <w:p w14:paraId="4097B3E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标准名称</w:t>
                  </w:r>
                </w:p>
              </w:tc>
              <w:tc>
                <w:tcPr>
                  <w:tcW w:w="1103" w:type="pct"/>
                  <w:gridSpan w:val="2"/>
                  <w:shd w:val="clear" w:color="auto" w:fill="auto"/>
                  <w:vAlign w:val="center"/>
                </w:tcPr>
                <w:p w14:paraId="6D59488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浓度限值</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mg/m</w:t>
                  </w:r>
                  <w:r>
                    <w:rPr>
                      <w:rStyle w:val="165"/>
                      <w:rFonts w:eastAsia="宋体"/>
                      <w:color w:val="auto"/>
                      <w:lang w:val="en-US" w:eastAsia="zh-CN" w:bidi="ar"/>
                    </w:rPr>
                    <w:t>3</w:t>
                  </w:r>
                  <w:r>
                    <w:rPr>
                      <w:rFonts w:hint="eastAsia" w:ascii="宋体" w:hAnsi="宋体" w:eastAsia="宋体" w:cs="宋体"/>
                      <w:b/>
                      <w:bCs/>
                      <w:i w:val="0"/>
                      <w:iCs w:val="0"/>
                      <w:color w:val="auto"/>
                      <w:kern w:val="0"/>
                      <w:sz w:val="21"/>
                      <w:szCs w:val="21"/>
                      <w:u w:val="none"/>
                      <w:lang w:val="en-US" w:eastAsia="zh-CN" w:bidi="ar"/>
                    </w:rPr>
                    <w:t>）</w:t>
                  </w:r>
                </w:p>
              </w:tc>
              <w:tc>
                <w:tcPr>
                  <w:tcW w:w="495" w:type="pct"/>
                  <w:vMerge w:val="continue"/>
                  <w:shd w:val="clear" w:color="auto" w:fill="auto"/>
                  <w:vAlign w:val="center"/>
                </w:tcPr>
                <w:p w14:paraId="4CAA3F8D">
                  <w:pPr>
                    <w:jc w:val="center"/>
                    <w:rPr>
                      <w:rFonts w:hint="default" w:ascii="Times New Roman" w:hAnsi="Times New Roman" w:eastAsia="宋体" w:cs="Times New Roman"/>
                      <w:b/>
                      <w:bCs/>
                      <w:i w:val="0"/>
                      <w:iCs w:val="0"/>
                      <w:color w:val="auto"/>
                      <w:sz w:val="21"/>
                      <w:szCs w:val="21"/>
                      <w:u w:val="none"/>
                    </w:rPr>
                  </w:pPr>
                </w:p>
              </w:tc>
            </w:tr>
            <w:tr w14:paraId="477A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335" w:type="pct"/>
                  <w:vMerge w:val="restart"/>
                  <w:shd w:val="clear" w:color="auto" w:fill="auto"/>
                  <w:vAlign w:val="center"/>
                </w:tcPr>
                <w:p w14:paraId="62ACAEE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1</w:t>
                  </w:r>
                </w:p>
              </w:tc>
              <w:tc>
                <w:tcPr>
                  <w:tcW w:w="289" w:type="pct"/>
                  <w:vMerge w:val="restart"/>
                  <w:shd w:val="clear" w:color="auto" w:fill="auto"/>
                  <w:vAlign w:val="center"/>
                </w:tcPr>
                <w:p w14:paraId="4657FFE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Style w:val="166"/>
                      <w:rFonts w:hint="eastAsia"/>
                      <w:color w:val="auto"/>
                      <w:lang w:val="en-US" w:eastAsia="zh-CN" w:bidi="ar"/>
                    </w:rPr>
                    <w:t>/</w:t>
                  </w:r>
                </w:p>
              </w:tc>
              <w:tc>
                <w:tcPr>
                  <w:tcW w:w="474" w:type="pct"/>
                  <w:vMerge w:val="restart"/>
                  <w:shd w:val="clear" w:color="auto" w:fill="auto"/>
                  <w:vAlign w:val="center"/>
                </w:tcPr>
                <w:p w14:paraId="59F5BD5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Style w:val="167"/>
                      <w:rFonts w:hint="eastAsia"/>
                      <w:color w:val="auto"/>
                      <w:lang w:val="en-US" w:eastAsia="zh-CN" w:bidi="ar"/>
                    </w:rPr>
                    <w:t>生产全程</w:t>
                  </w:r>
                </w:p>
              </w:tc>
              <w:tc>
                <w:tcPr>
                  <w:tcW w:w="428" w:type="pct"/>
                  <w:shd w:val="clear" w:color="auto" w:fill="auto"/>
                  <w:vAlign w:val="center"/>
                </w:tcPr>
                <w:p w14:paraId="64B61BCC">
                  <w:pPr>
                    <w:pStyle w:val="109"/>
                    <w:keepNext w:val="0"/>
                    <w:keepLines w:val="0"/>
                    <w:pageBreakBefore w:val="0"/>
                    <w:tabs>
                      <w:tab w:val="left" w:pos="-2848"/>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i w:val="0"/>
                      <w:iCs w:val="0"/>
                      <w:color w:val="auto"/>
                      <w:kern w:val="2"/>
                      <w:sz w:val="21"/>
                      <w:szCs w:val="21"/>
                      <w:u w:val="none"/>
                      <w:lang w:val="en-US" w:eastAsia="zh-CN" w:bidi="ar-SA"/>
                    </w:rPr>
                  </w:pPr>
                  <w:r>
                    <w:rPr>
                      <w:color w:val="auto"/>
                      <w:szCs w:val="21"/>
                    </w:rPr>
                    <w:t>颗粒物</w:t>
                  </w:r>
                </w:p>
              </w:tc>
              <w:tc>
                <w:tcPr>
                  <w:tcW w:w="324" w:type="pct"/>
                  <w:vMerge w:val="restart"/>
                  <w:shd w:val="clear" w:color="auto" w:fill="auto"/>
                  <w:vAlign w:val="center"/>
                </w:tcPr>
                <w:p w14:paraId="0BD242C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lang w:val="en-US" w:eastAsia="zh-CN"/>
                    </w:rPr>
                  </w:pPr>
                  <w:r>
                    <w:rPr>
                      <w:color w:val="auto"/>
                      <w:sz w:val="21"/>
                      <w:szCs w:val="21"/>
                    </w:rPr>
                    <w:t>加强车间通风换气</w:t>
                  </w:r>
                </w:p>
              </w:tc>
              <w:tc>
                <w:tcPr>
                  <w:tcW w:w="1547" w:type="pct"/>
                  <w:shd w:val="clear" w:color="auto" w:fill="auto"/>
                  <w:vAlign w:val="center"/>
                </w:tcPr>
                <w:p w14:paraId="541D9160">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广东省《大气污染物排放限值》（DB44/27-2001）第二时段无组织排放浓度限值</w:t>
                  </w:r>
                </w:p>
              </w:tc>
              <w:tc>
                <w:tcPr>
                  <w:tcW w:w="1103" w:type="pct"/>
                  <w:gridSpan w:val="2"/>
                  <w:shd w:val="clear" w:color="auto" w:fill="auto"/>
                  <w:vAlign w:val="center"/>
                </w:tcPr>
                <w:p w14:paraId="393E740E">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1.0</w:t>
                  </w:r>
                </w:p>
              </w:tc>
              <w:tc>
                <w:tcPr>
                  <w:tcW w:w="495" w:type="pct"/>
                  <w:shd w:val="clear" w:color="auto" w:fill="auto"/>
                  <w:vAlign w:val="center"/>
                </w:tcPr>
                <w:p w14:paraId="2627ADC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2.</w:t>
                  </w:r>
                  <w:r>
                    <w:rPr>
                      <w:rFonts w:hint="eastAsia" w:cs="Times New Roman"/>
                      <w:i w:val="0"/>
                      <w:iCs w:val="0"/>
                      <w:color w:val="auto"/>
                      <w:kern w:val="0"/>
                      <w:sz w:val="21"/>
                      <w:szCs w:val="21"/>
                      <w:u w:val="none"/>
                      <w:lang w:val="en-US" w:eastAsia="zh-CN" w:bidi="ar"/>
                    </w:rPr>
                    <w:t>232</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70148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335" w:type="pct"/>
                  <w:vMerge w:val="continue"/>
                  <w:shd w:val="clear" w:color="auto" w:fill="auto"/>
                  <w:vAlign w:val="center"/>
                </w:tcPr>
                <w:p w14:paraId="7A0659F6">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00D2F7F0">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2EA4B9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428" w:type="pct"/>
                  <w:vMerge w:val="restart"/>
                  <w:shd w:val="clear" w:color="auto" w:fill="auto"/>
                  <w:vAlign w:val="center"/>
                </w:tcPr>
                <w:p w14:paraId="5CB177B8">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olor w:val="auto"/>
                      <w:sz w:val="21"/>
                      <w:szCs w:val="21"/>
                      <w:lang w:val="en-US" w:eastAsia="zh-CN" w:bidi="ar"/>
                    </w:rPr>
                    <w:t>VOCs（以</w:t>
                  </w:r>
                  <w:r>
                    <w:rPr>
                      <w:rFonts w:hint="eastAsia"/>
                      <w:color w:val="auto"/>
                      <w:sz w:val="21"/>
                      <w:szCs w:val="21"/>
                      <w:lang w:bidi="ar"/>
                    </w:rPr>
                    <w:t>N</w:t>
                  </w:r>
                  <w:r>
                    <w:rPr>
                      <w:rFonts w:hint="eastAsia"/>
                      <w:color w:val="auto"/>
                      <w:sz w:val="21"/>
                      <w:szCs w:val="21"/>
                      <w:lang w:val="en-US" w:eastAsia="zh-CN" w:bidi="ar"/>
                    </w:rPr>
                    <w:t>M</w:t>
                  </w:r>
                  <w:r>
                    <w:rPr>
                      <w:rFonts w:hint="eastAsia"/>
                      <w:color w:val="auto"/>
                      <w:sz w:val="21"/>
                      <w:szCs w:val="21"/>
                      <w:lang w:bidi="ar"/>
                    </w:rPr>
                    <w:t>HC</w:t>
                  </w:r>
                  <w:r>
                    <w:rPr>
                      <w:rFonts w:hint="eastAsia"/>
                      <w:color w:val="auto"/>
                      <w:sz w:val="21"/>
                      <w:szCs w:val="21"/>
                      <w:lang w:val="en-US" w:eastAsia="zh-CN" w:bidi="ar"/>
                    </w:rPr>
                    <w:t>计）</w:t>
                  </w:r>
                </w:p>
              </w:tc>
              <w:tc>
                <w:tcPr>
                  <w:tcW w:w="324" w:type="pct"/>
                  <w:vMerge w:val="continue"/>
                  <w:shd w:val="clear" w:color="auto" w:fill="auto"/>
                  <w:vAlign w:val="center"/>
                </w:tcPr>
                <w:p w14:paraId="2A1DFA1A">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vMerge w:val="restart"/>
                  <w:shd w:val="clear" w:color="auto" w:fill="auto"/>
                  <w:vAlign w:val="center"/>
                </w:tcPr>
                <w:p w14:paraId="30FE725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rFonts w:hint="eastAsia"/>
                      <w:color w:val="auto"/>
                      <w:sz w:val="21"/>
                      <w:szCs w:val="21"/>
                    </w:rPr>
                    <w:t>广东省《固定污染源挥发性有机物综合排放标准》（DB44/2367-2022）表3厂区内VOCs 无组织排放限值要求</w:t>
                  </w:r>
                </w:p>
              </w:tc>
              <w:tc>
                <w:tcPr>
                  <w:tcW w:w="711" w:type="pct"/>
                  <w:shd w:val="clear" w:color="auto" w:fill="auto"/>
                  <w:vAlign w:val="center"/>
                </w:tcPr>
                <w:p w14:paraId="4992ADC0">
                  <w:pPr>
                    <w:keepNext w:val="0"/>
                    <w:keepLines w:val="0"/>
                    <w:pageBreakBefore w:val="0"/>
                    <w:widowControl/>
                    <w:tabs>
                      <w:tab w:val="left" w:pos="452"/>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监控点处1小时平均浓度值</w:t>
                  </w:r>
                </w:p>
              </w:tc>
              <w:tc>
                <w:tcPr>
                  <w:tcW w:w="391" w:type="pct"/>
                  <w:shd w:val="clear" w:color="auto" w:fill="auto"/>
                  <w:vAlign w:val="center"/>
                </w:tcPr>
                <w:p w14:paraId="2C798A20">
                  <w:pPr>
                    <w:keepNext w:val="0"/>
                    <w:keepLines w:val="0"/>
                    <w:pageBreakBefore w:val="0"/>
                    <w:widowControl/>
                    <w:tabs>
                      <w:tab w:val="left" w:pos="452"/>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rFonts w:hint="eastAsia"/>
                      <w:color w:val="auto"/>
                      <w:sz w:val="21"/>
                      <w:szCs w:val="21"/>
                    </w:rPr>
                    <w:t>6</w:t>
                  </w:r>
                </w:p>
              </w:tc>
              <w:tc>
                <w:tcPr>
                  <w:tcW w:w="495" w:type="pct"/>
                  <w:vMerge w:val="restart"/>
                  <w:shd w:val="clear" w:color="auto" w:fill="auto"/>
                  <w:vAlign w:val="center"/>
                </w:tcPr>
                <w:p w14:paraId="02EA295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 xml:space="preserve">0.352 </w:t>
                  </w:r>
                </w:p>
              </w:tc>
            </w:tr>
            <w:tr w14:paraId="5BB7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335" w:type="pct"/>
                  <w:vMerge w:val="continue"/>
                  <w:shd w:val="clear" w:color="auto" w:fill="auto"/>
                  <w:vAlign w:val="center"/>
                </w:tcPr>
                <w:p w14:paraId="6B7FCED0">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590CAE9B">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65743D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28" w:type="pct"/>
                  <w:vMerge w:val="continue"/>
                  <w:shd w:val="clear" w:color="auto" w:fill="auto"/>
                  <w:vAlign w:val="center"/>
                </w:tcPr>
                <w:p w14:paraId="5681D7CB">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324" w:type="pct"/>
                  <w:vMerge w:val="continue"/>
                  <w:shd w:val="clear" w:color="auto" w:fill="auto"/>
                  <w:vAlign w:val="center"/>
                </w:tcPr>
                <w:p w14:paraId="6F90A841">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vMerge w:val="continue"/>
                  <w:shd w:val="clear" w:color="auto" w:fill="auto"/>
                  <w:vAlign w:val="center"/>
                </w:tcPr>
                <w:p w14:paraId="79AB7A39">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711" w:type="pct"/>
                  <w:shd w:val="clear" w:color="auto" w:fill="auto"/>
                  <w:vAlign w:val="center"/>
                </w:tcPr>
                <w:p w14:paraId="1616E103">
                  <w:pPr>
                    <w:keepNext w:val="0"/>
                    <w:keepLines w:val="0"/>
                    <w:pageBreakBefore w:val="0"/>
                    <w:widowControl/>
                    <w:tabs>
                      <w:tab w:val="left" w:pos="452"/>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监控点处任意一次浓度值</w:t>
                  </w:r>
                </w:p>
              </w:tc>
              <w:tc>
                <w:tcPr>
                  <w:tcW w:w="391" w:type="pct"/>
                  <w:shd w:val="clear" w:color="auto" w:fill="auto"/>
                  <w:vAlign w:val="center"/>
                </w:tcPr>
                <w:p w14:paraId="75E6BACC">
                  <w:pPr>
                    <w:keepNext w:val="0"/>
                    <w:keepLines w:val="0"/>
                    <w:pageBreakBefore w:val="0"/>
                    <w:widowControl/>
                    <w:tabs>
                      <w:tab w:val="left" w:pos="452"/>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rFonts w:hint="eastAsia"/>
                      <w:color w:val="auto"/>
                      <w:sz w:val="21"/>
                      <w:szCs w:val="21"/>
                    </w:rPr>
                    <w:t>20</w:t>
                  </w:r>
                </w:p>
              </w:tc>
              <w:tc>
                <w:tcPr>
                  <w:tcW w:w="495" w:type="pct"/>
                  <w:vMerge w:val="continue"/>
                  <w:shd w:val="clear" w:color="auto" w:fill="auto"/>
                  <w:vAlign w:val="center"/>
                </w:tcPr>
                <w:p w14:paraId="106FC5A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p>
              </w:tc>
            </w:tr>
            <w:tr w14:paraId="2539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trPr>
              <w:tc>
                <w:tcPr>
                  <w:tcW w:w="335" w:type="pct"/>
                  <w:vMerge w:val="continue"/>
                  <w:shd w:val="clear" w:color="auto" w:fill="auto"/>
                  <w:vAlign w:val="center"/>
                </w:tcPr>
                <w:p w14:paraId="1384BA7E">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5B4BACDA">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5B1A59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428" w:type="pct"/>
                  <w:shd w:val="clear" w:color="auto" w:fill="auto"/>
                  <w:vAlign w:val="center"/>
                </w:tcPr>
                <w:p w14:paraId="1480AEB2">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color w:val="auto"/>
                      <w:sz w:val="21"/>
                      <w:szCs w:val="21"/>
                      <w:lang w:bidi="ar"/>
                    </w:rPr>
                    <w:t>苯系物</w:t>
                  </w:r>
                </w:p>
              </w:tc>
              <w:tc>
                <w:tcPr>
                  <w:tcW w:w="324" w:type="pct"/>
                  <w:vMerge w:val="continue"/>
                  <w:shd w:val="clear" w:color="auto" w:fill="auto"/>
                  <w:vAlign w:val="center"/>
                </w:tcPr>
                <w:p w14:paraId="463EA0E8">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shd w:val="clear" w:color="auto" w:fill="auto"/>
                  <w:vAlign w:val="center"/>
                </w:tcPr>
                <w:p w14:paraId="2F83B527">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kern w:val="2"/>
                      <w:sz w:val="21"/>
                      <w:szCs w:val="21"/>
                      <w:u w:val="none"/>
                      <w:lang w:val="en-US" w:eastAsia="zh-CN" w:bidi="ar-SA"/>
                    </w:rPr>
                  </w:pPr>
                  <w:r>
                    <w:rPr>
                      <w:color w:val="auto"/>
                      <w:sz w:val="21"/>
                      <w:szCs w:val="21"/>
                    </w:rPr>
                    <w:t>广东省《大气污染物排放限值》（DB44/27-2001）第二时段无组织排放浓度限值</w:t>
                  </w:r>
                </w:p>
              </w:tc>
              <w:tc>
                <w:tcPr>
                  <w:tcW w:w="1103" w:type="pct"/>
                  <w:gridSpan w:val="2"/>
                  <w:shd w:val="clear" w:color="auto" w:fill="auto"/>
                  <w:vAlign w:val="center"/>
                </w:tcPr>
                <w:p w14:paraId="4CDE1790">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lang w:val="en-US" w:eastAsia="zh-CN"/>
                    </w:rPr>
                  </w:pPr>
                  <w:r>
                    <w:rPr>
                      <w:rFonts w:hint="eastAsia"/>
                      <w:color w:val="auto"/>
                      <w:sz w:val="21"/>
                      <w:szCs w:val="21"/>
                      <w:lang w:val="en-US" w:eastAsia="zh-CN"/>
                    </w:rPr>
                    <w:t>1.2</w:t>
                  </w:r>
                </w:p>
              </w:tc>
              <w:tc>
                <w:tcPr>
                  <w:tcW w:w="495" w:type="pct"/>
                  <w:shd w:val="clear" w:color="auto" w:fill="auto"/>
                  <w:vAlign w:val="center"/>
                </w:tcPr>
                <w:p w14:paraId="793ECC8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0.17</w:t>
                  </w:r>
                  <w:r>
                    <w:rPr>
                      <w:rFonts w:hint="eastAsia" w:cs="Times New Roman"/>
                      <w:i w:val="0"/>
                      <w:iCs w:val="0"/>
                      <w:color w:val="auto"/>
                      <w:kern w:val="0"/>
                      <w:sz w:val="21"/>
                      <w:szCs w:val="21"/>
                      <w:u w:val="none"/>
                      <w:lang w:val="en-US" w:eastAsia="zh-CN" w:bidi="ar"/>
                    </w:rPr>
                    <w:t>1</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37E9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335" w:type="pct"/>
                  <w:vMerge w:val="continue"/>
                  <w:shd w:val="clear" w:color="auto" w:fill="auto"/>
                  <w:vAlign w:val="center"/>
                </w:tcPr>
                <w:p w14:paraId="78884526">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21977259">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3F0658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428" w:type="pct"/>
                  <w:shd w:val="clear" w:color="auto" w:fill="auto"/>
                  <w:vAlign w:val="center"/>
                </w:tcPr>
                <w:p w14:paraId="7E01D7D4">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color w:val="auto"/>
                      <w:sz w:val="21"/>
                      <w:szCs w:val="21"/>
                      <w:lang w:bidi="ar"/>
                    </w:rPr>
                    <w:t>SO</w:t>
                  </w:r>
                  <w:r>
                    <w:rPr>
                      <w:color w:val="auto"/>
                      <w:sz w:val="21"/>
                      <w:szCs w:val="21"/>
                      <w:vertAlign w:val="subscript"/>
                      <w:lang w:bidi="ar"/>
                    </w:rPr>
                    <w:t>2</w:t>
                  </w:r>
                </w:p>
              </w:tc>
              <w:tc>
                <w:tcPr>
                  <w:tcW w:w="324" w:type="pct"/>
                  <w:vMerge w:val="continue"/>
                  <w:shd w:val="clear" w:color="auto" w:fill="auto"/>
                  <w:vAlign w:val="center"/>
                </w:tcPr>
                <w:p w14:paraId="702176DB">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vMerge w:val="restart"/>
                  <w:shd w:val="clear" w:color="auto" w:fill="auto"/>
                  <w:vAlign w:val="center"/>
                </w:tcPr>
                <w:p w14:paraId="311BF74E">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lang w:bidi="ar"/>
                    </w:rPr>
                    <w:t>根据《关于印发&lt;工业炉窑大气污染综合治理方案&gt;的通知》（环大气〔2019〕56号）和《关于贯彻落实&lt;工业炉窑大气污染物综合治理方案&gt;的实施意见》（粤环函〔2019〕1112号），废气按照二氧化硫、氮氧化物排放限值分别不高于200、300毫克/立方米控制</w:t>
                  </w:r>
                </w:p>
              </w:tc>
              <w:tc>
                <w:tcPr>
                  <w:tcW w:w="1103" w:type="pct"/>
                  <w:gridSpan w:val="2"/>
                  <w:shd w:val="clear" w:color="auto" w:fill="auto"/>
                  <w:vAlign w:val="center"/>
                </w:tcPr>
                <w:p w14:paraId="60FE4091">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w:t>
                  </w:r>
                </w:p>
              </w:tc>
              <w:tc>
                <w:tcPr>
                  <w:tcW w:w="495" w:type="pct"/>
                  <w:shd w:val="clear" w:color="auto" w:fill="auto"/>
                  <w:vAlign w:val="center"/>
                </w:tcPr>
                <w:p w14:paraId="35367B9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w:t>
                  </w:r>
                </w:p>
              </w:tc>
            </w:tr>
            <w:tr w14:paraId="684AC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trPr>
              <w:tc>
                <w:tcPr>
                  <w:tcW w:w="335" w:type="pct"/>
                  <w:vMerge w:val="continue"/>
                  <w:shd w:val="clear" w:color="auto" w:fill="auto"/>
                  <w:vAlign w:val="center"/>
                </w:tcPr>
                <w:p w14:paraId="23E128D4">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16C2267F">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4CB3BA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428" w:type="pct"/>
                  <w:shd w:val="clear" w:color="auto" w:fill="auto"/>
                  <w:vAlign w:val="center"/>
                </w:tcPr>
                <w:p w14:paraId="3E34C7CA">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color w:val="auto"/>
                      <w:sz w:val="21"/>
                      <w:szCs w:val="21"/>
                      <w:lang w:bidi="ar"/>
                    </w:rPr>
                    <w:t>NO</w:t>
                  </w:r>
                  <w:r>
                    <w:rPr>
                      <w:color w:val="auto"/>
                      <w:sz w:val="21"/>
                      <w:szCs w:val="21"/>
                      <w:vertAlign w:val="subscript"/>
                      <w:lang w:bidi="ar"/>
                    </w:rPr>
                    <w:t>2</w:t>
                  </w:r>
                </w:p>
              </w:tc>
              <w:tc>
                <w:tcPr>
                  <w:tcW w:w="324" w:type="pct"/>
                  <w:vMerge w:val="continue"/>
                  <w:shd w:val="clear" w:color="auto" w:fill="auto"/>
                  <w:vAlign w:val="center"/>
                </w:tcPr>
                <w:p w14:paraId="241C25D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vMerge w:val="continue"/>
                  <w:shd w:val="clear" w:color="auto" w:fill="auto"/>
                  <w:vAlign w:val="center"/>
                </w:tcPr>
                <w:p w14:paraId="7324408F">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103" w:type="pct"/>
                  <w:gridSpan w:val="2"/>
                  <w:shd w:val="clear" w:color="auto" w:fill="auto"/>
                  <w:vAlign w:val="center"/>
                </w:tcPr>
                <w:p w14:paraId="1088DB69">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w:t>
                  </w:r>
                </w:p>
              </w:tc>
              <w:tc>
                <w:tcPr>
                  <w:tcW w:w="495" w:type="pct"/>
                  <w:shd w:val="clear" w:color="auto" w:fill="auto"/>
                  <w:vAlign w:val="center"/>
                </w:tcPr>
                <w:p w14:paraId="2BFD19E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0</w:t>
                  </w:r>
                </w:p>
              </w:tc>
            </w:tr>
            <w:tr w14:paraId="1757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5" w:type="pct"/>
                  <w:vMerge w:val="continue"/>
                  <w:shd w:val="clear" w:color="auto" w:fill="auto"/>
                  <w:vAlign w:val="center"/>
                </w:tcPr>
                <w:p w14:paraId="192D9D40">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578D13D7">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76D24E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428" w:type="pct"/>
                  <w:shd w:val="clear" w:color="auto" w:fill="auto"/>
                  <w:vAlign w:val="center"/>
                </w:tcPr>
                <w:p w14:paraId="1FDF4D91">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color w:val="auto"/>
                      <w:sz w:val="21"/>
                      <w:szCs w:val="21"/>
                      <w:lang w:bidi="ar"/>
                    </w:rPr>
                  </w:pPr>
                  <w:r>
                    <w:rPr>
                      <w:color w:val="auto"/>
                      <w:szCs w:val="21"/>
                    </w:rPr>
                    <w:t>臭气浓度</w:t>
                  </w:r>
                </w:p>
              </w:tc>
              <w:tc>
                <w:tcPr>
                  <w:tcW w:w="324" w:type="pct"/>
                  <w:vMerge w:val="continue"/>
                  <w:shd w:val="clear" w:color="auto" w:fill="auto"/>
                  <w:vAlign w:val="center"/>
                </w:tcPr>
                <w:p w14:paraId="45055C9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shd w:val="clear" w:color="auto" w:fill="auto"/>
                  <w:vAlign w:val="center"/>
                </w:tcPr>
                <w:p w14:paraId="35A93596">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color w:val="auto"/>
                      <w:sz w:val="21"/>
                      <w:szCs w:val="21"/>
                    </w:rPr>
                    <w:t>《恶臭污染物排放标准》（</w:t>
                  </w:r>
                  <w:r>
                    <w:rPr>
                      <w:rFonts w:hint="eastAsia"/>
                      <w:color w:val="auto"/>
                      <w:sz w:val="21"/>
                      <w:szCs w:val="21"/>
                      <w:lang w:eastAsia="zh-CN"/>
                    </w:rPr>
                    <w:t>GB 14554-1993</w:t>
                  </w:r>
                  <w:r>
                    <w:rPr>
                      <w:color w:val="auto"/>
                      <w:sz w:val="21"/>
                      <w:szCs w:val="21"/>
                    </w:rPr>
                    <w:t>）表1新扩改建厂界二级标准限值</w:t>
                  </w:r>
                </w:p>
              </w:tc>
              <w:tc>
                <w:tcPr>
                  <w:tcW w:w="1103" w:type="pct"/>
                  <w:gridSpan w:val="2"/>
                  <w:shd w:val="clear" w:color="auto" w:fill="auto"/>
                  <w:vAlign w:val="center"/>
                </w:tcPr>
                <w:p w14:paraId="4D04BBFF">
                  <w:pPr>
                    <w:keepNext w:val="0"/>
                    <w:keepLines w:val="0"/>
                    <w:pageBreakBefore w:val="0"/>
                    <w:widowControl/>
                    <w:kinsoku/>
                    <w:wordWrap w:val="0"/>
                    <w:overflowPunct/>
                    <w:topLinePunct/>
                    <w:autoSpaceDE/>
                    <w:autoSpaceDN/>
                    <w:bidi w:val="0"/>
                    <w:adjustRightInd/>
                    <w:snapToGrid/>
                    <w:spacing w:beforeAutospacing="0" w:afterAutospacing="0"/>
                    <w:jc w:val="center"/>
                    <w:rPr>
                      <w:color w:val="auto"/>
                      <w:sz w:val="21"/>
                      <w:szCs w:val="21"/>
                    </w:rPr>
                  </w:pPr>
                  <w:r>
                    <w:rPr>
                      <w:color w:val="auto"/>
                      <w:sz w:val="21"/>
                      <w:szCs w:val="21"/>
                    </w:rPr>
                    <w:t>厂界：20</w:t>
                  </w:r>
                </w:p>
                <w:p w14:paraId="308CBB4F">
                  <w:pPr>
                    <w:keepNext w:val="0"/>
                    <w:keepLines w:val="0"/>
                    <w:pageBreakBefore w:val="0"/>
                    <w:widowControl/>
                    <w:kinsoku/>
                    <w:wordWrap w:val="0"/>
                    <w:overflowPunct/>
                    <w:topLinePunct/>
                    <w:autoSpaceDE/>
                    <w:autoSpaceDN/>
                    <w:bidi w:val="0"/>
                    <w:adjustRightInd/>
                    <w:snapToGrid/>
                    <w:spacing w:beforeAutospacing="0" w:afterAutospacing="0"/>
                    <w:jc w:val="center"/>
                    <w:rPr>
                      <w:color w:val="auto"/>
                      <w:sz w:val="21"/>
                      <w:szCs w:val="21"/>
                    </w:rPr>
                  </w:pPr>
                  <w:r>
                    <w:rPr>
                      <w:color w:val="auto"/>
                      <w:sz w:val="21"/>
                      <w:szCs w:val="21"/>
                    </w:rPr>
                    <w:t>（无量纲）</w:t>
                  </w:r>
                </w:p>
              </w:tc>
              <w:tc>
                <w:tcPr>
                  <w:tcW w:w="495" w:type="pct"/>
                  <w:shd w:val="clear" w:color="auto" w:fill="auto"/>
                  <w:vAlign w:val="center"/>
                </w:tcPr>
                <w:p w14:paraId="299923E2">
                  <w:pPr>
                    <w:keepNext w:val="0"/>
                    <w:keepLines w:val="0"/>
                    <w:widowControl/>
                    <w:suppressLineNumbers w:val="0"/>
                    <w:jc w:val="center"/>
                    <w:textAlignment w:val="center"/>
                    <w:rPr>
                      <w:rFonts w:hint="default" w:ascii="宋体" w:hAnsi="宋体" w:eastAsia="宋体" w:cs="宋体"/>
                      <w:b w:val="0"/>
                      <w:bCs w:val="0"/>
                      <w:i w:val="0"/>
                      <w:iCs w:val="0"/>
                      <w:color w:val="auto"/>
                      <w:kern w:val="0"/>
                      <w:sz w:val="21"/>
                      <w:szCs w:val="21"/>
                      <w:u w:val="none"/>
                      <w:lang w:val="en-US" w:eastAsia="zh-CN" w:bidi="ar"/>
                    </w:rPr>
                  </w:pPr>
                  <w:r>
                    <w:rPr>
                      <w:rFonts w:hint="eastAsia" w:ascii="宋体" w:hAnsi="宋体" w:cs="宋体"/>
                      <w:b w:val="0"/>
                      <w:bCs w:val="0"/>
                      <w:i w:val="0"/>
                      <w:iCs w:val="0"/>
                      <w:color w:val="auto"/>
                      <w:kern w:val="0"/>
                      <w:sz w:val="21"/>
                      <w:szCs w:val="21"/>
                      <w:u w:val="none"/>
                      <w:lang w:val="en-US" w:eastAsia="zh-CN" w:bidi="ar"/>
                    </w:rPr>
                    <w:t>少量</w:t>
                  </w:r>
                </w:p>
              </w:tc>
            </w:tr>
            <w:tr w14:paraId="70BAE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5" w:type="pct"/>
                  <w:vMerge w:val="continue"/>
                  <w:shd w:val="clear" w:color="auto" w:fill="auto"/>
                  <w:vAlign w:val="center"/>
                </w:tcPr>
                <w:p w14:paraId="05B042AD">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0F6A69AE">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42E058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p>
              </w:tc>
              <w:tc>
                <w:tcPr>
                  <w:tcW w:w="428" w:type="pct"/>
                  <w:shd w:val="clear" w:color="auto" w:fill="auto"/>
                  <w:vAlign w:val="center"/>
                </w:tcPr>
                <w:p w14:paraId="7424A51B">
                  <w:pPr>
                    <w:keepNext w:val="0"/>
                    <w:keepLines w:val="0"/>
                    <w:pageBreakBefore w:val="0"/>
                    <w:widowControl/>
                    <w:kinsoku/>
                    <w:wordWrap w:val="0"/>
                    <w:overflowPunct/>
                    <w:topLinePunct/>
                    <w:autoSpaceDE/>
                    <w:autoSpaceDN/>
                    <w:bidi w:val="0"/>
                    <w:adjustRightInd/>
                    <w:snapToGrid/>
                    <w:spacing w:beforeAutospacing="0" w:afterAutospacing="0"/>
                    <w:jc w:val="center"/>
                    <w:textAlignment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油烟</w:t>
                  </w:r>
                </w:p>
              </w:tc>
              <w:tc>
                <w:tcPr>
                  <w:tcW w:w="324" w:type="pct"/>
                  <w:vMerge w:val="continue"/>
                  <w:shd w:val="clear" w:color="auto" w:fill="auto"/>
                  <w:vAlign w:val="center"/>
                </w:tcPr>
                <w:p w14:paraId="05C1AC7B">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shd w:val="clear" w:color="auto" w:fill="auto"/>
                  <w:vAlign w:val="center"/>
                </w:tcPr>
                <w:p w14:paraId="7DD139BF">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1103" w:type="pct"/>
                  <w:gridSpan w:val="2"/>
                  <w:shd w:val="clear" w:color="auto" w:fill="auto"/>
                  <w:vAlign w:val="center"/>
                </w:tcPr>
                <w:p w14:paraId="4F8F0522">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495" w:type="pct"/>
                  <w:shd w:val="clear" w:color="auto" w:fill="auto"/>
                  <w:vAlign w:val="center"/>
                </w:tcPr>
                <w:p w14:paraId="2F9491D5">
                  <w:pPr>
                    <w:keepNext w:val="0"/>
                    <w:keepLines w:val="0"/>
                    <w:widowControl/>
                    <w:suppressLineNumbers w:val="0"/>
                    <w:jc w:val="center"/>
                    <w:textAlignment w:val="center"/>
                    <w:rPr>
                      <w:rFonts w:hint="default" w:ascii="Times New Roman" w:hAnsi="Times New Roman"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0.013</w:t>
                  </w:r>
                </w:p>
              </w:tc>
            </w:tr>
            <w:tr w14:paraId="6F3D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335" w:type="pct"/>
                  <w:vMerge w:val="continue"/>
                  <w:shd w:val="clear" w:color="auto" w:fill="auto"/>
                  <w:vAlign w:val="center"/>
                </w:tcPr>
                <w:p w14:paraId="52CDDF6B">
                  <w:pPr>
                    <w:jc w:val="center"/>
                    <w:rPr>
                      <w:rFonts w:hint="default" w:ascii="Times New Roman" w:hAnsi="Times New Roman" w:eastAsia="宋体" w:cs="Times New Roman"/>
                      <w:b/>
                      <w:bCs/>
                      <w:i w:val="0"/>
                      <w:iCs w:val="0"/>
                      <w:color w:val="auto"/>
                      <w:sz w:val="21"/>
                      <w:szCs w:val="21"/>
                      <w:u w:val="none"/>
                    </w:rPr>
                  </w:pPr>
                </w:p>
              </w:tc>
              <w:tc>
                <w:tcPr>
                  <w:tcW w:w="289" w:type="pct"/>
                  <w:vMerge w:val="continue"/>
                  <w:shd w:val="clear" w:color="auto" w:fill="auto"/>
                  <w:vAlign w:val="center"/>
                </w:tcPr>
                <w:p w14:paraId="2F599748">
                  <w:pPr>
                    <w:jc w:val="center"/>
                    <w:rPr>
                      <w:rFonts w:hint="default" w:ascii="Times New Roman" w:hAnsi="Times New Roman" w:eastAsia="宋体" w:cs="Times New Roman"/>
                      <w:b/>
                      <w:bCs/>
                      <w:i w:val="0"/>
                      <w:iCs w:val="0"/>
                      <w:color w:val="auto"/>
                      <w:sz w:val="21"/>
                      <w:szCs w:val="21"/>
                      <w:u w:val="none"/>
                    </w:rPr>
                  </w:pPr>
                </w:p>
              </w:tc>
              <w:tc>
                <w:tcPr>
                  <w:tcW w:w="474" w:type="pct"/>
                  <w:vMerge w:val="continue"/>
                  <w:shd w:val="clear" w:color="auto" w:fill="auto"/>
                  <w:vAlign w:val="center"/>
                </w:tcPr>
                <w:p w14:paraId="16356831">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p>
              </w:tc>
              <w:tc>
                <w:tcPr>
                  <w:tcW w:w="428" w:type="pct"/>
                  <w:shd w:val="clear" w:color="auto" w:fill="auto"/>
                  <w:vAlign w:val="center"/>
                </w:tcPr>
                <w:p w14:paraId="68B413F1">
                  <w:pPr>
                    <w:pStyle w:val="109"/>
                    <w:keepNext w:val="0"/>
                    <w:keepLines w:val="0"/>
                    <w:pageBreakBefore w:val="0"/>
                    <w:tabs>
                      <w:tab w:val="left" w:pos="-2848"/>
                    </w:tabs>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cs="Times New Roman"/>
                      <w:i w:val="0"/>
                      <w:iCs w:val="0"/>
                      <w:color w:val="auto"/>
                      <w:kern w:val="2"/>
                      <w:sz w:val="21"/>
                      <w:szCs w:val="21"/>
                      <w:u w:val="none"/>
                      <w:lang w:val="en-US" w:eastAsia="zh-CN" w:bidi="ar-SA"/>
                    </w:rPr>
                    <w:t>氟化物</w:t>
                  </w:r>
                </w:p>
              </w:tc>
              <w:tc>
                <w:tcPr>
                  <w:tcW w:w="324" w:type="pct"/>
                  <w:vMerge w:val="continue"/>
                  <w:shd w:val="clear" w:color="auto" w:fill="auto"/>
                  <w:vAlign w:val="center"/>
                </w:tcPr>
                <w:p w14:paraId="4DD36A60">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p>
              </w:tc>
              <w:tc>
                <w:tcPr>
                  <w:tcW w:w="1547" w:type="pct"/>
                  <w:shd w:val="clear" w:color="auto" w:fill="auto"/>
                  <w:vAlign w:val="center"/>
                </w:tcPr>
                <w:p w14:paraId="3D371945">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cs="Times New Roman"/>
                      <w:color w:val="auto"/>
                      <w:sz w:val="21"/>
                      <w:szCs w:val="21"/>
                    </w:rPr>
                    <w:t>广东省《大气污染物排放限值》（DB44/27-2001）第二时段无组织排放浓度限值</w:t>
                  </w:r>
                </w:p>
              </w:tc>
              <w:tc>
                <w:tcPr>
                  <w:tcW w:w="1103" w:type="pct"/>
                  <w:gridSpan w:val="2"/>
                  <w:shd w:val="clear" w:color="auto" w:fill="auto"/>
                  <w:vAlign w:val="center"/>
                </w:tcPr>
                <w:p w14:paraId="57EE103A">
                  <w:pPr>
                    <w:keepNext w:val="0"/>
                    <w:keepLines w:val="0"/>
                    <w:pageBreakBefore w:val="0"/>
                    <w:widowControl/>
                    <w:kinsoku/>
                    <w:wordWrap w:val="0"/>
                    <w:overflowPunct/>
                    <w:topLinePunct/>
                    <w:autoSpaceDE/>
                    <w:autoSpaceDN/>
                    <w:bidi w:val="0"/>
                    <w:adjustRightInd/>
                    <w:snapToGrid/>
                    <w:spacing w:beforeAutospacing="0" w:afterAutospacing="0"/>
                    <w:jc w:val="center"/>
                    <w:rPr>
                      <w:rFonts w:hint="default" w:ascii="Times New Roman" w:hAnsi="Times New Roman" w:eastAsia="宋体" w:cs="Times New Roman"/>
                      <w:b/>
                      <w:bCs/>
                      <w:i w:val="0"/>
                      <w:iCs w:val="0"/>
                      <w:color w:val="auto"/>
                      <w:sz w:val="21"/>
                      <w:szCs w:val="21"/>
                      <w:u w:val="none"/>
                      <w:lang w:val="en-US" w:eastAsia="zh-CN"/>
                    </w:rPr>
                  </w:pPr>
                  <w:r>
                    <w:rPr>
                      <w:rFonts w:hint="default" w:ascii="Times New Roman" w:hAnsi="Times New Roman" w:cs="Times New Roman"/>
                      <w:b w:val="0"/>
                      <w:bCs w:val="0"/>
                      <w:i w:val="0"/>
                      <w:iCs w:val="0"/>
                      <w:color w:val="auto"/>
                      <w:sz w:val="21"/>
                      <w:szCs w:val="21"/>
                      <w:u w:val="none"/>
                      <w:lang w:val="en-US" w:eastAsia="zh-CN"/>
                    </w:rPr>
                    <w:t>0.02</w:t>
                  </w:r>
                </w:p>
              </w:tc>
              <w:tc>
                <w:tcPr>
                  <w:tcW w:w="495" w:type="pct"/>
                  <w:shd w:val="clear" w:color="auto" w:fill="auto"/>
                  <w:vAlign w:val="center"/>
                </w:tcPr>
                <w:p w14:paraId="35E6C36E">
                  <w:pPr>
                    <w:jc w:val="center"/>
                    <w:rPr>
                      <w:rFonts w:hint="default" w:ascii="Times New Roman" w:hAnsi="Times New Roman" w:eastAsia="宋体" w:cs="Times New Roman"/>
                      <w:b w:val="0"/>
                      <w:bCs w:val="0"/>
                      <w:i w:val="0"/>
                      <w:iCs w:val="0"/>
                      <w:color w:val="auto"/>
                      <w:sz w:val="21"/>
                      <w:szCs w:val="21"/>
                      <w:u w:val="none"/>
                      <w:lang w:val="en-US" w:eastAsia="zh-CN"/>
                    </w:rPr>
                  </w:pPr>
                  <w:r>
                    <w:rPr>
                      <w:rFonts w:hint="default" w:ascii="Times New Roman" w:hAnsi="Times New Roman" w:cs="Times New Roman"/>
                      <w:b w:val="0"/>
                      <w:bCs w:val="0"/>
                      <w:i w:val="0"/>
                      <w:iCs w:val="0"/>
                      <w:color w:val="auto"/>
                      <w:sz w:val="21"/>
                      <w:szCs w:val="21"/>
                      <w:u w:val="none"/>
                      <w:lang w:val="en-US" w:eastAsia="zh-CN"/>
                    </w:rPr>
                    <w:t>0.001</w:t>
                  </w:r>
                </w:p>
              </w:tc>
            </w:tr>
            <w:tr w14:paraId="7099B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5000" w:type="pct"/>
                  <w:gridSpan w:val="9"/>
                  <w:shd w:val="clear" w:color="auto" w:fill="auto"/>
                  <w:vAlign w:val="center"/>
                </w:tcPr>
                <w:p w14:paraId="748F4994">
                  <w:pPr>
                    <w:keepNext w:val="0"/>
                    <w:keepLines w:val="0"/>
                    <w:widowControl/>
                    <w:suppressLineNumbers w:val="0"/>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全厂无组织排放总计</w:t>
                  </w:r>
                </w:p>
              </w:tc>
            </w:tr>
            <w:tr w14:paraId="4FCA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restart"/>
                  <w:shd w:val="clear" w:color="auto" w:fill="auto"/>
                  <w:vAlign w:val="center"/>
                </w:tcPr>
                <w:p w14:paraId="1B6A70F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167"/>
                      <w:color w:val="auto"/>
                      <w:lang w:val="en-US" w:eastAsia="zh-CN" w:bidi="ar"/>
                    </w:rPr>
                    <w:t>全厂无组织排放总计</w:t>
                  </w:r>
                  <w:r>
                    <w:rPr>
                      <w:rFonts w:hint="default" w:ascii="Times New Roman" w:hAnsi="Times New Roman" w:eastAsia="宋体" w:cs="Times New Roman"/>
                      <w:i w:val="0"/>
                      <w:iCs w:val="0"/>
                      <w:color w:val="auto"/>
                      <w:kern w:val="0"/>
                      <w:sz w:val="21"/>
                      <w:szCs w:val="21"/>
                      <w:u w:val="none"/>
                      <w:lang w:val="en-US" w:eastAsia="zh-CN" w:bidi="ar"/>
                    </w:rPr>
                    <w:t>t/a</w:t>
                  </w:r>
                </w:p>
              </w:tc>
              <w:tc>
                <w:tcPr>
                  <w:tcW w:w="4169" w:type="pct"/>
                  <w:gridSpan w:val="7"/>
                  <w:shd w:val="clear" w:color="auto" w:fill="auto"/>
                  <w:vAlign w:val="center"/>
                </w:tcPr>
                <w:p w14:paraId="044832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167"/>
                      <w:color w:val="auto"/>
                      <w:lang w:val="en-US" w:eastAsia="zh-CN" w:bidi="ar"/>
                    </w:rPr>
                    <w:t>颗粒物</w:t>
                  </w:r>
                </w:p>
              </w:tc>
              <w:tc>
                <w:tcPr>
                  <w:tcW w:w="1273" w:type="dxa"/>
                  <w:shd w:val="clear" w:color="auto" w:fill="auto"/>
                  <w:vAlign w:val="center"/>
                </w:tcPr>
                <w:p w14:paraId="7254C7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r>
                    <w:rPr>
                      <w:rFonts w:hint="eastAsia" w:cs="Times New Roman"/>
                      <w:i w:val="0"/>
                      <w:iCs w:val="0"/>
                      <w:color w:val="auto"/>
                      <w:kern w:val="0"/>
                      <w:sz w:val="21"/>
                      <w:szCs w:val="21"/>
                      <w:u w:val="none"/>
                      <w:lang w:val="en-US" w:eastAsia="zh-CN" w:bidi="ar"/>
                    </w:rPr>
                    <w:t>232</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3096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4BB70053">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6A475D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VOCs</w:t>
                  </w:r>
                </w:p>
              </w:tc>
              <w:tc>
                <w:tcPr>
                  <w:tcW w:w="1273" w:type="dxa"/>
                  <w:shd w:val="clear" w:color="auto" w:fill="auto"/>
                  <w:vAlign w:val="center"/>
                </w:tcPr>
                <w:p w14:paraId="5009D20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0.352 </w:t>
                  </w:r>
                </w:p>
              </w:tc>
            </w:tr>
            <w:tr w14:paraId="07B1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7992C562">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44290A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Style w:val="167"/>
                      <w:color w:val="auto"/>
                      <w:lang w:val="en-US" w:eastAsia="zh-CN" w:bidi="ar"/>
                    </w:rPr>
                    <w:t>苯系物</w:t>
                  </w:r>
                </w:p>
              </w:tc>
              <w:tc>
                <w:tcPr>
                  <w:tcW w:w="1273" w:type="dxa"/>
                  <w:shd w:val="clear" w:color="auto" w:fill="auto"/>
                  <w:vAlign w:val="center"/>
                </w:tcPr>
                <w:p w14:paraId="6F4CFC3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0.17</w:t>
                  </w:r>
                  <w:r>
                    <w:rPr>
                      <w:rFonts w:hint="eastAsia" w:cs="Times New Roman"/>
                      <w:i w:val="0"/>
                      <w:iCs w:val="0"/>
                      <w:color w:val="auto"/>
                      <w:kern w:val="0"/>
                      <w:sz w:val="21"/>
                      <w:szCs w:val="21"/>
                      <w:u w:val="none"/>
                      <w:lang w:val="en-US" w:eastAsia="zh-CN" w:bidi="ar"/>
                    </w:rPr>
                    <w:t>1</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5324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32685216">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384D6D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495" w:type="pct"/>
                  <w:shd w:val="clear" w:color="auto" w:fill="auto"/>
                  <w:vAlign w:val="center"/>
                </w:tcPr>
                <w:p w14:paraId="0625177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w:t>
                  </w:r>
                </w:p>
              </w:tc>
            </w:tr>
            <w:tr w14:paraId="7394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558E71F5">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5E9A1C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NO</w:t>
                  </w:r>
                  <w:r>
                    <w:rPr>
                      <w:rFonts w:hint="eastAsia" w:ascii="Times New Roman" w:hAnsi="Times New Roman" w:eastAsia="宋体" w:cs="Times New Roman"/>
                      <w:i w:val="0"/>
                      <w:iCs w:val="0"/>
                      <w:color w:val="auto"/>
                      <w:kern w:val="0"/>
                      <w:sz w:val="21"/>
                      <w:szCs w:val="21"/>
                      <w:u w:val="none"/>
                      <w:vertAlign w:val="subscript"/>
                      <w:lang w:val="en-US" w:eastAsia="zh-CN" w:bidi="ar"/>
                    </w:rPr>
                    <w:t>x</w:t>
                  </w:r>
                </w:p>
              </w:tc>
              <w:tc>
                <w:tcPr>
                  <w:tcW w:w="495" w:type="pct"/>
                  <w:shd w:val="clear" w:color="auto" w:fill="auto"/>
                  <w:vAlign w:val="center"/>
                </w:tcPr>
                <w:p w14:paraId="05853BE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val="0"/>
                      <w:bCs w:val="0"/>
                      <w:i w:val="0"/>
                      <w:iCs w:val="0"/>
                      <w:color w:val="auto"/>
                      <w:kern w:val="0"/>
                      <w:sz w:val="21"/>
                      <w:szCs w:val="21"/>
                      <w:u w:val="none"/>
                      <w:lang w:val="en-US" w:eastAsia="zh-CN" w:bidi="ar"/>
                    </w:rPr>
                    <w:t>0</w:t>
                  </w:r>
                </w:p>
              </w:tc>
            </w:tr>
            <w:tr w14:paraId="12BD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3F5914FD">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45C82BB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Style w:val="167"/>
                      <w:color w:val="auto"/>
                      <w:lang w:val="en-US" w:eastAsia="zh-CN" w:bidi="ar"/>
                    </w:rPr>
                    <w:t>臭气浓度</w:t>
                  </w:r>
                </w:p>
              </w:tc>
              <w:tc>
                <w:tcPr>
                  <w:tcW w:w="495" w:type="pct"/>
                  <w:shd w:val="clear" w:color="auto" w:fill="auto"/>
                  <w:vAlign w:val="center"/>
                </w:tcPr>
                <w:p w14:paraId="67D8AD8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少量</w:t>
                  </w:r>
                </w:p>
              </w:tc>
            </w:tr>
            <w:tr w14:paraId="37200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35" w:type="pct"/>
                  <w:vMerge w:val="continue"/>
                  <w:shd w:val="clear" w:color="auto" w:fill="auto"/>
                  <w:vAlign w:val="center"/>
                </w:tcPr>
                <w:p w14:paraId="32389BD5">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2C8AE661">
                  <w:pPr>
                    <w:keepNext w:val="0"/>
                    <w:keepLines w:val="0"/>
                    <w:widowControl/>
                    <w:suppressLineNumbers w:val="0"/>
                    <w:jc w:val="center"/>
                    <w:textAlignment w:val="center"/>
                    <w:rPr>
                      <w:rStyle w:val="167"/>
                      <w:rFonts w:hint="default"/>
                      <w:color w:val="auto"/>
                      <w:lang w:val="en-US" w:eastAsia="zh-CN" w:bidi="ar"/>
                    </w:rPr>
                  </w:pPr>
                  <w:r>
                    <w:rPr>
                      <w:rStyle w:val="167"/>
                      <w:rFonts w:hint="eastAsia"/>
                      <w:color w:val="auto"/>
                      <w:lang w:val="en-US" w:eastAsia="zh-CN" w:bidi="ar"/>
                    </w:rPr>
                    <w:t>油烟</w:t>
                  </w:r>
                </w:p>
              </w:tc>
              <w:tc>
                <w:tcPr>
                  <w:tcW w:w="495" w:type="pct"/>
                  <w:shd w:val="clear" w:color="auto" w:fill="auto"/>
                  <w:vAlign w:val="center"/>
                </w:tcPr>
                <w:p w14:paraId="7DFBC6F3">
                  <w:pPr>
                    <w:keepNext w:val="0"/>
                    <w:keepLines w:val="0"/>
                    <w:widowControl/>
                    <w:suppressLineNumbers w:val="0"/>
                    <w:jc w:val="center"/>
                    <w:textAlignment w:val="center"/>
                    <w:rPr>
                      <w:rFonts w:hint="default" w:cs="Times New Roman"/>
                      <w:b w:val="0"/>
                      <w:bCs w:val="0"/>
                      <w:i w:val="0"/>
                      <w:iCs w:val="0"/>
                      <w:color w:val="auto"/>
                      <w:kern w:val="0"/>
                      <w:sz w:val="21"/>
                      <w:szCs w:val="21"/>
                      <w:u w:val="none"/>
                      <w:lang w:val="en-US" w:eastAsia="zh-CN" w:bidi="ar"/>
                    </w:rPr>
                  </w:pPr>
                  <w:r>
                    <w:rPr>
                      <w:rFonts w:hint="eastAsia" w:cs="Times New Roman"/>
                      <w:b w:val="0"/>
                      <w:bCs w:val="0"/>
                      <w:i w:val="0"/>
                      <w:iCs w:val="0"/>
                      <w:color w:val="auto"/>
                      <w:kern w:val="0"/>
                      <w:sz w:val="21"/>
                      <w:szCs w:val="21"/>
                      <w:u w:val="none"/>
                      <w:lang w:val="en-US" w:eastAsia="zh-CN" w:bidi="ar"/>
                    </w:rPr>
                    <w:t>0.013</w:t>
                  </w:r>
                </w:p>
              </w:tc>
            </w:tr>
            <w:tr w14:paraId="4B29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335" w:type="pct"/>
                  <w:vMerge w:val="continue"/>
                  <w:shd w:val="clear" w:color="auto" w:fill="auto"/>
                  <w:vAlign w:val="center"/>
                </w:tcPr>
                <w:p w14:paraId="7B90F481">
                  <w:pPr>
                    <w:jc w:val="center"/>
                    <w:rPr>
                      <w:rFonts w:hint="default" w:ascii="Times New Roman" w:hAnsi="Times New Roman" w:eastAsia="宋体" w:cs="Times New Roman"/>
                      <w:i w:val="0"/>
                      <w:iCs w:val="0"/>
                      <w:color w:val="auto"/>
                      <w:sz w:val="21"/>
                      <w:szCs w:val="21"/>
                      <w:u w:val="none"/>
                    </w:rPr>
                  </w:pPr>
                </w:p>
              </w:tc>
              <w:tc>
                <w:tcPr>
                  <w:tcW w:w="4169" w:type="pct"/>
                  <w:gridSpan w:val="7"/>
                  <w:shd w:val="clear" w:color="auto" w:fill="auto"/>
                  <w:vAlign w:val="center"/>
                </w:tcPr>
                <w:p w14:paraId="317BC968">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氟化物</w:t>
                  </w:r>
                </w:p>
              </w:tc>
              <w:tc>
                <w:tcPr>
                  <w:tcW w:w="495" w:type="pct"/>
                  <w:shd w:val="clear" w:color="auto" w:fill="auto"/>
                  <w:noWrap/>
                  <w:vAlign w:val="center"/>
                </w:tcPr>
                <w:p w14:paraId="57DCFA33">
                  <w:pPr>
                    <w:jc w:val="center"/>
                    <w:rPr>
                      <w:rFonts w:hint="default" w:ascii="Times New Roman" w:hAnsi="Times New Roman" w:eastAsia="宋体" w:cs="Times New Roman"/>
                      <w:i w:val="0"/>
                      <w:iCs w:val="0"/>
                      <w:color w:val="auto"/>
                      <w:sz w:val="24"/>
                      <w:szCs w:val="24"/>
                      <w:u w:val="none"/>
                      <w:lang w:val="en-US"/>
                    </w:rPr>
                  </w:pPr>
                  <w:r>
                    <w:rPr>
                      <w:rFonts w:hint="eastAsia" w:cs="Times New Roman"/>
                      <w:b w:val="0"/>
                      <w:bCs w:val="0"/>
                      <w:i w:val="0"/>
                      <w:iCs w:val="0"/>
                      <w:color w:val="auto"/>
                      <w:sz w:val="21"/>
                      <w:szCs w:val="21"/>
                      <w:u w:val="none"/>
                      <w:lang w:val="en-US" w:eastAsia="zh-CN"/>
                    </w:rPr>
                    <w:t>0.001</w:t>
                  </w:r>
                </w:p>
              </w:tc>
            </w:tr>
          </w:tbl>
          <w:p w14:paraId="7B355F70">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表4-5</w:t>
            </w:r>
            <w:r>
              <w:rPr>
                <w:rFonts w:hint="eastAsia" w:ascii="Times New Roman" w:eastAsia="宋体" w:cs="Times New Roman"/>
                <w:b/>
                <w:bCs/>
                <w:color w:val="auto"/>
                <w:kern w:val="2"/>
                <w:sz w:val="21"/>
                <w:szCs w:val="21"/>
                <w:lang w:val="en-US" w:eastAsia="zh-CN" w:bidi="ar-SA"/>
              </w:rPr>
              <w:t xml:space="preserve"> </w:t>
            </w:r>
            <w:r>
              <w:rPr>
                <w:b/>
                <w:color w:val="auto"/>
                <w:sz w:val="21"/>
                <w:szCs w:val="21"/>
                <w:lang w:bidi="ar"/>
              </w:rPr>
              <w:t>大气污染物年排放核算表</w:t>
            </w:r>
          </w:p>
          <w:tbl>
            <w:tblPr>
              <w:tblStyle w:val="48"/>
              <w:tblW w:w="1283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358"/>
              <w:gridCol w:w="3911"/>
              <w:gridCol w:w="6569"/>
            </w:tblGrid>
            <w:tr w14:paraId="7BFA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3" w:hRule="atLeast"/>
              </w:trPr>
              <w:tc>
                <w:tcPr>
                  <w:tcW w:w="918" w:type="pct"/>
                  <w:shd w:val="clear" w:color="auto" w:fill="auto"/>
                  <w:vAlign w:val="center"/>
                </w:tcPr>
                <w:p w14:paraId="3E6E0C0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523" w:type="pct"/>
                  <w:shd w:val="clear" w:color="auto" w:fill="auto"/>
                  <w:vAlign w:val="center"/>
                </w:tcPr>
                <w:p w14:paraId="2089961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w:t>
                  </w:r>
                </w:p>
              </w:tc>
              <w:tc>
                <w:tcPr>
                  <w:tcW w:w="2558" w:type="pct"/>
                  <w:shd w:val="clear" w:color="auto" w:fill="auto"/>
                  <w:vAlign w:val="center"/>
                </w:tcPr>
                <w:p w14:paraId="4531A1F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年排放量</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r>
            <w:tr w14:paraId="66C5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18" w:type="pct"/>
                  <w:vMerge w:val="restart"/>
                  <w:shd w:val="clear" w:color="auto" w:fill="auto"/>
                  <w:vAlign w:val="center"/>
                </w:tcPr>
                <w:p w14:paraId="50F761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523" w:type="pct"/>
                  <w:vMerge w:val="restart"/>
                  <w:shd w:val="clear" w:color="auto" w:fill="auto"/>
                  <w:vAlign w:val="center"/>
                </w:tcPr>
                <w:p w14:paraId="6630243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6569" w:type="dxa"/>
                  <w:vMerge w:val="restart"/>
                  <w:shd w:val="clear" w:color="auto" w:fill="auto"/>
                  <w:vAlign w:val="center"/>
                </w:tcPr>
                <w:p w14:paraId="00CC5AC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2.307 </w:t>
                  </w:r>
                </w:p>
              </w:tc>
            </w:tr>
            <w:tr w14:paraId="05FB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918" w:type="pct"/>
                  <w:vMerge w:val="continue"/>
                  <w:shd w:val="clear" w:color="auto" w:fill="auto"/>
                  <w:vAlign w:val="center"/>
                </w:tcPr>
                <w:p w14:paraId="7247B60F">
                  <w:pPr>
                    <w:jc w:val="center"/>
                    <w:rPr>
                      <w:rFonts w:hint="default" w:ascii="Times New Roman" w:hAnsi="Times New Roman" w:eastAsia="宋体" w:cs="Times New Roman"/>
                      <w:i w:val="0"/>
                      <w:iCs w:val="0"/>
                      <w:color w:val="auto"/>
                      <w:sz w:val="21"/>
                      <w:szCs w:val="21"/>
                      <w:u w:val="none"/>
                    </w:rPr>
                  </w:pPr>
                </w:p>
              </w:tc>
              <w:tc>
                <w:tcPr>
                  <w:tcW w:w="1523" w:type="pct"/>
                  <w:vMerge w:val="continue"/>
                  <w:shd w:val="clear" w:color="auto" w:fill="auto"/>
                  <w:vAlign w:val="center"/>
                </w:tcPr>
                <w:p w14:paraId="55B2559A">
                  <w:pPr>
                    <w:jc w:val="center"/>
                    <w:rPr>
                      <w:rFonts w:hint="eastAsia" w:ascii="宋体" w:hAnsi="宋体" w:eastAsia="宋体" w:cs="宋体"/>
                      <w:i w:val="0"/>
                      <w:iCs w:val="0"/>
                      <w:color w:val="auto"/>
                      <w:sz w:val="21"/>
                      <w:szCs w:val="21"/>
                      <w:u w:val="none"/>
                    </w:rPr>
                  </w:pPr>
                </w:p>
              </w:tc>
              <w:tc>
                <w:tcPr>
                  <w:tcW w:w="2558" w:type="pct"/>
                  <w:vMerge w:val="continue"/>
                  <w:shd w:val="clear" w:color="auto" w:fill="auto"/>
                  <w:vAlign w:val="center"/>
                </w:tcPr>
                <w:p w14:paraId="4EF72B28">
                  <w:pPr>
                    <w:jc w:val="center"/>
                    <w:rPr>
                      <w:rFonts w:hint="default" w:ascii="Times New Roman" w:hAnsi="Times New Roman" w:eastAsia="宋体" w:cs="Times New Roman"/>
                      <w:i w:val="0"/>
                      <w:iCs w:val="0"/>
                      <w:color w:val="auto"/>
                      <w:sz w:val="21"/>
                      <w:szCs w:val="21"/>
                      <w:u w:val="none"/>
                    </w:rPr>
                  </w:pPr>
                </w:p>
              </w:tc>
            </w:tr>
            <w:tr w14:paraId="2D963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700E66E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523" w:type="pct"/>
                  <w:shd w:val="clear" w:color="auto" w:fill="auto"/>
                  <w:vAlign w:val="center"/>
                </w:tcPr>
                <w:p w14:paraId="62CF05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非甲烷总烃</w:t>
                  </w:r>
                </w:p>
              </w:tc>
              <w:tc>
                <w:tcPr>
                  <w:tcW w:w="6569" w:type="dxa"/>
                  <w:shd w:val="clear" w:color="auto" w:fill="auto"/>
                  <w:vAlign w:val="center"/>
                </w:tcPr>
                <w:p w14:paraId="58D9FF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1.022 </w:t>
                  </w:r>
                </w:p>
              </w:tc>
            </w:tr>
            <w:tr w14:paraId="051E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52D20D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523" w:type="pct"/>
                  <w:shd w:val="clear" w:color="auto" w:fill="auto"/>
                  <w:vAlign w:val="center"/>
                </w:tcPr>
                <w:p w14:paraId="5539A1F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苯系物</w:t>
                  </w:r>
                </w:p>
              </w:tc>
              <w:tc>
                <w:tcPr>
                  <w:tcW w:w="6569" w:type="dxa"/>
                  <w:shd w:val="clear" w:color="auto" w:fill="auto"/>
                  <w:vAlign w:val="center"/>
                </w:tcPr>
                <w:p w14:paraId="186F7B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0.487 </w:t>
                  </w:r>
                </w:p>
              </w:tc>
            </w:tr>
            <w:tr w14:paraId="77433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6C70C4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523" w:type="pct"/>
                  <w:shd w:val="clear" w:color="auto" w:fill="auto"/>
                  <w:vAlign w:val="center"/>
                </w:tcPr>
                <w:p w14:paraId="7FCA37C7">
                  <w:pPr>
                    <w:keepNext w:val="0"/>
                    <w:keepLines w:val="0"/>
                    <w:widowControl/>
                    <w:suppressLineNumbers w:val="0"/>
                    <w:jc w:val="center"/>
                    <w:textAlignment w:val="center"/>
                    <w:rPr>
                      <w:rFonts w:hint="default" w:ascii="宋体" w:hAnsi="宋体" w:eastAsia="宋体" w:cs="宋体"/>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6569" w:type="dxa"/>
                  <w:shd w:val="clear" w:color="auto" w:fill="auto"/>
                  <w:vAlign w:val="center"/>
                </w:tcPr>
                <w:p w14:paraId="47B21F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0.036 </w:t>
                  </w:r>
                </w:p>
              </w:tc>
            </w:tr>
            <w:tr w14:paraId="00FE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5ABD3C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1523" w:type="pct"/>
                  <w:shd w:val="clear" w:color="auto" w:fill="auto"/>
                  <w:vAlign w:val="center"/>
                </w:tcPr>
                <w:p w14:paraId="5D5D4A1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NO</w:t>
                  </w:r>
                  <w:r>
                    <w:rPr>
                      <w:rFonts w:hint="eastAsia" w:cs="Times New Roman"/>
                      <w:i w:val="0"/>
                      <w:iCs w:val="0"/>
                      <w:color w:val="auto"/>
                      <w:kern w:val="0"/>
                      <w:sz w:val="21"/>
                      <w:szCs w:val="21"/>
                      <w:u w:val="none"/>
                      <w:lang w:val="en-US" w:eastAsia="zh-CN" w:bidi="ar"/>
                    </w:rPr>
                    <w:t>x</w:t>
                  </w:r>
                </w:p>
              </w:tc>
              <w:tc>
                <w:tcPr>
                  <w:tcW w:w="6569" w:type="dxa"/>
                  <w:shd w:val="clear" w:color="auto" w:fill="auto"/>
                  <w:vAlign w:val="center"/>
                </w:tcPr>
                <w:p w14:paraId="7553D4D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0.341 </w:t>
                  </w:r>
                </w:p>
              </w:tc>
            </w:tr>
            <w:tr w14:paraId="2E383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918" w:type="pct"/>
                  <w:shd w:val="clear" w:color="auto" w:fill="auto"/>
                  <w:vAlign w:val="center"/>
                </w:tcPr>
                <w:p w14:paraId="5A9A21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523" w:type="pct"/>
                  <w:shd w:val="clear" w:color="auto" w:fill="auto"/>
                  <w:vAlign w:val="center"/>
                </w:tcPr>
                <w:p w14:paraId="308A72B8">
                  <w:pPr>
                    <w:keepNext w:val="0"/>
                    <w:keepLines w:val="0"/>
                    <w:widowControl/>
                    <w:suppressLineNumbers w:val="0"/>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油烟</w:t>
                  </w:r>
                </w:p>
              </w:tc>
              <w:tc>
                <w:tcPr>
                  <w:tcW w:w="6569" w:type="dxa"/>
                  <w:shd w:val="clear" w:color="auto" w:fill="auto"/>
                  <w:vAlign w:val="center"/>
                </w:tcPr>
                <w:p w14:paraId="5DA792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20</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23B3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918" w:type="pct"/>
                  <w:shd w:val="clear" w:color="auto" w:fill="auto"/>
                  <w:vAlign w:val="center"/>
                </w:tcPr>
                <w:p w14:paraId="192E51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1523" w:type="pct"/>
                  <w:shd w:val="clear" w:color="auto" w:fill="auto"/>
                  <w:vAlign w:val="center"/>
                </w:tcPr>
                <w:p w14:paraId="780C4313">
                  <w:pPr>
                    <w:keepNext w:val="0"/>
                    <w:keepLines w:val="0"/>
                    <w:widowControl/>
                    <w:suppressLineNumbers w:val="0"/>
                    <w:jc w:val="center"/>
                    <w:textAlignment w:val="center"/>
                    <w:rPr>
                      <w:rFonts w:hint="default" w:ascii="宋体" w:hAnsi="宋体" w:eastAsia="宋体" w:cs="宋体"/>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臭气浓度</w:t>
                  </w:r>
                </w:p>
              </w:tc>
              <w:tc>
                <w:tcPr>
                  <w:tcW w:w="2558" w:type="pct"/>
                  <w:shd w:val="clear" w:color="auto" w:fill="auto"/>
                  <w:vAlign w:val="center"/>
                </w:tcPr>
                <w:p w14:paraId="1AA0BD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3537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18" w:type="pct"/>
                  <w:shd w:val="clear" w:color="auto" w:fill="auto"/>
                  <w:vAlign w:val="center"/>
                </w:tcPr>
                <w:p w14:paraId="484B041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8</w:t>
                  </w:r>
                </w:p>
              </w:tc>
              <w:tc>
                <w:tcPr>
                  <w:tcW w:w="1523" w:type="pct"/>
                  <w:shd w:val="clear" w:color="auto" w:fill="auto"/>
                  <w:vAlign w:val="center"/>
                </w:tcPr>
                <w:p w14:paraId="1448F3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氟化物</w:t>
                  </w:r>
                </w:p>
              </w:tc>
              <w:tc>
                <w:tcPr>
                  <w:tcW w:w="2558" w:type="pct"/>
                  <w:shd w:val="clear" w:color="auto" w:fill="auto"/>
                  <w:vAlign w:val="center"/>
                </w:tcPr>
                <w:p w14:paraId="29B3C7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0.003</w:t>
                  </w:r>
                </w:p>
              </w:tc>
            </w:tr>
          </w:tbl>
          <w:p w14:paraId="19001D51">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表4-6</w:t>
            </w:r>
            <w:r>
              <w:rPr>
                <w:rFonts w:hint="eastAsia" w:ascii="Times New Roman" w:eastAsia="宋体" w:cs="Times New Roman"/>
                <w:b/>
                <w:bCs/>
                <w:color w:val="auto"/>
                <w:kern w:val="2"/>
                <w:sz w:val="21"/>
                <w:szCs w:val="21"/>
                <w:lang w:val="en-US" w:eastAsia="zh-CN" w:bidi="ar-SA"/>
              </w:rPr>
              <w:t xml:space="preserve"> </w:t>
            </w:r>
            <w:r>
              <w:rPr>
                <w:rFonts w:ascii="Times New Roman" w:hAnsi="Times New Roman" w:eastAsia="宋体" w:cs="Times New Roman"/>
                <w:b/>
                <w:bCs/>
                <w:color w:val="auto"/>
                <w:sz w:val="21"/>
                <w:szCs w:val="21"/>
                <w:highlight w:val="none"/>
                <w:lang w:eastAsia="zh-CN"/>
              </w:rPr>
              <w:t>本项目</w:t>
            </w:r>
            <w:r>
              <w:rPr>
                <w:rFonts w:hint="eastAsia" w:ascii="Times New Roman" w:hAnsi="Times New Roman" w:eastAsia="宋体" w:cs="Times New Roman"/>
                <w:b/>
                <w:bCs/>
                <w:color w:val="auto"/>
                <w:sz w:val="21"/>
                <w:szCs w:val="21"/>
                <w:highlight w:val="none"/>
                <w:lang w:val="en-US" w:eastAsia="zh-CN"/>
              </w:rPr>
              <w:t>废气排放口</w:t>
            </w:r>
            <w:r>
              <w:rPr>
                <w:rFonts w:hint="default" w:ascii="Times New Roman" w:hAnsi="Times New Roman" w:cs="Times New Roman"/>
                <w:b/>
                <w:color w:val="auto"/>
                <w:sz w:val="21"/>
                <w:szCs w:val="21"/>
                <w:highlight w:val="none"/>
              </w:rPr>
              <w:t>基本情况信息</w:t>
            </w:r>
            <w:r>
              <w:rPr>
                <w:rFonts w:ascii="Times New Roman" w:hAnsi="Times New Roman" w:eastAsia="宋体" w:cs="Times New Roman"/>
                <w:b/>
                <w:bCs/>
                <w:color w:val="auto"/>
                <w:sz w:val="21"/>
                <w:szCs w:val="21"/>
                <w:highlight w:val="none"/>
                <w:lang w:eastAsia="zh-CN"/>
              </w:rPr>
              <w:t>一览表</w:t>
            </w:r>
          </w:p>
          <w:tbl>
            <w:tblPr>
              <w:tblStyle w:val="132"/>
              <w:tblW w:w="4994"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87"/>
              <w:gridCol w:w="2075"/>
              <w:gridCol w:w="1786"/>
              <w:gridCol w:w="1788"/>
              <w:gridCol w:w="1188"/>
              <w:gridCol w:w="721"/>
              <w:gridCol w:w="993"/>
              <w:gridCol w:w="883"/>
              <w:gridCol w:w="929"/>
              <w:gridCol w:w="711"/>
              <w:gridCol w:w="867"/>
            </w:tblGrid>
            <w:tr w14:paraId="24D130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vMerge w:val="restart"/>
                  <w:tcBorders>
                    <w:tl2br w:val="nil"/>
                    <w:tr2bl w:val="nil"/>
                  </w:tcBorders>
                  <w:noWrap w:val="0"/>
                  <w:vAlign w:val="center"/>
                </w:tcPr>
                <w:p w14:paraId="5E9F0A1E">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排污口编号</w:t>
                  </w:r>
                </w:p>
              </w:tc>
              <w:tc>
                <w:tcPr>
                  <w:tcW w:w="809" w:type="pct"/>
                  <w:vMerge w:val="restart"/>
                  <w:tcBorders>
                    <w:tl2br w:val="nil"/>
                    <w:tr2bl w:val="nil"/>
                  </w:tcBorders>
                  <w:noWrap w:val="0"/>
                  <w:vAlign w:val="center"/>
                </w:tcPr>
                <w:p w14:paraId="62383B49">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排污口名称</w:t>
                  </w:r>
                </w:p>
              </w:tc>
              <w:tc>
                <w:tcPr>
                  <w:tcW w:w="1393" w:type="pct"/>
                  <w:gridSpan w:val="2"/>
                  <w:tcBorders>
                    <w:tl2br w:val="nil"/>
                    <w:tr2bl w:val="nil"/>
                  </w:tcBorders>
                  <w:noWrap w:val="0"/>
                  <w:vAlign w:val="center"/>
                </w:tcPr>
                <w:p w14:paraId="08FA9014">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0"/>
                      <w:sz w:val="21"/>
                      <w:szCs w:val="21"/>
                      <w:highlight w:val="none"/>
                      <w:lang w:eastAsia="zh-CN"/>
                    </w:rPr>
                    <w:t>排放口地理坐标（</w:t>
                  </w:r>
                  <w:r>
                    <w:rPr>
                      <w:rFonts w:hint="default" w:ascii="Times New Roman" w:hAnsi="Times New Roman" w:eastAsia="宋体" w:cs="Times New Roman"/>
                      <w:b/>
                      <w:bCs/>
                      <w:snapToGrid/>
                      <w:color w:val="auto"/>
                      <w:kern w:val="0"/>
                      <w:sz w:val="21"/>
                      <w:szCs w:val="21"/>
                      <w:highlight w:val="none"/>
                      <w:lang w:val="en-US" w:eastAsia="zh-CN"/>
                    </w:rPr>
                    <w:t>°</w:t>
                  </w:r>
                  <w:r>
                    <w:rPr>
                      <w:rFonts w:hint="default" w:ascii="Times New Roman" w:hAnsi="Times New Roman" w:eastAsia="宋体" w:cs="Times New Roman"/>
                      <w:b/>
                      <w:bCs/>
                      <w:snapToGrid/>
                      <w:color w:val="auto"/>
                      <w:kern w:val="0"/>
                      <w:sz w:val="21"/>
                      <w:szCs w:val="21"/>
                      <w:highlight w:val="none"/>
                      <w:lang w:eastAsia="zh-CN"/>
                    </w:rPr>
                    <w:t>）</w:t>
                  </w:r>
                </w:p>
              </w:tc>
              <w:tc>
                <w:tcPr>
                  <w:tcW w:w="463" w:type="pct"/>
                  <w:vMerge w:val="restart"/>
                  <w:tcBorders>
                    <w:right w:val="single" w:color="auto" w:sz="4" w:space="0"/>
                    <w:tl2br w:val="nil"/>
                    <w:tr2bl w:val="nil"/>
                  </w:tcBorders>
                  <w:noWrap w:val="0"/>
                  <w:vAlign w:val="center"/>
                </w:tcPr>
                <w:p w14:paraId="3609EB03">
                  <w:pPr>
                    <w:jc w:val="center"/>
                    <w:rPr>
                      <w:rFonts w:hint="default" w:ascii="Times New Roman" w:hAnsi="Times New Roman" w:eastAsia="宋体" w:cs="Times New Roman"/>
                      <w:b/>
                      <w:bCs/>
                      <w:snapToGrid/>
                      <w:color w:val="auto"/>
                      <w:kern w:val="2"/>
                      <w:sz w:val="21"/>
                      <w:szCs w:val="21"/>
                      <w:highlight w:val="none"/>
                      <w:lang w:val="en-US" w:eastAsia="zh-CN"/>
                    </w:rPr>
                  </w:pPr>
                  <w:r>
                    <w:rPr>
                      <w:rFonts w:hint="default" w:ascii="Times New Roman" w:hAnsi="Times New Roman" w:cs="Times New Roman"/>
                      <w:b/>
                      <w:bCs/>
                      <w:snapToGrid/>
                      <w:color w:val="auto"/>
                      <w:kern w:val="2"/>
                      <w:sz w:val="21"/>
                      <w:szCs w:val="21"/>
                      <w:highlight w:val="none"/>
                      <w:lang w:val="en-US" w:eastAsia="zh-CN"/>
                    </w:rPr>
                    <w:t>类型</w:t>
                  </w:r>
                </w:p>
              </w:tc>
              <w:tc>
                <w:tcPr>
                  <w:tcW w:w="281" w:type="pct"/>
                  <w:vMerge w:val="restart"/>
                  <w:tcBorders>
                    <w:left w:val="single" w:color="auto" w:sz="4" w:space="0"/>
                    <w:right w:val="single" w:color="auto" w:sz="4" w:space="0"/>
                    <w:tl2br w:val="nil"/>
                    <w:tr2bl w:val="nil"/>
                  </w:tcBorders>
                  <w:noWrap w:val="0"/>
                  <w:vAlign w:val="center"/>
                </w:tcPr>
                <w:p w14:paraId="5DCEDAB7">
                  <w:pPr>
                    <w:jc w:val="center"/>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排气筒高度/m</w:t>
                  </w:r>
                </w:p>
              </w:tc>
              <w:tc>
                <w:tcPr>
                  <w:tcW w:w="387" w:type="pct"/>
                  <w:vMerge w:val="restart"/>
                  <w:tcBorders>
                    <w:left w:val="single" w:color="auto" w:sz="4" w:space="0"/>
                    <w:right w:val="single" w:color="auto" w:sz="4" w:space="0"/>
                    <w:tl2br w:val="nil"/>
                    <w:tr2bl w:val="nil"/>
                  </w:tcBorders>
                  <w:noWrap w:val="0"/>
                  <w:vAlign w:val="center"/>
                </w:tcPr>
                <w:p w14:paraId="195DFD37">
                  <w:pPr>
                    <w:jc w:val="center"/>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排气筒出口内径/m</w:t>
                  </w:r>
                </w:p>
              </w:tc>
              <w:tc>
                <w:tcPr>
                  <w:tcW w:w="344" w:type="pct"/>
                  <w:vMerge w:val="restart"/>
                  <w:tcBorders>
                    <w:left w:val="single" w:color="auto" w:sz="4" w:space="0"/>
                    <w:right w:val="single" w:color="auto" w:sz="4" w:space="0"/>
                    <w:tl2br w:val="nil"/>
                    <w:tr2bl w:val="nil"/>
                  </w:tcBorders>
                  <w:noWrap w:val="0"/>
                  <w:vAlign w:val="center"/>
                </w:tcPr>
                <w:p w14:paraId="57F041A2">
                  <w:pPr>
                    <w:jc w:val="center"/>
                    <w:rPr>
                      <w:rFonts w:hint="default" w:ascii="Times New Roman" w:hAnsi="Times New Roman" w:cs="Times New Roman"/>
                      <w:b/>
                      <w:bCs/>
                      <w:color w:val="auto"/>
                      <w:sz w:val="21"/>
                      <w:szCs w:val="21"/>
                      <w:highlight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烟气流速（m/s）</w:t>
                  </w:r>
                </w:p>
              </w:tc>
              <w:tc>
                <w:tcPr>
                  <w:tcW w:w="362" w:type="pct"/>
                  <w:vMerge w:val="restart"/>
                  <w:tcBorders>
                    <w:left w:val="single" w:color="auto" w:sz="4" w:space="0"/>
                    <w:right w:val="single" w:color="auto" w:sz="4" w:space="0"/>
                    <w:tl2br w:val="nil"/>
                    <w:tr2bl w:val="nil"/>
                  </w:tcBorders>
                  <w:noWrap w:val="0"/>
                  <w:vAlign w:val="center"/>
                </w:tcPr>
                <w:p w14:paraId="4D31A556">
                  <w:pPr>
                    <w:jc w:val="center"/>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烟气量（m³/h）</w:t>
                  </w:r>
                </w:p>
              </w:tc>
              <w:tc>
                <w:tcPr>
                  <w:tcW w:w="277" w:type="pct"/>
                  <w:vMerge w:val="restart"/>
                  <w:tcBorders>
                    <w:left w:val="single" w:color="auto" w:sz="4" w:space="0"/>
                    <w:right w:val="single" w:color="auto" w:sz="4" w:space="0"/>
                    <w:tl2br w:val="nil"/>
                    <w:tr2bl w:val="nil"/>
                  </w:tcBorders>
                  <w:noWrap w:val="0"/>
                  <w:vAlign w:val="center"/>
                </w:tcPr>
                <w:p w14:paraId="383BF8BF">
                  <w:pPr>
                    <w:jc w:val="center"/>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烟气温度</w:t>
                  </w:r>
                </w:p>
              </w:tc>
              <w:tc>
                <w:tcPr>
                  <w:tcW w:w="335" w:type="pct"/>
                  <w:vMerge w:val="restart"/>
                  <w:tcBorders>
                    <w:left w:val="single" w:color="auto" w:sz="4" w:space="0"/>
                    <w:tl2br w:val="nil"/>
                    <w:tr2bl w:val="nil"/>
                  </w:tcBorders>
                  <w:noWrap w:val="0"/>
                  <w:vAlign w:val="center"/>
                </w:tcPr>
                <w:p w14:paraId="0DA4124F">
                  <w:pPr>
                    <w:jc w:val="center"/>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年排放小时数/h</w:t>
                  </w:r>
                </w:p>
              </w:tc>
            </w:tr>
            <w:tr w14:paraId="63C5D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vMerge w:val="continue"/>
                  <w:tcBorders>
                    <w:tl2br w:val="nil"/>
                    <w:tr2bl w:val="nil"/>
                  </w:tcBorders>
                  <w:noWrap w:val="0"/>
                  <w:vAlign w:val="center"/>
                </w:tcPr>
                <w:p w14:paraId="44BAB7B9">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p>
              </w:tc>
              <w:tc>
                <w:tcPr>
                  <w:tcW w:w="809" w:type="pct"/>
                  <w:vMerge w:val="continue"/>
                  <w:tcBorders>
                    <w:tl2br w:val="nil"/>
                    <w:tr2bl w:val="nil"/>
                  </w:tcBorders>
                  <w:noWrap w:val="0"/>
                  <w:vAlign w:val="center"/>
                </w:tcPr>
                <w:p w14:paraId="5EF67F4F">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p>
              </w:tc>
              <w:tc>
                <w:tcPr>
                  <w:tcW w:w="696" w:type="pct"/>
                  <w:tcBorders>
                    <w:tl2br w:val="nil"/>
                    <w:tr2bl w:val="nil"/>
                  </w:tcBorders>
                  <w:noWrap w:val="0"/>
                  <w:vAlign w:val="center"/>
                </w:tcPr>
                <w:p w14:paraId="3D807DFA">
                  <w:pPr>
                    <w:widowControl w:val="0"/>
                    <w:kinsoku/>
                    <w:autoSpaceDE w:val="0"/>
                    <w:autoSpaceDN w:val="0"/>
                    <w:adjustRightInd w:val="0"/>
                    <w:snapToGrid/>
                    <w:spacing w:line="240" w:lineRule="auto"/>
                    <w:jc w:val="center"/>
                    <w:textAlignment w:val="auto"/>
                    <w:rPr>
                      <w:rFonts w:hint="default" w:ascii="Times New Roman" w:hAnsi="Times New Roman" w:eastAsia="宋体" w:cs="Times New Roman"/>
                      <w:b/>
                      <w:bCs/>
                      <w:snapToGrid/>
                      <w:color w:val="auto"/>
                      <w:kern w:val="2"/>
                      <w:sz w:val="21"/>
                      <w:szCs w:val="21"/>
                      <w:highlight w:val="none"/>
                      <w:lang w:val="en-US" w:eastAsia="zh-CN" w:bidi="ar-SA"/>
                    </w:rPr>
                  </w:pPr>
                  <w:r>
                    <w:rPr>
                      <w:rFonts w:hint="default" w:ascii="Times New Roman" w:hAnsi="Times New Roman" w:eastAsia="宋体" w:cs="Times New Roman"/>
                      <w:b/>
                      <w:bCs/>
                      <w:snapToGrid/>
                      <w:color w:val="auto"/>
                      <w:kern w:val="0"/>
                      <w:sz w:val="21"/>
                      <w:szCs w:val="21"/>
                      <w:highlight w:val="none"/>
                      <w:lang w:eastAsia="zh-CN"/>
                    </w:rPr>
                    <w:t>经度</w:t>
                  </w:r>
                </w:p>
              </w:tc>
              <w:tc>
                <w:tcPr>
                  <w:tcW w:w="696" w:type="pct"/>
                  <w:tcBorders>
                    <w:tl2br w:val="nil"/>
                    <w:tr2bl w:val="nil"/>
                  </w:tcBorders>
                  <w:noWrap w:val="0"/>
                  <w:vAlign w:val="center"/>
                </w:tcPr>
                <w:p w14:paraId="16968B6E">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b/>
                      <w:bCs/>
                      <w:snapToGrid/>
                      <w:color w:val="auto"/>
                      <w:kern w:val="0"/>
                      <w:sz w:val="21"/>
                      <w:szCs w:val="21"/>
                      <w:highlight w:val="none"/>
                      <w:lang w:eastAsia="zh-CN"/>
                    </w:rPr>
                    <w:t>纬度</w:t>
                  </w:r>
                </w:p>
              </w:tc>
              <w:tc>
                <w:tcPr>
                  <w:tcW w:w="463" w:type="pct"/>
                  <w:vMerge w:val="continue"/>
                  <w:tcBorders>
                    <w:right w:val="single" w:color="auto" w:sz="4" w:space="0"/>
                    <w:tl2br w:val="nil"/>
                    <w:tr2bl w:val="nil"/>
                  </w:tcBorders>
                  <w:noWrap w:val="0"/>
                  <w:vAlign w:val="center"/>
                </w:tcPr>
                <w:p w14:paraId="51A72938">
                  <w:pPr>
                    <w:jc w:val="center"/>
                    <w:rPr>
                      <w:rFonts w:hint="default" w:ascii="Times New Roman" w:hAnsi="Times New Roman" w:eastAsia="宋体" w:cs="Times New Roman"/>
                      <w:b/>
                      <w:bCs/>
                      <w:snapToGrid/>
                      <w:color w:val="auto"/>
                      <w:kern w:val="2"/>
                      <w:sz w:val="21"/>
                      <w:szCs w:val="21"/>
                      <w:highlight w:val="none"/>
                      <w:lang w:val="en-US" w:eastAsia="zh-CN"/>
                    </w:rPr>
                  </w:pPr>
                </w:p>
              </w:tc>
              <w:tc>
                <w:tcPr>
                  <w:tcW w:w="281" w:type="pct"/>
                  <w:vMerge w:val="continue"/>
                  <w:tcBorders>
                    <w:left w:val="single" w:color="auto" w:sz="4" w:space="0"/>
                    <w:right w:val="single" w:color="auto" w:sz="4" w:space="0"/>
                    <w:tl2br w:val="nil"/>
                    <w:tr2bl w:val="nil"/>
                  </w:tcBorders>
                  <w:noWrap w:val="0"/>
                  <w:vAlign w:val="center"/>
                </w:tcPr>
                <w:p w14:paraId="5E807E73">
                  <w:pPr>
                    <w:jc w:val="center"/>
                    <w:rPr>
                      <w:rFonts w:hint="default" w:ascii="Times New Roman" w:hAnsi="Times New Roman" w:eastAsia="宋体" w:cs="Times New Roman"/>
                      <w:b/>
                      <w:bCs/>
                      <w:snapToGrid/>
                      <w:color w:val="auto"/>
                      <w:kern w:val="2"/>
                      <w:sz w:val="21"/>
                      <w:szCs w:val="21"/>
                      <w:highlight w:val="none"/>
                      <w:lang w:val="en-US" w:eastAsia="zh-CN" w:bidi="ar-SA"/>
                    </w:rPr>
                  </w:pPr>
                </w:p>
              </w:tc>
              <w:tc>
                <w:tcPr>
                  <w:tcW w:w="387" w:type="pct"/>
                  <w:vMerge w:val="continue"/>
                  <w:tcBorders>
                    <w:left w:val="single" w:color="auto" w:sz="4" w:space="0"/>
                    <w:right w:val="single" w:color="auto" w:sz="4" w:space="0"/>
                    <w:tl2br w:val="nil"/>
                    <w:tr2bl w:val="nil"/>
                  </w:tcBorders>
                  <w:noWrap w:val="0"/>
                  <w:vAlign w:val="center"/>
                </w:tcPr>
                <w:p w14:paraId="6CDBB8FB">
                  <w:pPr>
                    <w:jc w:val="center"/>
                    <w:rPr>
                      <w:rFonts w:hint="default" w:ascii="Times New Roman" w:hAnsi="Times New Roman" w:eastAsia="宋体" w:cs="Times New Roman"/>
                      <w:b/>
                      <w:bCs/>
                      <w:snapToGrid/>
                      <w:color w:val="auto"/>
                      <w:kern w:val="2"/>
                      <w:sz w:val="21"/>
                      <w:szCs w:val="21"/>
                      <w:highlight w:val="none"/>
                      <w:lang w:val="en-US" w:eastAsia="zh-CN" w:bidi="ar-SA"/>
                    </w:rPr>
                  </w:pPr>
                </w:p>
              </w:tc>
              <w:tc>
                <w:tcPr>
                  <w:tcW w:w="344" w:type="pct"/>
                  <w:vMerge w:val="continue"/>
                  <w:tcBorders>
                    <w:left w:val="single" w:color="auto" w:sz="4" w:space="0"/>
                    <w:right w:val="single" w:color="auto" w:sz="4" w:space="0"/>
                    <w:tl2br w:val="nil"/>
                    <w:tr2bl w:val="nil"/>
                  </w:tcBorders>
                  <w:noWrap w:val="0"/>
                  <w:vAlign w:val="center"/>
                </w:tcPr>
                <w:p w14:paraId="1F024D19">
                  <w:pPr>
                    <w:jc w:val="center"/>
                    <w:rPr>
                      <w:rFonts w:hint="default" w:ascii="Times New Roman" w:hAnsi="Times New Roman" w:eastAsia="宋体" w:cs="Times New Roman"/>
                      <w:b/>
                      <w:bCs/>
                      <w:snapToGrid/>
                      <w:color w:val="auto"/>
                      <w:kern w:val="2"/>
                      <w:sz w:val="21"/>
                      <w:szCs w:val="21"/>
                      <w:highlight w:val="none"/>
                      <w:lang w:val="en-US" w:eastAsia="zh-CN" w:bidi="ar-SA"/>
                    </w:rPr>
                  </w:pPr>
                </w:p>
              </w:tc>
              <w:tc>
                <w:tcPr>
                  <w:tcW w:w="362" w:type="pct"/>
                  <w:vMerge w:val="continue"/>
                  <w:tcBorders>
                    <w:left w:val="single" w:color="auto" w:sz="4" w:space="0"/>
                    <w:right w:val="single" w:color="auto" w:sz="4" w:space="0"/>
                    <w:tl2br w:val="nil"/>
                    <w:tr2bl w:val="nil"/>
                  </w:tcBorders>
                  <w:noWrap w:val="0"/>
                  <w:vAlign w:val="center"/>
                </w:tcPr>
                <w:p w14:paraId="7F4A6F30">
                  <w:pPr>
                    <w:jc w:val="center"/>
                    <w:rPr>
                      <w:rFonts w:hint="default" w:ascii="Times New Roman" w:hAnsi="Times New Roman" w:eastAsia="宋体" w:cs="Times New Roman"/>
                      <w:b/>
                      <w:bCs/>
                      <w:snapToGrid/>
                      <w:color w:val="auto"/>
                      <w:kern w:val="2"/>
                      <w:sz w:val="21"/>
                      <w:szCs w:val="21"/>
                      <w:highlight w:val="none"/>
                      <w:lang w:val="en-US" w:eastAsia="zh-CN" w:bidi="ar-SA"/>
                    </w:rPr>
                  </w:pPr>
                </w:p>
              </w:tc>
              <w:tc>
                <w:tcPr>
                  <w:tcW w:w="277" w:type="pct"/>
                  <w:vMerge w:val="continue"/>
                  <w:tcBorders>
                    <w:left w:val="single" w:color="auto" w:sz="4" w:space="0"/>
                    <w:right w:val="single" w:color="auto" w:sz="4" w:space="0"/>
                    <w:tl2br w:val="nil"/>
                    <w:tr2bl w:val="nil"/>
                  </w:tcBorders>
                  <w:noWrap w:val="0"/>
                  <w:vAlign w:val="center"/>
                </w:tcPr>
                <w:p w14:paraId="4DCDEADA">
                  <w:pPr>
                    <w:jc w:val="center"/>
                    <w:rPr>
                      <w:rFonts w:hint="default" w:ascii="Times New Roman" w:hAnsi="Times New Roman" w:eastAsia="宋体" w:cs="Times New Roman"/>
                      <w:b/>
                      <w:bCs/>
                      <w:snapToGrid/>
                      <w:color w:val="auto"/>
                      <w:kern w:val="2"/>
                      <w:sz w:val="21"/>
                      <w:szCs w:val="21"/>
                      <w:highlight w:val="none"/>
                      <w:lang w:val="en-US" w:eastAsia="zh-CN" w:bidi="ar-SA"/>
                    </w:rPr>
                  </w:pPr>
                </w:p>
              </w:tc>
              <w:tc>
                <w:tcPr>
                  <w:tcW w:w="335" w:type="pct"/>
                  <w:vMerge w:val="continue"/>
                  <w:tcBorders>
                    <w:left w:val="single" w:color="auto" w:sz="4" w:space="0"/>
                    <w:tl2br w:val="nil"/>
                    <w:tr2bl w:val="nil"/>
                  </w:tcBorders>
                  <w:noWrap w:val="0"/>
                  <w:vAlign w:val="center"/>
                </w:tcPr>
                <w:p w14:paraId="497B8D27">
                  <w:pPr>
                    <w:jc w:val="center"/>
                    <w:rPr>
                      <w:rFonts w:hint="default" w:ascii="Times New Roman" w:hAnsi="Times New Roman" w:eastAsia="宋体" w:cs="Times New Roman"/>
                      <w:b/>
                      <w:bCs/>
                      <w:snapToGrid/>
                      <w:color w:val="auto"/>
                      <w:kern w:val="2"/>
                      <w:sz w:val="21"/>
                      <w:szCs w:val="21"/>
                      <w:highlight w:val="none"/>
                      <w:lang w:val="en-US" w:eastAsia="zh-CN" w:bidi="ar-SA"/>
                    </w:rPr>
                  </w:pPr>
                </w:p>
              </w:tc>
            </w:tr>
            <w:tr w14:paraId="4E359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tcBorders>
                    <w:tl2br w:val="nil"/>
                    <w:tr2bl w:val="nil"/>
                  </w:tcBorders>
                  <w:noWrap w:val="0"/>
                  <w:vAlign w:val="center"/>
                </w:tcPr>
                <w:p w14:paraId="473095BC">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DA001</w:t>
                  </w:r>
                </w:p>
              </w:tc>
              <w:tc>
                <w:tcPr>
                  <w:tcW w:w="809" w:type="pct"/>
                  <w:tcBorders>
                    <w:tl2br w:val="nil"/>
                    <w:tr2bl w:val="nil"/>
                  </w:tcBorders>
                  <w:noWrap w:val="0"/>
                  <w:vAlign w:val="center"/>
                </w:tcPr>
                <w:p w14:paraId="6CC0977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喷漆废气</w:t>
                  </w:r>
                </w:p>
              </w:tc>
              <w:tc>
                <w:tcPr>
                  <w:tcW w:w="696" w:type="pct"/>
                  <w:tcBorders>
                    <w:tl2br w:val="nil"/>
                    <w:tr2bl w:val="nil"/>
                  </w:tcBorders>
                  <w:noWrap w:val="0"/>
                  <w:vAlign w:val="center"/>
                </w:tcPr>
                <w:p w14:paraId="2684898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113°24′29.580″</w:t>
                  </w:r>
                </w:p>
              </w:tc>
              <w:tc>
                <w:tcPr>
                  <w:tcW w:w="696" w:type="pct"/>
                  <w:tcBorders>
                    <w:tl2br w:val="nil"/>
                    <w:tr2bl w:val="nil"/>
                  </w:tcBorders>
                  <w:noWrap w:val="0"/>
                  <w:vAlign w:val="center"/>
                </w:tcPr>
                <w:p w14:paraId="6D834D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25°9′23.709″</w:t>
                  </w:r>
                </w:p>
              </w:tc>
              <w:tc>
                <w:tcPr>
                  <w:tcW w:w="463" w:type="pct"/>
                  <w:tcBorders>
                    <w:tl2br w:val="nil"/>
                    <w:tr2bl w:val="nil"/>
                  </w:tcBorders>
                  <w:noWrap w:val="0"/>
                  <w:vAlign w:val="center"/>
                </w:tcPr>
                <w:p w14:paraId="1649E286">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主要</w:t>
                  </w:r>
                  <w:r>
                    <w:rPr>
                      <w:rFonts w:hint="eastAsia" w:ascii="Times New Roman" w:hAnsi="Times New Roman" w:eastAsia="宋体" w:cs="Times New Roman"/>
                      <w:snapToGrid/>
                      <w:color w:val="auto"/>
                      <w:kern w:val="2"/>
                      <w:sz w:val="21"/>
                      <w:szCs w:val="21"/>
                      <w:highlight w:val="none"/>
                      <w:lang w:val="en-US" w:eastAsia="zh-CN"/>
                    </w:rPr>
                    <w:t>排放口</w:t>
                  </w:r>
                </w:p>
              </w:tc>
              <w:tc>
                <w:tcPr>
                  <w:tcW w:w="281" w:type="pct"/>
                  <w:tcBorders>
                    <w:tl2br w:val="nil"/>
                    <w:tr2bl w:val="nil"/>
                  </w:tcBorders>
                  <w:noWrap w:val="0"/>
                  <w:vAlign w:val="center"/>
                </w:tcPr>
                <w:p w14:paraId="1A01B2A0">
                  <w:pPr>
                    <w:widowControl w:val="0"/>
                    <w:kinsoku/>
                    <w:autoSpaceDE/>
                    <w:autoSpaceDN/>
                    <w:adjustRightInd w:val="0"/>
                    <w:snapToGrid w:val="0"/>
                    <w:spacing w:line="240" w:lineRule="auto"/>
                    <w:jc w:val="center"/>
                    <w:textAlignment w:val="auto"/>
                    <w:rPr>
                      <w:rFonts w:hint="default" w:ascii="Times New Roman" w:hAnsi="Times New Roman" w:cs="Times New Roman"/>
                      <w:snapToGrid/>
                      <w:color w:val="auto"/>
                      <w:kern w:val="2"/>
                      <w:sz w:val="21"/>
                      <w:szCs w:val="21"/>
                      <w:highlight w:val="none"/>
                      <w:lang w:val="en-US" w:eastAsia="zh-CN"/>
                    </w:rPr>
                  </w:pPr>
                  <w:r>
                    <w:rPr>
                      <w:rFonts w:hint="eastAsia" w:ascii="Times New Roman" w:hAnsi="Times New Roman" w:cs="Times New Roman"/>
                      <w:snapToGrid/>
                      <w:color w:val="auto"/>
                      <w:kern w:val="2"/>
                      <w:sz w:val="21"/>
                      <w:szCs w:val="21"/>
                      <w:highlight w:val="none"/>
                      <w:lang w:val="en-US" w:eastAsia="zh-CN"/>
                    </w:rPr>
                    <w:t>15</w:t>
                  </w:r>
                </w:p>
              </w:tc>
              <w:tc>
                <w:tcPr>
                  <w:tcW w:w="387" w:type="pct"/>
                  <w:tcBorders>
                    <w:right w:val="single" w:color="auto" w:sz="4" w:space="0"/>
                    <w:tl2br w:val="nil"/>
                    <w:tr2bl w:val="nil"/>
                  </w:tcBorders>
                  <w:noWrap w:val="0"/>
                  <w:vAlign w:val="center"/>
                </w:tcPr>
                <w:p w14:paraId="4756A01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2.1</w:t>
                  </w:r>
                </w:p>
              </w:tc>
              <w:tc>
                <w:tcPr>
                  <w:tcW w:w="344" w:type="pct"/>
                  <w:tcBorders>
                    <w:left w:val="single" w:color="auto" w:sz="4" w:space="0"/>
                    <w:tl2br w:val="nil"/>
                    <w:tr2bl w:val="nil"/>
                  </w:tcBorders>
                  <w:noWrap w:val="0"/>
                  <w:vAlign w:val="center"/>
                </w:tcPr>
                <w:p w14:paraId="35584D53">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14.5</w:t>
                  </w:r>
                </w:p>
              </w:tc>
              <w:tc>
                <w:tcPr>
                  <w:tcW w:w="362" w:type="pct"/>
                  <w:tcBorders>
                    <w:right w:val="single" w:color="auto" w:sz="4" w:space="0"/>
                    <w:tl2br w:val="nil"/>
                    <w:tr2bl w:val="nil"/>
                  </w:tcBorders>
                  <w:noWrap w:val="0"/>
                  <w:vAlign w:val="center"/>
                </w:tcPr>
                <w:p w14:paraId="0939DA2E">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181200</w:t>
                  </w:r>
                </w:p>
              </w:tc>
              <w:tc>
                <w:tcPr>
                  <w:tcW w:w="277" w:type="pct"/>
                  <w:tcBorders>
                    <w:left w:val="single" w:color="auto" w:sz="4" w:space="0"/>
                    <w:tl2br w:val="nil"/>
                    <w:tr2bl w:val="nil"/>
                  </w:tcBorders>
                  <w:noWrap w:val="0"/>
                  <w:vAlign w:val="center"/>
                </w:tcPr>
                <w:p w14:paraId="08E72068">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25</w:t>
                  </w:r>
                  <w:r>
                    <w:rPr>
                      <w:rFonts w:hint="default" w:ascii="Times New Roman" w:hAnsi="Times New Roman" w:cs="Times New Roman"/>
                      <w:b w:val="0"/>
                      <w:bCs w:val="0"/>
                      <w:color w:val="auto"/>
                      <w:sz w:val="21"/>
                      <w:szCs w:val="21"/>
                      <w:highlight w:val="none"/>
                    </w:rPr>
                    <w:t>℃</w:t>
                  </w:r>
                </w:p>
              </w:tc>
              <w:tc>
                <w:tcPr>
                  <w:tcW w:w="335" w:type="pct"/>
                  <w:tcBorders>
                    <w:tl2br w:val="nil"/>
                    <w:tr2bl w:val="nil"/>
                  </w:tcBorders>
                  <w:noWrap w:val="0"/>
                  <w:vAlign w:val="center"/>
                </w:tcPr>
                <w:p w14:paraId="5C2EE0B3">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1928</w:t>
                  </w:r>
                </w:p>
              </w:tc>
            </w:tr>
            <w:tr w14:paraId="46FD5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tcBorders>
                    <w:tl2br w:val="nil"/>
                    <w:tr2bl w:val="nil"/>
                  </w:tcBorders>
                  <w:noWrap w:val="0"/>
                  <w:vAlign w:val="center"/>
                </w:tcPr>
                <w:p w14:paraId="2E2AB2B2">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DA002</w:t>
                  </w:r>
                </w:p>
              </w:tc>
              <w:tc>
                <w:tcPr>
                  <w:tcW w:w="809" w:type="pct"/>
                  <w:tcBorders>
                    <w:tl2br w:val="nil"/>
                    <w:tr2bl w:val="nil"/>
                  </w:tcBorders>
                  <w:noWrap w:val="0"/>
                  <w:vAlign w:val="center"/>
                </w:tcPr>
                <w:p w14:paraId="7F19D574">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固化废气</w:t>
                  </w:r>
                </w:p>
              </w:tc>
              <w:tc>
                <w:tcPr>
                  <w:tcW w:w="696" w:type="pct"/>
                  <w:tcBorders>
                    <w:tl2br w:val="nil"/>
                    <w:tr2bl w:val="nil"/>
                  </w:tcBorders>
                  <w:noWrap w:val="0"/>
                  <w:vAlign w:val="center"/>
                </w:tcPr>
                <w:p w14:paraId="55AF90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113°24′29.546″</w:t>
                  </w:r>
                </w:p>
              </w:tc>
              <w:tc>
                <w:tcPr>
                  <w:tcW w:w="696" w:type="pct"/>
                  <w:tcBorders>
                    <w:tl2br w:val="nil"/>
                    <w:tr2bl w:val="nil"/>
                  </w:tcBorders>
                  <w:noWrap w:val="0"/>
                  <w:vAlign w:val="center"/>
                </w:tcPr>
                <w:p w14:paraId="3998DA6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25°9′22.99</w:t>
                  </w: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w:t>
                  </w:r>
                </w:p>
              </w:tc>
              <w:tc>
                <w:tcPr>
                  <w:tcW w:w="463" w:type="pct"/>
                  <w:tcBorders>
                    <w:tl2br w:val="nil"/>
                    <w:tr2bl w:val="nil"/>
                  </w:tcBorders>
                  <w:noWrap w:val="0"/>
                  <w:vAlign w:val="center"/>
                </w:tcPr>
                <w:p w14:paraId="6181C2D0">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主要排放口</w:t>
                  </w:r>
                </w:p>
              </w:tc>
              <w:tc>
                <w:tcPr>
                  <w:tcW w:w="281" w:type="pct"/>
                  <w:tcBorders>
                    <w:tl2br w:val="nil"/>
                    <w:tr2bl w:val="nil"/>
                  </w:tcBorders>
                  <w:noWrap w:val="0"/>
                  <w:vAlign w:val="center"/>
                </w:tcPr>
                <w:p w14:paraId="7088B729">
                  <w:pPr>
                    <w:widowControl w:val="0"/>
                    <w:kinsoku/>
                    <w:autoSpaceDE/>
                    <w:autoSpaceDN/>
                    <w:adjustRightInd w:val="0"/>
                    <w:snapToGrid w:val="0"/>
                    <w:spacing w:line="240" w:lineRule="auto"/>
                    <w:jc w:val="center"/>
                    <w:textAlignment w:val="auto"/>
                    <w:rPr>
                      <w:rFonts w:hint="default" w:ascii="Times New Roman" w:hAnsi="Times New Roman" w:cs="Times New Roman"/>
                      <w:snapToGrid/>
                      <w:color w:val="auto"/>
                      <w:kern w:val="2"/>
                      <w:sz w:val="21"/>
                      <w:szCs w:val="21"/>
                      <w:highlight w:val="none"/>
                      <w:lang w:val="en-US" w:eastAsia="zh-CN"/>
                    </w:rPr>
                  </w:pPr>
                  <w:r>
                    <w:rPr>
                      <w:rFonts w:hint="eastAsia" w:ascii="Times New Roman" w:hAnsi="Times New Roman" w:cs="Times New Roman"/>
                      <w:snapToGrid/>
                      <w:color w:val="auto"/>
                      <w:kern w:val="2"/>
                      <w:sz w:val="21"/>
                      <w:szCs w:val="21"/>
                      <w:highlight w:val="none"/>
                      <w:lang w:val="en-US" w:eastAsia="zh-CN"/>
                    </w:rPr>
                    <w:t>15</w:t>
                  </w:r>
                </w:p>
              </w:tc>
              <w:tc>
                <w:tcPr>
                  <w:tcW w:w="387" w:type="pct"/>
                  <w:tcBorders>
                    <w:right w:val="single" w:color="auto" w:sz="4" w:space="0"/>
                    <w:tl2br w:val="nil"/>
                    <w:tr2bl w:val="nil"/>
                  </w:tcBorders>
                  <w:noWrap w:val="0"/>
                  <w:vAlign w:val="center"/>
                </w:tcPr>
                <w:p w14:paraId="1460CA56">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1.0</w:t>
                  </w:r>
                </w:p>
              </w:tc>
              <w:tc>
                <w:tcPr>
                  <w:tcW w:w="344" w:type="pct"/>
                  <w:tcBorders>
                    <w:left w:val="single" w:color="auto" w:sz="4" w:space="0"/>
                    <w:tl2br w:val="nil"/>
                    <w:tr2bl w:val="nil"/>
                  </w:tcBorders>
                  <w:noWrap w:val="0"/>
                  <w:vAlign w:val="center"/>
                </w:tcPr>
                <w:p w14:paraId="613BE77C">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14.1</w:t>
                  </w:r>
                </w:p>
              </w:tc>
              <w:tc>
                <w:tcPr>
                  <w:tcW w:w="362" w:type="pct"/>
                  <w:tcBorders>
                    <w:right w:val="single" w:color="auto" w:sz="4" w:space="0"/>
                    <w:tl2br w:val="nil"/>
                    <w:tr2bl w:val="nil"/>
                  </w:tcBorders>
                  <w:noWrap w:val="0"/>
                  <w:vAlign w:val="center"/>
                </w:tcPr>
                <w:p w14:paraId="560870B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40000</w:t>
                  </w:r>
                </w:p>
              </w:tc>
              <w:tc>
                <w:tcPr>
                  <w:tcW w:w="277" w:type="pct"/>
                  <w:tcBorders>
                    <w:left w:val="single" w:color="auto" w:sz="4" w:space="0"/>
                    <w:tl2br w:val="nil"/>
                    <w:tr2bl w:val="nil"/>
                  </w:tcBorders>
                  <w:noWrap w:val="0"/>
                  <w:vAlign w:val="center"/>
                </w:tcPr>
                <w:p w14:paraId="1BD6590B">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3</w:t>
                  </w:r>
                  <w:r>
                    <w:rPr>
                      <w:rFonts w:hint="eastAsia" w:ascii="Times New Roman" w:hAnsi="Times New Roman" w:eastAsia="宋体" w:cs="Times New Roman"/>
                      <w:snapToGrid/>
                      <w:color w:val="auto"/>
                      <w:kern w:val="2"/>
                      <w:sz w:val="21"/>
                      <w:szCs w:val="21"/>
                      <w:highlight w:val="none"/>
                      <w:lang w:val="en-US" w:eastAsia="zh-CN"/>
                    </w:rPr>
                    <w:t>5</w:t>
                  </w:r>
                  <w:r>
                    <w:rPr>
                      <w:rFonts w:hint="default" w:ascii="Times New Roman" w:hAnsi="Times New Roman" w:cs="Times New Roman"/>
                      <w:b w:val="0"/>
                      <w:bCs w:val="0"/>
                      <w:color w:val="auto"/>
                      <w:sz w:val="21"/>
                      <w:szCs w:val="21"/>
                      <w:highlight w:val="none"/>
                    </w:rPr>
                    <w:t>℃</w:t>
                  </w:r>
                </w:p>
              </w:tc>
              <w:tc>
                <w:tcPr>
                  <w:tcW w:w="335" w:type="pct"/>
                  <w:tcBorders>
                    <w:tl2br w:val="nil"/>
                    <w:tr2bl w:val="nil"/>
                  </w:tcBorders>
                  <w:noWrap w:val="0"/>
                  <w:vAlign w:val="center"/>
                </w:tcPr>
                <w:p w14:paraId="57E7927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1928</w:t>
                  </w:r>
                </w:p>
              </w:tc>
            </w:tr>
            <w:tr w14:paraId="3C86E4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tcBorders>
                    <w:tl2br w:val="nil"/>
                    <w:tr2bl w:val="nil"/>
                  </w:tcBorders>
                  <w:noWrap w:val="0"/>
                  <w:vAlign w:val="center"/>
                </w:tcPr>
                <w:p w14:paraId="5AC290F4">
                  <w:pPr>
                    <w:widowControl w:val="0"/>
                    <w:kinsoku/>
                    <w:autoSpaceDE/>
                    <w:autoSpaceDN/>
                    <w:adjustRightInd w:val="0"/>
                    <w:snapToGrid w:val="0"/>
                    <w:spacing w:line="240" w:lineRule="auto"/>
                    <w:jc w:val="center"/>
                    <w:textAlignment w:val="auto"/>
                    <w:rPr>
                      <w:rFonts w:hint="default"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DA003</w:t>
                  </w:r>
                </w:p>
              </w:tc>
              <w:tc>
                <w:tcPr>
                  <w:tcW w:w="809" w:type="pct"/>
                  <w:tcBorders>
                    <w:tl2br w:val="nil"/>
                    <w:tr2bl w:val="nil"/>
                  </w:tcBorders>
                  <w:noWrap w:val="0"/>
                  <w:vAlign w:val="center"/>
                </w:tcPr>
                <w:p w14:paraId="2ED29838">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表面预处理废气</w:t>
                  </w:r>
                </w:p>
              </w:tc>
              <w:tc>
                <w:tcPr>
                  <w:tcW w:w="696" w:type="pct"/>
                  <w:tcBorders>
                    <w:tl2br w:val="nil"/>
                    <w:tr2bl w:val="nil"/>
                  </w:tcBorders>
                  <w:noWrap w:val="0"/>
                  <w:vAlign w:val="center"/>
                </w:tcPr>
                <w:p w14:paraId="5FBD6D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113°24′29.47</w:t>
                  </w:r>
                  <w:r>
                    <w:rPr>
                      <w:rFonts w:hint="eastAsia" w:cs="Times New Roman"/>
                      <w:i w:val="0"/>
                      <w:iCs w:val="0"/>
                      <w:color w:val="auto"/>
                      <w:kern w:val="0"/>
                      <w:sz w:val="21"/>
                      <w:szCs w:val="21"/>
                      <w:u w:val="none"/>
                      <w:lang w:val="en-US" w:eastAsia="zh-CN" w:bidi="ar"/>
                    </w:rPr>
                    <w:t>9</w:t>
                  </w:r>
                  <w:r>
                    <w:rPr>
                      <w:rFonts w:hint="default" w:ascii="Times New Roman" w:hAnsi="Times New Roman" w:eastAsia="宋体" w:cs="Times New Roman"/>
                      <w:i w:val="0"/>
                      <w:iCs w:val="0"/>
                      <w:color w:val="auto"/>
                      <w:kern w:val="0"/>
                      <w:sz w:val="21"/>
                      <w:szCs w:val="21"/>
                      <w:u w:val="none"/>
                      <w:lang w:val="en-US" w:eastAsia="zh-CN" w:bidi="ar"/>
                    </w:rPr>
                    <w:t>″</w:t>
                  </w:r>
                </w:p>
              </w:tc>
              <w:tc>
                <w:tcPr>
                  <w:tcW w:w="696" w:type="pct"/>
                  <w:tcBorders>
                    <w:tl2br w:val="nil"/>
                    <w:tr2bl w:val="nil"/>
                  </w:tcBorders>
                  <w:noWrap w:val="0"/>
                  <w:vAlign w:val="center"/>
                </w:tcPr>
                <w:p w14:paraId="05462F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25°9′25.616″</w:t>
                  </w:r>
                </w:p>
              </w:tc>
              <w:tc>
                <w:tcPr>
                  <w:tcW w:w="463" w:type="pct"/>
                  <w:tcBorders>
                    <w:tl2br w:val="nil"/>
                    <w:tr2bl w:val="nil"/>
                  </w:tcBorders>
                  <w:noWrap w:val="0"/>
                  <w:vAlign w:val="center"/>
                </w:tcPr>
                <w:p w14:paraId="0B5AA0F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一般排放口</w:t>
                  </w:r>
                </w:p>
              </w:tc>
              <w:tc>
                <w:tcPr>
                  <w:tcW w:w="281" w:type="pct"/>
                  <w:tcBorders>
                    <w:tl2br w:val="nil"/>
                    <w:tr2bl w:val="nil"/>
                  </w:tcBorders>
                  <w:noWrap w:val="0"/>
                  <w:vAlign w:val="center"/>
                </w:tcPr>
                <w:p w14:paraId="726C6BE7">
                  <w:pPr>
                    <w:widowControl w:val="0"/>
                    <w:kinsoku/>
                    <w:autoSpaceDE/>
                    <w:autoSpaceDN/>
                    <w:adjustRightInd w:val="0"/>
                    <w:snapToGrid w:val="0"/>
                    <w:spacing w:line="240" w:lineRule="auto"/>
                    <w:jc w:val="center"/>
                    <w:textAlignment w:val="auto"/>
                    <w:rPr>
                      <w:rFonts w:hint="default" w:ascii="Times New Roman" w:hAnsi="Times New Roman"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15</w:t>
                  </w:r>
                </w:p>
              </w:tc>
              <w:tc>
                <w:tcPr>
                  <w:tcW w:w="387" w:type="pct"/>
                  <w:tcBorders>
                    <w:right w:val="single" w:color="auto" w:sz="4" w:space="0"/>
                    <w:tl2br w:val="nil"/>
                    <w:tr2bl w:val="nil"/>
                  </w:tcBorders>
                  <w:noWrap w:val="0"/>
                  <w:vAlign w:val="center"/>
                </w:tcPr>
                <w:p w14:paraId="02C9C09D">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0.5</w:t>
                  </w:r>
                </w:p>
              </w:tc>
              <w:tc>
                <w:tcPr>
                  <w:tcW w:w="344" w:type="pct"/>
                  <w:tcBorders>
                    <w:left w:val="single" w:color="auto" w:sz="4" w:space="0"/>
                    <w:tl2br w:val="nil"/>
                    <w:tr2bl w:val="nil"/>
                  </w:tcBorders>
                  <w:noWrap w:val="0"/>
                  <w:vAlign w:val="center"/>
                </w:tcPr>
                <w:p w14:paraId="2885BEE7">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12.86</w:t>
                  </w:r>
                </w:p>
              </w:tc>
              <w:tc>
                <w:tcPr>
                  <w:tcW w:w="362" w:type="pct"/>
                  <w:tcBorders>
                    <w:right w:val="single" w:color="auto" w:sz="4" w:space="0"/>
                    <w:tl2br w:val="nil"/>
                    <w:tr2bl w:val="nil"/>
                  </w:tcBorders>
                  <w:noWrap w:val="0"/>
                  <w:vAlign w:val="center"/>
                </w:tcPr>
                <w:p w14:paraId="23CEDA0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11000</w:t>
                  </w:r>
                </w:p>
              </w:tc>
              <w:tc>
                <w:tcPr>
                  <w:tcW w:w="711" w:type="dxa"/>
                  <w:tcBorders>
                    <w:left w:val="single" w:color="auto" w:sz="4" w:space="0"/>
                    <w:tl2br w:val="nil"/>
                    <w:tr2bl w:val="nil"/>
                  </w:tcBorders>
                  <w:noWrap w:val="0"/>
                  <w:vAlign w:val="center"/>
                </w:tcPr>
                <w:p w14:paraId="4CAC2B8E">
                  <w:pPr>
                    <w:widowControl w:val="0"/>
                    <w:kinsoku/>
                    <w:autoSpaceDE/>
                    <w:autoSpaceDN/>
                    <w:adjustRightInd w:val="0"/>
                    <w:snapToGrid w:val="0"/>
                    <w:spacing w:line="240" w:lineRule="auto"/>
                    <w:jc w:val="center"/>
                    <w:textAlignment w:val="auto"/>
                    <w:rPr>
                      <w:rFonts w:hint="default"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3</w:t>
                  </w:r>
                  <w:r>
                    <w:rPr>
                      <w:rFonts w:hint="eastAsia" w:ascii="Times New Roman" w:hAnsi="Times New Roman" w:eastAsia="宋体" w:cs="Times New Roman"/>
                      <w:snapToGrid/>
                      <w:color w:val="auto"/>
                      <w:kern w:val="2"/>
                      <w:sz w:val="21"/>
                      <w:szCs w:val="21"/>
                      <w:highlight w:val="none"/>
                      <w:lang w:val="en-US" w:eastAsia="zh-CN"/>
                    </w:rPr>
                    <w:t>5</w:t>
                  </w:r>
                  <w:r>
                    <w:rPr>
                      <w:rFonts w:hint="default" w:ascii="Times New Roman" w:hAnsi="Times New Roman" w:cs="Times New Roman"/>
                      <w:b w:val="0"/>
                      <w:bCs w:val="0"/>
                      <w:color w:val="auto"/>
                      <w:sz w:val="21"/>
                      <w:szCs w:val="21"/>
                      <w:highlight w:val="none"/>
                    </w:rPr>
                    <w:t>℃</w:t>
                  </w:r>
                </w:p>
              </w:tc>
              <w:tc>
                <w:tcPr>
                  <w:tcW w:w="867" w:type="dxa"/>
                  <w:tcBorders>
                    <w:tl2br w:val="nil"/>
                    <w:tr2bl w:val="nil"/>
                  </w:tcBorders>
                  <w:noWrap w:val="0"/>
                  <w:vAlign w:val="center"/>
                </w:tcPr>
                <w:p w14:paraId="68593991">
                  <w:pPr>
                    <w:widowControl w:val="0"/>
                    <w:kinsoku/>
                    <w:autoSpaceDE/>
                    <w:autoSpaceDN/>
                    <w:adjustRightInd w:val="0"/>
                    <w:snapToGrid w:val="0"/>
                    <w:spacing w:line="240" w:lineRule="auto"/>
                    <w:jc w:val="center"/>
                    <w:textAlignment w:val="auto"/>
                    <w:rPr>
                      <w:rFonts w:hint="eastAsia" w:ascii="Times New Roman" w:hAnsi="Times New Roman" w:eastAsia="宋体" w:cs="Times New Roman"/>
                      <w:snapToGrid/>
                      <w:color w:val="auto"/>
                      <w:kern w:val="2"/>
                      <w:sz w:val="21"/>
                      <w:szCs w:val="21"/>
                      <w:highlight w:val="none"/>
                      <w:lang w:val="en-US" w:eastAsia="zh-CN" w:bidi="ar-SA"/>
                    </w:rPr>
                  </w:pPr>
                  <w:r>
                    <w:rPr>
                      <w:rFonts w:hint="eastAsia" w:ascii="Times New Roman" w:hAnsi="Times New Roman" w:eastAsia="宋体" w:cs="Times New Roman"/>
                      <w:snapToGrid/>
                      <w:color w:val="auto"/>
                      <w:kern w:val="2"/>
                      <w:sz w:val="21"/>
                      <w:szCs w:val="21"/>
                      <w:highlight w:val="none"/>
                      <w:lang w:val="en-US" w:eastAsia="zh-CN" w:bidi="ar-SA"/>
                    </w:rPr>
                    <w:t>1928</w:t>
                  </w:r>
                </w:p>
              </w:tc>
            </w:tr>
            <w:tr w14:paraId="78CC6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346" w:type="pct"/>
                  <w:tcBorders>
                    <w:tl2br w:val="nil"/>
                    <w:tr2bl w:val="nil"/>
                  </w:tcBorders>
                  <w:noWrap w:val="0"/>
                  <w:vAlign w:val="center"/>
                </w:tcPr>
                <w:p w14:paraId="52C5D62D">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DA004</w:t>
                  </w:r>
                </w:p>
              </w:tc>
              <w:tc>
                <w:tcPr>
                  <w:tcW w:w="809" w:type="pct"/>
                  <w:tcBorders>
                    <w:tl2br w:val="nil"/>
                    <w:tr2bl w:val="nil"/>
                  </w:tcBorders>
                  <w:noWrap w:val="0"/>
                  <w:vAlign w:val="center"/>
                </w:tcPr>
                <w:p w14:paraId="5F4115A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油烟排放口</w:t>
                  </w:r>
                </w:p>
              </w:tc>
              <w:tc>
                <w:tcPr>
                  <w:tcW w:w="696" w:type="pct"/>
                  <w:tcBorders>
                    <w:tl2br w:val="nil"/>
                    <w:tr2bl w:val="nil"/>
                  </w:tcBorders>
                  <w:noWrap w:val="0"/>
                  <w:vAlign w:val="center"/>
                </w:tcPr>
                <w:p w14:paraId="562CAA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113°24′32.64</w:t>
                  </w:r>
                  <w:r>
                    <w:rPr>
                      <w:rFonts w:hint="eastAsia" w:cs="Times New Roman"/>
                      <w:i w:val="0"/>
                      <w:iCs w:val="0"/>
                      <w:color w:val="auto"/>
                      <w:kern w:val="0"/>
                      <w:sz w:val="21"/>
                      <w:szCs w:val="21"/>
                      <w:u w:val="none"/>
                      <w:lang w:val="en-US" w:eastAsia="zh-CN" w:bidi="ar"/>
                    </w:rPr>
                    <w:t>6</w:t>
                  </w:r>
                  <w:r>
                    <w:rPr>
                      <w:rFonts w:hint="default" w:ascii="Times New Roman" w:hAnsi="Times New Roman" w:eastAsia="宋体" w:cs="Times New Roman"/>
                      <w:i w:val="0"/>
                      <w:iCs w:val="0"/>
                      <w:color w:val="auto"/>
                      <w:kern w:val="0"/>
                      <w:sz w:val="21"/>
                      <w:szCs w:val="21"/>
                      <w:u w:val="none"/>
                      <w:lang w:val="en-US" w:eastAsia="zh-CN" w:bidi="ar"/>
                    </w:rPr>
                    <w:t>″</w:t>
                  </w:r>
                </w:p>
              </w:tc>
              <w:tc>
                <w:tcPr>
                  <w:tcW w:w="696" w:type="pct"/>
                  <w:tcBorders>
                    <w:tl2br w:val="nil"/>
                    <w:tr2bl w:val="nil"/>
                  </w:tcBorders>
                  <w:noWrap w:val="0"/>
                  <w:vAlign w:val="center"/>
                </w:tcPr>
                <w:p w14:paraId="6D00DC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25°9′22.352″</w:t>
                  </w:r>
                </w:p>
              </w:tc>
              <w:tc>
                <w:tcPr>
                  <w:tcW w:w="463" w:type="pct"/>
                  <w:tcBorders>
                    <w:tl2br w:val="nil"/>
                    <w:tr2bl w:val="nil"/>
                  </w:tcBorders>
                  <w:noWrap w:val="0"/>
                  <w:vAlign w:val="center"/>
                </w:tcPr>
                <w:p w14:paraId="3BCB44D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w:t>
                  </w:r>
                </w:p>
              </w:tc>
              <w:tc>
                <w:tcPr>
                  <w:tcW w:w="281" w:type="pct"/>
                  <w:tcBorders>
                    <w:tl2br w:val="nil"/>
                    <w:tr2bl w:val="nil"/>
                  </w:tcBorders>
                  <w:noWrap w:val="0"/>
                  <w:vAlign w:val="center"/>
                </w:tcPr>
                <w:p w14:paraId="584126C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5</w:t>
                  </w:r>
                </w:p>
              </w:tc>
              <w:tc>
                <w:tcPr>
                  <w:tcW w:w="387" w:type="pct"/>
                  <w:tcBorders>
                    <w:right w:val="single" w:color="auto" w:sz="4" w:space="0"/>
                    <w:tl2br w:val="nil"/>
                    <w:tr2bl w:val="nil"/>
                  </w:tcBorders>
                  <w:noWrap w:val="0"/>
                  <w:vAlign w:val="center"/>
                </w:tcPr>
                <w:p w14:paraId="5A7D1FB5">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0.4</w:t>
                  </w:r>
                </w:p>
              </w:tc>
              <w:tc>
                <w:tcPr>
                  <w:tcW w:w="344" w:type="pct"/>
                  <w:tcBorders>
                    <w:left w:val="single" w:color="auto" w:sz="4" w:space="0"/>
                    <w:tl2br w:val="nil"/>
                    <w:tr2bl w:val="nil"/>
                  </w:tcBorders>
                  <w:noWrap w:val="0"/>
                  <w:vAlign w:val="center"/>
                </w:tcPr>
                <w:p w14:paraId="18290C4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13.27</w:t>
                  </w:r>
                </w:p>
              </w:tc>
              <w:tc>
                <w:tcPr>
                  <w:tcW w:w="362" w:type="pct"/>
                  <w:tcBorders>
                    <w:right w:val="single" w:color="auto" w:sz="4" w:space="0"/>
                    <w:tl2br w:val="nil"/>
                    <w:tr2bl w:val="nil"/>
                  </w:tcBorders>
                  <w:noWrap w:val="0"/>
                  <w:vAlign w:val="center"/>
                </w:tcPr>
                <w:p w14:paraId="26211BE6">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6000</w:t>
                  </w:r>
                </w:p>
              </w:tc>
              <w:tc>
                <w:tcPr>
                  <w:tcW w:w="277" w:type="pct"/>
                  <w:tcBorders>
                    <w:left w:val="single" w:color="auto" w:sz="4" w:space="0"/>
                    <w:tl2br w:val="nil"/>
                    <w:tr2bl w:val="nil"/>
                  </w:tcBorders>
                  <w:noWrap w:val="0"/>
                  <w:vAlign w:val="center"/>
                </w:tcPr>
                <w:p w14:paraId="53D865BA">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35℃</w:t>
                  </w:r>
                </w:p>
              </w:tc>
              <w:tc>
                <w:tcPr>
                  <w:tcW w:w="335" w:type="pct"/>
                  <w:tcBorders>
                    <w:tl2br w:val="nil"/>
                    <w:tr2bl w:val="nil"/>
                  </w:tcBorders>
                  <w:noWrap w:val="0"/>
                  <w:vAlign w:val="center"/>
                </w:tcPr>
                <w:p w14:paraId="32A7D7C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ascii="Times New Roman" w:hAnsi="Times New Roman" w:eastAsia="宋体" w:cs="Times New Roman"/>
                      <w:snapToGrid/>
                      <w:color w:val="auto"/>
                      <w:kern w:val="2"/>
                      <w:sz w:val="21"/>
                      <w:szCs w:val="21"/>
                      <w:highlight w:val="none"/>
                      <w:lang w:val="en-US" w:eastAsia="zh-CN"/>
                    </w:rPr>
                    <w:t>964</w:t>
                  </w:r>
                </w:p>
              </w:tc>
            </w:tr>
            <w:tr w14:paraId="5A44B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jc w:val="center"/>
              </w:trPr>
              <w:tc>
                <w:tcPr>
                  <w:tcW w:w="5000" w:type="pct"/>
                  <w:gridSpan w:val="11"/>
                  <w:tcBorders>
                    <w:tl2br w:val="nil"/>
                    <w:tr2bl w:val="nil"/>
                  </w:tcBorders>
                  <w:noWrap w:val="0"/>
                  <w:vAlign w:val="center"/>
                </w:tcPr>
                <w:p w14:paraId="6A3AD8AA">
                  <w:pPr>
                    <w:widowControl w:val="0"/>
                    <w:kinsoku/>
                    <w:autoSpaceDE/>
                    <w:autoSpaceDN/>
                    <w:adjustRightInd w:val="0"/>
                    <w:snapToGrid w:val="0"/>
                    <w:spacing w:line="240" w:lineRule="auto"/>
                    <w:jc w:val="left"/>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注：根据《</w:t>
                  </w:r>
                  <w:r>
                    <w:rPr>
                      <w:rFonts w:hint="eastAsia" w:cs="Times New Roman"/>
                      <w:snapToGrid/>
                      <w:color w:val="auto"/>
                      <w:kern w:val="2"/>
                      <w:sz w:val="21"/>
                      <w:szCs w:val="21"/>
                      <w:highlight w:val="none"/>
                      <w:lang w:val="en-US" w:eastAsia="zh-CN"/>
                    </w:rPr>
                    <w:t>大气污染治理工程技术导则</w:t>
                  </w:r>
                  <w:r>
                    <w:rPr>
                      <w:rFonts w:hint="default" w:ascii="Times New Roman" w:hAnsi="Times New Roman" w:eastAsia="宋体" w:cs="Times New Roman"/>
                      <w:snapToGrid/>
                      <w:color w:val="auto"/>
                      <w:kern w:val="2"/>
                      <w:sz w:val="21"/>
                      <w:szCs w:val="21"/>
                      <w:highlight w:val="none"/>
                      <w:lang w:val="en-US" w:eastAsia="zh-CN"/>
                    </w:rPr>
                    <w:t>》（HJ2000-2010），排气筒的出口直径应根据出口流速确定，流速宜取15m/s左右。因此，本项目排气筒规格的设置均符合要求。</w:t>
                  </w:r>
                </w:p>
              </w:tc>
            </w:tr>
          </w:tbl>
          <w:p w14:paraId="08187075">
            <w:pPr>
              <w:keepNext w:val="0"/>
              <w:keepLines w:val="0"/>
              <w:pageBreakBefore w:val="0"/>
              <w:widowControl w:val="0"/>
              <w:kinsoku/>
              <w:wordWrap/>
              <w:overflowPunct/>
              <w:topLinePunct w:val="0"/>
              <w:autoSpaceDE/>
              <w:autoSpaceDN/>
              <w:bidi w:val="0"/>
              <w:adjustRightInd/>
              <w:snapToGrid/>
              <w:spacing w:line="120" w:lineRule="exact"/>
              <w:ind w:firstLine="464" w:firstLineChars="200"/>
              <w:jc w:val="both"/>
              <w:textAlignment w:val="auto"/>
              <w:rPr>
                <w:rFonts w:ascii="Times New Roman" w:hAnsi="Times New Roman" w:eastAsia="宋体" w:cs="Times New Roman"/>
                <w:snapToGrid/>
                <w:color w:val="auto"/>
                <w:spacing w:val="-4"/>
                <w:kern w:val="2"/>
                <w:sz w:val="24"/>
                <w:szCs w:val="24"/>
                <w:highlight w:val="none"/>
                <w:lang w:eastAsia="zh-CN"/>
              </w:rPr>
            </w:pPr>
          </w:p>
          <w:p w14:paraId="586B36B4">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r>
              <w:rPr>
                <w:rFonts w:hint="default" w:ascii="Times New Roman" w:hAnsi="Times New Roman" w:eastAsia="宋体" w:cs="Times New Roman"/>
                <w:snapToGrid/>
                <w:color w:val="auto"/>
                <w:kern w:val="0"/>
                <w:sz w:val="24"/>
                <w:szCs w:val="24"/>
                <w:highlight w:val="none"/>
                <w:lang w:eastAsia="zh-CN"/>
              </w:rPr>
              <w:t>根据《排污单位自行监测技术指南</w:t>
            </w:r>
            <w:r>
              <w:rPr>
                <w:rFonts w:hint="eastAsia" w:ascii="Times New Roman" w:hAnsi="Times New Roman" w:eastAsia="宋体" w:cs="Times New Roman"/>
                <w:snapToGrid/>
                <w:color w:val="auto"/>
                <w:kern w:val="0"/>
                <w:sz w:val="24"/>
                <w:szCs w:val="24"/>
                <w:highlight w:val="none"/>
                <w:lang w:val="en-US" w:eastAsia="zh-CN"/>
              </w:rPr>
              <w:t xml:space="preserve"> </w:t>
            </w:r>
            <w:r>
              <w:rPr>
                <w:rFonts w:hint="default" w:ascii="Times New Roman" w:hAnsi="Times New Roman" w:eastAsia="宋体" w:cs="Times New Roman"/>
                <w:snapToGrid/>
                <w:color w:val="auto"/>
                <w:kern w:val="0"/>
                <w:sz w:val="24"/>
                <w:szCs w:val="24"/>
                <w:highlight w:val="none"/>
                <w:lang w:eastAsia="zh-CN"/>
              </w:rPr>
              <w:t>总则》（HJ</w:t>
            </w:r>
            <w:r>
              <w:rPr>
                <w:rFonts w:hint="eastAsia" w:ascii="Times New Roman" w:hAnsi="Times New Roman" w:eastAsia="宋体" w:cs="Times New Roman"/>
                <w:snapToGrid/>
                <w:color w:val="auto"/>
                <w:kern w:val="0"/>
                <w:sz w:val="24"/>
                <w:szCs w:val="24"/>
                <w:highlight w:val="none"/>
                <w:lang w:val="en-US" w:eastAsia="zh-CN"/>
              </w:rPr>
              <w:t xml:space="preserve"> </w:t>
            </w:r>
            <w:r>
              <w:rPr>
                <w:rFonts w:hint="default" w:ascii="Times New Roman" w:hAnsi="Times New Roman" w:eastAsia="宋体" w:cs="Times New Roman"/>
                <w:snapToGrid/>
                <w:color w:val="auto"/>
                <w:kern w:val="0"/>
                <w:sz w:val="24"/>
                <w:szCs w:val="24"/>
                <w:highlight w:val="none"/>
                <w:lang w:eastAsia="zh-CN"/>
              </w:rPr>
              <w:t>819-2017）、《排污许可证申请与核发技术规范 工业炉窑》（HJ 1121-2020）</w:t>
            </w:r>
            <w:r>
              <w:rPr>
                <w:rFonts w:hint="eastAsia" w:ascii="Times New Roman" w:hAnsi="Times New Roman" w:eastAsia="宋体" w:cs="Times New Roman"/>
                <w:snapToGrid/>
                <w:color w:val="auto"/>
                <w:kern w:val="0"/>
                <w:sz w:val="24"/>
                <w:szCs w:val="24"/>
                <w:highlight w:val="none"/>
                <w:lang w:eastAsia="zh-CN"/>
              </w:rPr>
              <w:t>、《排污单位自行监测技术指南 涂装》（HJ1086-2020）</w:t>
            </w:r>
            <w:r>
              <w:rPr>
                <w:rFonts w:hint="default" w:ascii="Times New Roman" w:hAnsi="Times New Roman" w:eastAsia="宋体" w:cs="Times New Roman"/>
                <w:snapToGrid/>
                <w:color w:val="auto"/>
                <w:kern w:val="0"/>
                <w:sz w:val="24"/>
                <w:szCs w:val="24"/>
                <w:highlight w:val="none"/>
                <w:lang w:eastAsia="zh-CN"/>
              </w:rPr>
              <w:t>，本项目废气监测计划见下表：</w:t>
            </w:r>
          </w:p>
          <w:p w14:paraId="310F1BBB">
            <w:pPr>
              <w:pStyle w:val="2"/>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表4-7</w:t>
            </w:r>
            <w:r>
              <w:rPr>
                <w:rFonts w:hint="eastAsia" w:ascii="Times New Roman" w:hAnsi="Times New Roman" w:eastAsia="宋体" w:cs="Times New Roman"/>
                <w:b/>
                <w:bCs/>
                <w:color w:val="auto"/>
                <w:sz w:val="21"/>
                <w:szCs w:val="21"/>
                <w:highlight w:val="none"/>
                <w:lang w:val="en-US" w:eastAsia="zh-CN"/>
              </w:rPr>
              <w:t>项目</w:t>
            </w:r>
            <w:r>
              <w:rPr>
                <w:rFonts w:hint="default" w:ascii="Times New Roman" w:hAnsi="Times New Roman" w:eastAsia="宋体" w:cs="Times New Roman"/>
                <w:b/>
                <w:bCs/>
                <w:color w:val="auto"/>
                <w:sz w:val="21"/>
                <w:szCs w:val="21"/>
                <w:highlight w:val="none"/>
                <w:lang w:eastAsia="zh-CN"/>
              </w:rPr>
              <w:t>废气监测计划</w:t>
            </w:r>
            <w:r>
              <w:rPr>
                <w:rFonts w:hint="eastAsia" w:ascii="Times New Roman" w:hAnsi="Times New Roman" w:eastAsia="宋体" w:cs="Times New Roman"/>
                <w:b/>
                <w:bCs/>
                <w:color w:val="auto"/>
                <w:sz w:val="21"/>
                <w:szCs w:val="21"/>
                <w:highlight w:val="none"/>
                <w:lang w:val="en-US" w:eastAsia="zh-CN"/>
              </w:rPr>
              <w:t>一览</w:t>
            </w:r>
            <w:r>
              <w:rPr>
                <w:rFonts w:hint="default" w:ascii="Times New Roman" w:hAnsi="Times New Roman" w:eastAsia="宋体" w:cs="Times New Roman"/>
                <w:b/>
                <w:bCs/>
                <w:color w:val="auto"/>
                <w:sz w:val="21"/>
                <w:szCs w:val="21"/>
                <w:highlight w:val="none"/>
                <w:lang w:eastAsia="zh-CN"/>
              </w:rPr>
              <w:t>表</w:t>
            </w:r>
          </w:p>
          <w:tbl>
            <w:tblPr>
              <w:tblStyle w:val="4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1631"/>
              <w:gridCol w:w="4607"/>
              <w:gridCol w:w="1405"/>
              <w:gridCol w:w="3557"/>
            </w:tblGrid>
            <w:tr w14:paraId="38F6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36" w:type="pct"/>
                  <w:vAlign w:val="center"/>
                </w:tcPr>
                <w:p w14:paraId="6C9841B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auto"/>
                      <w:spacing w:val="-2"/>
                      <w:sz w:val="21"/>
                      <w:szCs w:val="21"/>
                      <w:highlight w:val="none"/>
                    </w:rPr>
                  </w:pPr>
                  <w:r>
                    <w:rPr>
                      <w:rFonts w:hint="default" w:ascii="Times New Roman" w:hAnsi="Times New Roman" w:eastAsia="宋体" w:cs="Times New Roman"/>
                      <w:b/>
                      <w:color w:val="auto"/>
                      <w:spacing w:val="-2"/>
                      <w:sz w:val="21"/>
                      <w:szCs w:val="21"/>
                      <w:highlight w:val="none"/>
                    </w:rPr>
                    <w:t>监测位置</w:t>
                  </w:r>
                </w:p>
              </w:tc>
              <w:tc>
                <w:tcPr>
                  <w:tcW w:w="635" w:type="pct"/>
                  <w:vAlign w:val="center"/>
                </w:tcPr>
                <w:p w14:paraId="0FED53E8">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auto"/>
                      <w:spacing w:val="-2"/>
                      <w:sz w:val="21"/>
                      <w:szCs w:val="21"/>
                      <w:highlight w:val="none"/>
                    </w:rPr>
                  </w:pPr>
                  <w:r>
                    <w:rPr>
                      <w:rFonts w:hint="default" w:ascii="Times New Roman" w:hAnsi="Times New Roman" w:eastAsia="宋体" w:cs="Times New Roman"/>
                      <w:b/>
                      <w:color w:val="auto"/>
                      <w:spacing w:val="-2"/>
                      <w:sz w:val="21"/>
                      <w:szCs w:val="21"/>
                      <w:highlight w:val="none"/>
                    </w:rPr>
                    <w:t>排放口类型</w:t>
                  </w:r>
                </w:p>
              </w:tc>
              <w:tc>
                <w:tcPr>
                  <w:tcW w:w="1794" w:type="pct"/>
                  <w:vAlign w:val="center"/>
                </w:tcPr>
                <w:p w14:paraId="28F88AD5">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auto"/>
                      <w:spacing w:val="-2"/>
                      <w:sz w:val="21"/>
                      <w:szCs w:val="21"/>
                      <w:highlight w:val="none"/>
                    </w:rPr>
                  </w:pPr>
                  <w:r>
                    <w:rPr>
                      <w:rFonts w:hint="default" w:ascii="Times New Roman" w:hAnsi="Times New Roman" w:eastAsia="宋体" w:cs="Times New Roman"/>
                      <w:b/>
                      <w:color w:val="auto"/>
                      <w:spacing w:val="-2"/>
                      <w:sz w:val="21"/>
                      <w:szCs w:val="21"/>
                      <w:highlight w:val="none"/>
                    </w:rPr>
                    <w:t>监测项目</w:t>
                  </w:r>
                </w:p>
              </w:tc>
              <w:tc>
                <w:tcPr>
                  <w:tcW w:w="547" w:type="pct"/>
                  <w:vAlign w:val="center"/>
                </w:tcPr>
                <w:p w14:paraId="532D7AE6">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auto"/>
                      <w:spacing w:val="-2"/>
                      <w:sz w:val="21"/>
                      <w:szCs w:val="21"/>
                      <w:highlight w:val="none"/>
                    </w:rPr>
                  </w:pPr>
                  <w:r>
                    <w:rPr>
                      <w:rFonts w:hint="default" w:ascii="Times New Roman" w:hAnsi="Times New Roman" w:eastAsia="宋体" w:cs="Times New Roman"/>
                      <w:b/>
                      <w:color w:val="auto"/>
                      <w:spacing w:val="-2"/>
                      <w:sz w:val="21"/>
                      <w:szCs w:val="21"/>
                      <w:highlight w:val="none"/>
                    </w:rPr>
                    <w:t>监测频率</w:t>
                  </w:r>
                </w:p>
              </w:tc>
              <w:tc>
                <w:tcPr>
                  <w:tcW w:w="1385" w:type="pct"/>
                  <w:vAlign w:val="center"/>
                </w:tcPr>
                <w:p w14:paraId="212DAB4A">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color w:val="auto"/>
                      <w:spacing w:val="-2"/>
                      <w:sz w:val="21"/>
                      <w:szCs w:val="21"/>
                      <w:highlight w:val="none"/>
                    </w:rPr>
                  </w:pPr>
                  <w:r>
                    <w:rPr>
                      <w:rFonts w:hint="default" w:ascii="Times New Roman" w:hAnsi="Times New Roman" w:eastAsia="宋体" w:cs="Times New Roman"/>
                      <w:b/>
                      <w:color w:val="auto"/>
                      <w:spacing w:val="-2"/>
                      <w:sz w:val="21"/>
                      <w:szCs w:val="21"/>
                      <w:highlight w:val="none"/>
                    </w:rPr>
                    <w:t>依据</w:t>
                  </w:r>
                </w:p>
              </w:tc>
            </w:tr>
            <w:tr w14:paraId="1D3D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636" w:type="pct"/>
                  <w:vMerge w:val="restart"/>
                  <w:vAlign w:val="center"/>
                </w:tcPr>
                <w:p w14:paraId="16DC2ACD">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eastAsia" w:ascii="Times New Roman" w:hAnsi="Times New Roman" w:eastAsia="宋体" w:cs="Times New Roman"/>
                      <w:color w:val="auto"/>
                      <w:kern w:val="2"/>
                      <w:sz w:val="21"/>
                      <w:szCs w:val="21"/>
                      <w:highlight w:val="none"/>
                      <w:lang w:eastAsia="zh-CN"/>
                    </w:rPr>
                  </w:pPr>
                  <w:r>
                    <w:rPr>
                      <w:rFonts w:hint="eastAsia" w:cs="Times New Roman"/>
                      <w:color w:val="auto"/>
                      <w:kern w:val="2"/>
                      <w:sz w:val="21"/>
                      <w:szCs w:val="21"/>
                      <w:highlight w:val="none"/>
                      <w:lang w:eastAsia="zh-CN"/>
                    </w:rPr>
                    <w:t>DA00</w:t>
                  </w:r>
                  <w:r>
                    <w:rPr>
                      <w:rFonts w:hint="eastAsia" w:cs="Times New Roman"/>
                      <w:color w:val="auto"/>
                      <w:kern w:val="2"/>
                      <w:sz w:val="21"/>
                      <w:szCs w:val="21"/>
                      <w:highlight w:val="none"/>
                      <w:lang w:val="en-US" w:eastAsia="zh-CN"/>
                    </w:rPr>
                    <w:t>1</w:t>
                  </w:r>
                </w:p>
              </w:tc>
              <w:tc>
                <w:tcPr>
                  <w:tcW w:w="635" w:type="pct"/>
                  <w:vMerge w:val="restart"/>
                  <w:vAlign w:val="center"/>
                </w:tcPr>
                <w:p w14:paraId="38C14773">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eastAsia" w:ascii="Times New Roman" w:cs="Times New Roman"/>
                      <w:color w:val="auto"/>
                      <w:kern w:val="0"/>
                      <w:sz w:val="21"/>
                      <w:szCs w:val="21"/>
                      <w:highlight w:val="none"/>
                      <w:lang w:val="en-US" w:eastAsia="zh-CN"/>
                    </w:rPr>
                    <w:t>主要</w:t>
                  </w:r>
                  <w:r>
                    <w:rPr>
                      <w:rFonts w:hint="default" w:ascii="Times New Roman" w:hAnsi="Times New Roman" w:eastAsia="宋体" w:cs="Times New Roman"/>
                      <w:color w:val="auto"/>
                      <w:kern w:val="0"/>
                      <w:sz w:val="21"/>
                      <w:szCs w:val="21"/>
                      <w:highlight w:val="none"/>
                    </w:rPr>
                    <w:t>排放口</w:t>
                  </w:r>
                </w:p>
              </w:tc>
              <w:tc>
                <w:tcPr>
                  <w:tcW w:w="1794" w:type="pct"/>
                  <w:vAlign w:val="center"/>
                </w:tcPr>
                <w:p w14:paraId="4B157D06">
                  <w:pPr>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eastAsia="zh-CN"/>
                    </w:rPr>
                  </w:pPr>
                  <w:r>
                    <w:rPr>
                      <w:rFonts w:hint="default" w:ascii="Times New Roman" w:hAnsi="Times New Roman" w:eastAsia="宋体" w:cs="Times New Roman"/>
                      <w:color w:val="auto"/>
                      <w:kern w:val="2"/>
                      <w:sz w:val="21"/>
                      <w:szCs w:val="21"/>
                      <w:highlight w:val="none"/>
                    </w:rPr>
                    <w:t>颗粒物、非甲烷总烃、</w:t>
                  </w:r>
                  <w:r>
                    <w:rPr>
                      <w:rFonts w:hint="default" w:ascii="Times New Roman" w:hAnsi="Times New Roman" w:eastAsia="宋体" w:cs="Times New Roman"/>
                      <w:color w:val="auto"/>
                      <w:kern w:val="2"/>
                      <w:sz w:val="21"/>
                      <w:szCs w:val="21"/>
                      <w:highlight w:val="none"/>
                      <w:lang w:val="en-US" w:eastAsia="zh-CN"/>
                    </w:rPr>
                    <w:t>苯系物</w:t>
                  </w:r>
                </w:p>
              </w:tc>
              <w:tc>
                <w:tcPr>
                  <w:tcW w:w="547" w:type="pct"/>
                  <w:vAlign w:val="center"/>
                </w:tcPr>
                <w:p w14:paraId="078B19D9">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1次/半年</w:t>
                  </w:r>
                </w:p>
              </w:tc>
              <w:tc>
                <w:tcPr>
                  <w:tcW w:w="1385" w:type="pct"/>
                  <w:vMerge w:val="restart"/>
                  <w:vAlign w:val="center"/>
                </w:tcPr>
                <w:p w14:paraId="4EEF1442">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z w:val="21"/>
                      <w:szCs w:val="21"/>
                      <w:highlight w:val="none"/>
                      <w:lang w:bidi="ar"/>
                    </w:rPr>
                    <w:t>《排污单位自行监测技术指南总则》（HJ819-2017）表1与</w:t>
                  </w:r>
                  <w:r>
                    <w:rPr>
                      <w:rFonts w:hint="default" w:ascii="Times New Roman" w:hAnsi="Times New Roman" w:eastAsia="宋体" w:cs="Times New Roman"/>
                      <w:color w:val="auto"/>
                      <w:spacing w:val="-2"/>
                      <w:sz w:val="21"/>
                      <w:szCs w:val="21"/>
                      <w:highlight w:val="none"/>
                    </w:rPr>
                    <w:t>《排污单位自行监测技术指南 涂装》（HJ1086-2020）表2较严值</w:t>
                  </w:r>
                </w:p>
              </w:tc>
            </w:tr>
            <w:tr w14:paraId="16B9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36" w:type="pct"/>
                  <w:vMerge w:val="continue"/>
                  <w:vAlign w:val="center"/>
                </w:tcPr>
                <w:p w14:paraId="59E08681">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635" w:type="pct"/>
                  <w:vMerge w:val="continue"/>
                  <w:vAlign w:val="center"/>
                </w:tcPr>
                <w:p w14:paraId="0F5EFD2E">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1794" w:type="pct"/>
                  <w:vAlign w:val="center"/>
                </w:tcPr>
                <w:p w14:paraId="0CDB5D40">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臭气浓度</w:t>
                  </w:r>
                </w:p>
              </w:tc>
              <w:tc>
                <w:tcPr>
                  <w:tcW w:w="547" w:type="pct"/>
                  <w:vAlign w:val="center"/>
                </w:tcPr>
                <w:p w14:paraId="1C239E3B">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1次/年</w:t>
                  </w:r>
                </w:p>
              </w:tc>
              <w:tc>
                <w:tcPr>
                  <w:tcW w:w="1385" w:type="pct"/>
                  <w:vMerge w:val="continue"/>
                  <w:vAlign w:val="center"/>
                </w:tcPr>
                <w:p w14:paraId="4A2D7276">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p>
              </w:tc>
            </w:tr>
            <w:tr w14:paraId="3432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Merge w:val="restart"/>
                  <w:vAlign w:val="center"/>
                </w:tcPr>
                <w:p w14:paraId="79FF19B9">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DA002</w:t>
                  </w:r>
                </w:p>
              </w:tc>
              <w:tc>
                <w:tcPr>
                  <w:tcW w:w="635" w:type="pct"/>
                  <w:vMerge w:val="restart"/>
                  <w:vAlign w:val="center"/>
                </w:tcPr>
                <w:p w14:paraId="7F310D4F">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主要排放口</w:t>
                  </w:r>
                </w:p>
              </w:tc>
              <w:tc>
                <w:tcPr>
                  <w:tcW w:w="1794" w:type="pct"/>
                  <w:vAlign w:val="center"/>
                </w:tcPr>
                <w:p w14:paraId="2E90265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颗粒物、</w:t>
                  </w:r>
                  <w:r>
                    <w:rPr>
                      <w:rFonts w:hint="default" w:ascii="Times New Roman" w:hAnsi="Times New Roman" w:eastAsia="宋体" w:cs="Times New Roman"/>
                      <w:color w:val="auto"/>
                      <w:kern w:val="2"/>
                      <w:sz w:val="21"/>
                      <w:szCs w:val="21"/>
                      <w:highlight w:val="none"/>
                    </w:rPr>
                    <w:t>非甲烷总烃</w:t>
                  </w:r>
                  <w:r>
                    <w:rPr>
                      <w:rFonts w:hint="eastAsia" w:ascii="Times New Roman" w:cs="Times New Roman"/>
                      <w:color w:val="auto"/>
                      <w:kern w:val="2"/>
                      <w:sz w:val="21"/>
                      <w:szCs w:val="21"/>
                      <w:highlight w:val="none"/>
                      <w:lang w:eastAsia="zh-CN"/>
                    </w:rPr>
                    <w:t>、</w:t>
                  </w:r>
                  <w:r>
                    <w:rPr>
                      <w:rFonts w:hint="eastAsia" w:ascii="Times New Roman" w:cs="Times New Roman"/>
                      <w:color w:val="auto"/>
                      <w:kern w:val="2"/>
                      <w:sz w:val="21"/>
                      <w:szCs w:val="21"/>
                      <w:highlight w:val="none"/>
                      <w:lang w:val="en-US" w:eastAsia="zh-CN"/>
                    </w:rPr>
                    <w:t>苯系物</w:t>
                  </w:r>
                  <w:r>
                    <w:rPr>
                      <w:rFonts w:hint="default" w:ascii="Times New Roman" w:hAnsi="Times New Roman" w:eastAsia="宋体" w:cs="Times New Roman"/>
                      <w:color w:val="auto"/>
                      <w:kern w:val="2"/>
                      <w:sz w:val="21"/>
                      <w:szCs w:val="21"/>
                      <w:highlight w:val="none"/>
                    </w:rPr>
                    <w:t>、</w:t>
                  </w:r>
                  <w:r>
                    <w:rPr>
                      <w:rFonts w:hint="default" w:ascii="Times New Roman" w:hAnsi="Times New Roman" w:eastAsia="宋体" w:cs="Times New Roman"/>
                      <w:color w:val="auto"/>
                      <w:spacing w:val="-2"/>
                      <w:sz w:val="21"/>
                      <w:szCs w:val="21"/>
                      <w:highlight w:val="none"/>
                    </w:rPr>
                    <w:t>SO</w:t>
                  </w:r>
                  <w:r>
                    <w:rPr>
                      <w:rFonts w:hint="default" w:ascii="Times New Roman" w:hAnsi="Times New Roman" w:eastAsia="宋体" w:cs="Times New Roman"/>
                      <w:color w:val="auto"/>
                      <w:spacing w:val="-2"/>
                      <w:sz w:val="21"/>
                      <w:szCs w:val="21"/>
                      <w:highlight w:val="none"/>
                      <w:vertAlign w:val="subscript"/>
                    </w:rPr>
                    <w:t>2</w:t>
                  </w:r>
                  <w:r>
                    <w:rPr>
                      <w:rFonts w:hint="default" w:ascii="Times New Roman" w:hAnsi="Times New Roman" w:eastAsia="宋体" w:cs="Times New Roman"/>
                      <w:color w:val="auto"/>
                      <w:spacing w:val="-2"/>
                      <w:sz w:val="21"/>
                      <w:szCs w:val="21"/>
                      <w:highlight w:val="none"/>
                    </w:rPr>
                    <w:t>、NOx</w:t>
                  </w:r>
                </w:p>
              </w:tc>
              <w:tc>
                <w:tcPr>
                  <w:tcW w:w="547" w:type="pct"/>
                  <w:vAlign w:val="center"/>
                </w:tcPr>
                <w:p w14:paraId="5B0C8800">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1次/半年</w:t>
                  </w:r>
                </w:p>
              </w:tc>
              <w:tc>
                <w:tcPr>
                  <w:tcW w:w="1385" w:type="pct"/>
                  <w:vMerge w:val="continue"/>
                  <w:vAlign w:val="center"/>
                </w:tcPr>
                <w:p w14:paraId="6CE81880">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p>
              </w:tc>
            </w:tr>
            <w:tr w14:paraId="124D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Merge w:val="continue"/>
                  <w:vAlign w:val="center"/>
                </w:tcPr>
                <w:p w14:paraId="6DE9DFDF">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635" w:type="pct"/>
                  <w:vMerge w:val="continue"/>
                  <w:vAlign w:val="center"/>
                </w:tcPr>
                <w:p w14:paraId="15AC976E">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p>
              </w:tc>
              <w:tc>
                <w:tcPr>
                  <w:tcW w:w="1794" w:type="pct"/>
                  <w:vAlign w:val="center"/>
                </w:tcPr>
                <w:p w14:paraId="1F7222A5">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rPr>
                    <w:t>臭气浓度</w:t>
                  </w:r>
                  <w:r>
                    <w:rPr>
                      <w:rFonts w:hint="eastAsia" w:ascii="Times New Roman" w:cs="Times New Roman"/>
                      <w:color w:val="auto"/>
                      <w:spacing w:val="-2"/>
                      <w:sz w:val="21"/>
                      <w:szCs w:val="21"/>
                      <w:highlight w:val="none"/>
                      <w:lang w:eastAsia="zh-CN"/>
                    </w:rPr>
                    <w:t>、</w:t>
                  </w:r>
                  <w:r>
                    <w:rPr>
                      <w:rFonts w:hint="eastAsia" w:ascii="Times New Roman" w:cs="Times New Roman"/>
                      <w:color w:val="auto"/>
                      <w:spacing w:val="-2"/>
                      <w:sz w:val="21"/>
                      <w:szCs w:val="21"/>
                      <w:highlight w:val="none"/>
                      <w:lang w:val="en-US" w:eastAsia="zh-CN"/>
                    </w:rPr>
                    <w:t>烟气黑度</w:t>
                  </w:r>
                </w:p>
              </w:tc>
              <w:tc>
                <w:tcPr>
                  <w:tcW w:w="547" w:type="pct"/>
                  <w:vAlign w:val="center"/>
                </w:tcPr>
                <w:p w14:paraId="404C783A">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1次/年</w:t>
                  </w:r>
                </w:p>
              </w:tc>
              <w:tc>
                <w:tcPr>
                  <w:tcW w:w="1385" w:type="pct"/>
                  <w:vMerge w:val="continue"/>
                  <w:vAlign w:val="center"/>
                </w:tcPr>
                <w:p w14:paraId="47AE83F2">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p>
              </w:tc>
            </w:tr>
            <w:tr w14:paraId="0039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Merge w:val="restart"/>
                  <w:vAlign w:val="center"/>
                </w:tcPr>
                <w:p w14:paraId="6FF36198">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DA003</w:t>
                  </w:r>
                </w:p>
              </w:tc>
              <w:tc>
                <w:tcPr>
                  <w:tcW w:w="635" w:type="pct"/>
                  <w:vMerge w:val="restart"/>
                  <w:vAlign w:val="center"/>
                </w:tcPr>
                <w:p w14:paraId="24A11D10">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一般排放口</w:t>
                  </w:r>
                </w:p>
              </w:tc>
              <w:tc>
                <w:tcPr>
                  <w:tcW w:w="1794" w:type="pct"/>
                  <w:vAlign w:val="center"/>
                </w:tcPr>
                <w:p w14:paraId="63F2CE88">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eastAsia" w:ascii="Times New Roman" w:eastAsia="宋体" w:cs="Times New Roman"/>
                      <w:color w:val="auto"/>
                      <w:spacing w:val="-2"/>
                      <w:sz w:val="21"/>
                      <w:szCs w:val="21"/>
                      <w:highlight w:val="none"/>
                      <w:lang w:val="en-US" w:eastAsia="zh-CN"/>
                    </w:rPr>
                    <w:t>氟化物、颗粒物、</w:t>
                  </w:r>
                  <w:r>
                    <w:rPr>
                      <w:rFonts w:hint="default" w:ascii="Times New Roman" w:hAnsi="Times New Roman" w:eastAsia="宋体" w:cs="Times New Roman"/>
                      <w:color w:val="auto"/>
                      <w:spacing w:val="-2"/>
                      <w:sz w:val="21"/>
                      <w:szCs w:val="21"/>
                      <w:highlight w:val="none"/>
                    </w:rPr>
                    <w:t>SO</w:t>
                  </w:r>
                  <w:r>
                    <w:rPr>
                      <w:rFonts w:hint="default" w:ascii="Times New Roman" w:hAnsi="Times New Roman" w:eastAsia="宋体" w:cs="Times New Roman"/>
                      <w:color w:val="auto"/>
                      <w:spacing w:val="-2"/>
                      <w:sz w:val="21"/>
                      <w:szCs w:val="21"/>
                      <w:highlight w:val="none"/>
                      <w:vertAlign w:val="subscript"/>
                    </w:rPr>
                    <w:t>2</w:t>
                  </w:r>
                  <w:r>
                    <w:rPr>
                      <w:rFonts w:hint="default" w:ascii="Times New Roman" w:hAnsi="Times New Roman" w:eastAsia="宋体" w:cs="Times New Roman"/>
                      <w:color w:val="auto"/>
                      <w:spacing w:val="-2"/>
                      <w:sz w:val="21"/>
                      <w:szCs w:val="21"/>
                      <w:highlight w:val="none"/>
                    </w:rPr>
                    <w:t>、NOx</w:t>
                  </w:r>
                </w:p>
              </w:tc>
              <w:tc>
                <w:tcPr>
                  <w:tcW w:w="1405" w:type="dxa"/>
                  <w:vAlign w:val="center"/>
                </w:tcPr>
                <w:p w14:paraId="0670723F">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1次/半年</w:t>
                  </w:r>
                </w:p>
              </w:tc>
              <w:tc>
                <w:tcPr>
                  <w:tcW w:w="1385" w:type="pct"/>
                  <w:vMerge w:val="continue"/>
                  <w:vAlign w:val="center"/>
                </w:tcPr>
                <w:p w14:paraId="6D60189E">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p>
              </w:tc>
            </w:tr>
            <w:tr w14:paraId="0B5C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Merge w:val="continue"/>
                  <w:vAlign w:val="center"/>
                </w:tcPr>
                <w:p w14:paraId="61F67158">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635" w:type="pct"/>
                  <w:vMerge w:val="continue"/>
                  <w:vAlign w:val="center"/>
                </w:tcPr>
                <w:p w14:paraId="5659EEA8">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1794" w:type="pct"/>
                  <w:vAlign w:val="center"/>
                </w:tcPr>
                <w:p w14:paraId="0DB6551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eastAsia" w:ascii="Times New Roman" w:cs="Times New Roman"/>
                      <w:color w:val="auto"/>
                      <w:spacing w:val="-2"/>
                      <w:sz w:val="21"/>
                      <w:szCs w:val="21"/>
                      <w:highlight w:val="none"/>
                      <w:lang w:val="en-US" w:eastAsia="zh-CN"/>
                    </w:rPr>
                    <w:t>烟气黑度</w:t>
                  </w:r>
                </w:p>
              </w:tc>
              <w:tc>
                <w:tcPr>
                  <w:tcW w:w="1405" w:type="dxa"/>
                  <w:vAlign w:val="center"/>
                </w:tcPr>
                <w:p w14:paraId="575A6D4D">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1次/年</w:t>
                  </w:r>
                </w:p>
              </w:tc>
              <w:tc>
                <w:tcPr>
                  <w:tcW w:w="1385" w:type="pct"/>
                  <w:vMerge w:val="continue"/>
                  <w:vAlign w:val="center"/>
                </w:tcPr>
                <w:p w14:paraId="2ABEB639">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p>
              </w:tc>
            </w:tr>
            <w:tr w14:paraId="642D6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6" w:type="pct"/>
                  <w:vAlign w:val="center"/>
                </w:tcPr>
                <w:p w14:paraId="4333ECE6">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DA004</w:t>
                  </w:r>
                </w:p>
              </w:tc>
              <w:tc>
                <w:tcPr>
                  <w:tcW w:w="635" w:type="pct"/>
                  <w:vAlign w:val="center"/>
                </w:tcPr>
                <w:p w14:paraId="3CF1524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一般排放口</w:t>
                  </w:r>
                </w:p>
              </w:tc>
              <w:tc>
                <w:tcPr>
                  <w:tcW w:w="1794" w:type="pct"/>
                  <w:vAlign w:val="center"/>
                </w:tcPr>
                <w:p w14:paraId="1863A02C">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油烟</w:t>
                  </w:r>
                </w:p>
              </w:tc>
              <w:tc>
                <w:tcPr>
                  <w:tcW w:w="547" w:type="pct"/>
                  <w:vAlign w:val="center"/>
                </w:tcPr>
                <w:p w14:paraId="27201912">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lang w:val="en-US" w:eastAsia="zh-CN"/>
                    </w:rPr>
                    <w:t>1次/年</w:t>
                  </w:r>
                </w:p>
              </w:tc>
              <w:tc>
                <w:tcPr>
                  <w:tcW w:w="1385" w:type="pct"/>
                  <w:vMerge w:val="continue"/>
                  <w:vAlign w:val="center"/>
                </w:tcPr>
                <w:p w14:paraId="5F6C31DE">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p>
              </w:tc>
            </w:tr>
            <w:tr w14:paraId="4ABF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36" w:type="pct"/>
                  <w:vAlign w:val="center"/>
                </w:tcPr>
                <w:p w14:paraId="11FE61C6">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厂界</w:t>
                  </w:r>
                </w:p>
              </w:tc>
              <w:tc>
                <w:tcPr>
                  <w:tcW w:w="635" w:type="pct"/>
                  <w:vAlign w:val="center"/>
                </w:tcPr>
                <w:p w14:paraId="61274A26">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w:t>
                  </w:r>
                </w:p>
              </w:tc>
              <w:tc>
                <w:tcPr>
                  <w:tcW w:w="1794" w:type="pct"/>
                  <w:vAlign w:val="center"/>
                </w:tcPr>
                <w:p w14:paraId="75D1FBC7">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lang w:val="en-US" w:eastAsia="zh-CN"/>
                    </w:rPr>
                  </w:pPr>
                  <w:r>
                    <w:rPr>
                      <w:rFonts w:hint="default" w:ascii="Times New Roman" w:hAnsi="Times New Roman" w:eastAsia="宋体" w:cs="Times New Roman"/>
                      <w:color w:val="auto"/>
                      <w:spacing w:val="-2"/>
                      <w:sz w:val="21"/>
                      <w:szCs w:val="21"/>
                      <w:highlight w:val="none"/>
                    </w:rPr>
                    <w:t>颗粒物、苯系物、臭气浓度</w:t>
                  </w:r>
                  <w:r>
                    <w:rPr>
                      <w:rFonts w:hint="eastAsia" w:ascii="Times New Roman" w:cs="Times New Roman"/>
                      <w:color w:val="auto"/>
                      <w:spacing w:val="-2"/>
                      <w:sz w:val="21"/>
                      <w:szCs w:val="21"/>
                      <w:highlight w:val="none"/>
                      <w:lang w:eastAsia="zh-CN"/>
                    </w:rPr>
                    <w:t>、</w:t>
                  </w:r>
                  <w:r>
                    <w:rPr>
                      <w:rFonts w:hint="eastAsia" w:ascii="Times New Roman" w:cs="Times New Roman"/>
                      <w:color w:val="auto"/>
                      <w:spacing w:val="-2"/>
                      <w:sz w:val="21"/>
                      <w:szCs w:val="21"/>
                      <w:highlight w:val="none"/>
                      <w:lang w:val="en-US" w:eastAsia="zh-CN"/>
                    </w:rPr>
                    <w:t>氟化物</w:t>
                  </w:r>
                </w:p>
              </w:tc>
              <w:tc>
                <w:tcPr>
                  <w:tcW w:w="547" w:type="pct"/>
                  <w:vAlign w:val="center"/>
                </w:tcPr>
                <w:p w14:paraId="0BCDD8F4">
                  <w:pPr>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1次/半年</w:t>
                  </w:r>
                </w:p>
              </w:tc>
              <w:tc>
                <w:tcPr>
                  <w:tcW w:w="1385" w:type="pct"/>
                  <w:vAlign w:val="center"/>
                </w:tcPr>
                <w:p w14:paraId="005BE551">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《排污单位自行监测技术指南 涂装》（HJ1086-2020）表3</w:t>
                  </w:r>
                </w:p>
              </w:tc>
            </w:tr>
            <w:tr w14:paraId="073F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636" w:type="pct"/>
                  <w:vAlign w:val="center"/>
                </w:tcPr>
                <w:p w14:paraId="2FE24EE1">
                  <w:pPr>
                    <w:keepNext w:val="0"/>
                    <w:keepLines w:val="0"/>
                    <w:pageBreakBefore w:val="0"/>
                    <w:widowControl/>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涂装工段附近</w:t>
                  </w:r>
                </w:p>
              </w:tc>
              <w:tc>
                <w:tcPr>
                  <w:tcW w:w="635" w:type="pct"/>
                  <w:vAlign w:val="center"/>
                </w:tcPr>
                <w:p w14:paraId="65527059">
                  <w:pPr>
                    <w:pStyle w:val="177"/>
                    <w:keepNext w:val="0"/>
                    <w:keepLines w:val="0"/>
                    <w:pageBreakBefore w:val="0"/>
                    <w:suppressLineNumbers w:val="0"/>
                    <w:kinsoku/>
                    <w:wordWrap w:val="0"/>
                    <w:overflowPunct/>
                    <w:topLinePunct/>
                    <w:autoSpaceDE/>
                    <w:autoSpaceDN/>
                    <w:bidi w:val="0"/>
                    <w:spacing w:beforeAutospacing="0" w:afterAutospacing="0" w:line="240" w:lineRule="auto"/>
                    <w:ind w:left="0" w:right="0" w:firstLine="0" w:firstLineChars="0"/>
                    <w:jc w:val="center"/>
                    <w:textAlignment w:val="auto"/>
                    <w:rPr>
                      <w:rFonts w:hint="default" w:ascii="Times New Roman" w:hAnsi="Times New Roman" w:eastAsia="宋体" w:cs="Times New Roman"/>
                      <w:bCs/>
                      <w:color w:val="auto"/>
                      <w:kern w:val="2"/>
                      <w:sz w:val="21"/>
                      <w:szCs w:val="21"/>
                      <w:highlight w:val="none"/>
                    </w:rPr>
                  </w:pPr>
                  <w:r>
                    <w:rPr>
                      <w:rFonts w:hint="default" w:ascii="Times New Roman" w:hAnsi="Times New Roman" w:eastAsia="宋体" w:cs="Times New Roman"/>
                      <w:bCs/>
                      <w:color w:val="auto"/>
                      <w:kern w:val="2"/>
                      <w:sz w:val="21"/>
                      <w:szCs w:val="21"/>
                      <w:highlight w:val="none"/>
                    </w:rPr>
                    <w:t>/</w:t>
                  </w:r>
                </w:p>
              </w:tc>
              <w:tc>
                <w:tcPr>
                  <w:tcW w:w="1794" w:type="pct"/>
                  <w:vAlign w:val="center"/>
                </w:tcPr>
                <w:p w14:paraId="0022278B">
                  <w:pPr>
                    <w:pStyle w:val="177"/>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非甲烷总烃、颗粒物、苯系物、臭气浓度</w:t>
                  </w:r>
                </w:p>
              </w:tc>
              <w:tc>
                <w:tcPr>
                  <w:tcW w:w="547" w:type="pct"/>
                  <w:vAlign w:val="center"/>
                </w:tcPr>
                <w:p w14:paraId="2BC6EC6E">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1次/季度</w:t>
                  </w:r>
                </w:p>
              </w:tc>
              <w:tc>
                <w:tcPr>
                  <w:tcW w:w="1385" w:type="pct"/>
                  <w:vAlign w:val="center"/>
                </w:tcPr>
                <w:p w14:paraId="63D7D4FD">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《排污单位自行监测技术指南 涂装》（HJ1086-2020）表3</w:t>
                  </w:r>
                </w:p>
              </w:tc>
            </w:tr>
          </w:tbl>
          <w:p w14:paraId="47BFCEA3">
            <w:pPr>
              <w:widowControl w:val="0"/>
              <w:kinsoku/>
              <w:autoSpaceDE/>
              <w:autoSpaceDN/>
              <w:adjustRightInd/>
              <w:snapToGrid/>
              <w:spacing w:line="360" w:lineRule="auto"/>
              <w:ind w:firstLine="480" w:firstLineChars="200"/>
              <w:jc w:val="both"/>
              <w:textAlignment w:val="auto"/>
              <w:rPr>
                <w:rFonts w:hint="eastAsia" w:ascii="Times New Roman" w:hAnsi="Times New Roman" w:eastAsia="宋体" w:cs="Times New Roman"/>
                <w:snapToGrid/>
                <w:color w:val="auto"/>
                <w:kern w:val="0"/>
                <w:sz w:val="24"/>
                <w:szCs w:val="24"/>
                <w:highlight w:val="none"/>
                <w:lang w:eastAsia="zh-CN"/>
              </w:rPr>
            </w:pPr>
          </w:p>
        </w:tc>
      </w:tr>
    </w:tbl>
    <w:p w14:paraId="0AE8F2DB">
      <w:pPr>
        <w:pStyle w:val="76"/>
        <w:rPr>
          <w:rFonts w:hint="eastAsia"/>
          <w:color w:val="auto"/>
          <w:highlight w:val="none"/>
        </w:rPr>
        <w:sectPr>
          <w:pgSz w:w="16840" w:h="11907" w:orient="landscape"/>
          <w:pgMar w:top="1417" w:right="1587" w:bottom="1361" w:left="158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4"/>
        <w:gridCol w:w="8627"/>
      </w:tblGrid>
      <w:tr w14:paraId="1C61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9" w:hRule="atLeast"/>
        </w:trPr>
        <w:tc>
          <w:tcPr>
            <w:tcW w:w="434" w:type="dxa"/>
            <w:noWrap w:val="0"/>
            <w:vAlign w:val="top"/>
          </w:tcPr>
          <w:p w14:paraId="418FC7EC">
            <w:pPr>
              <w:pStyle w:val="76"/>
              <w:rPr>
                <w:rFonts w:hint="default" w:ascii="Times New Roman" w:hAnsi="Times New Roman" w:cs="Times New Roman"/>
                <w:color w:val="auto"/>
                <w:highlight w:val="none"/>
                <w:vertAlign w:val="baseline"/>
              </w:rPr>
            </w:pPr>
          </w:p>
        </w:tc>
        <w:tc>
          <w:tcPr>
            <w:tcW w:w="8627" w:type="dxa"/>
            <w:noWrap w:val="0"/>
            <w:vAlign w:val="top"/>
          </w:tcPr>
          <w:p w14:paraId="19BDB98F">
            <w:pPr>
              <w:keepNext w:val="0"/>
              <w:keepLines w:val="0"/>
              <w:pageBreakBefore w:val="0"/>
              <w:widowControl w:val="0"/>
              <w:kinsoku/>
              <w:wordWrap/>
              <w:overflowPunct/>
              <w:topLinePunct w:val="0"/>
              <w:autoSpaceDE/>
              <w:autoSpaceDN/>
              <w:bidi w:val="0"/>
              <w:adjustRightInd/>
              <w:snapToGrid/>
              <w:spacing w:line="120" w:lineRule="exact"/>
              <w:ind w:firstLine="464" w:firstLineChars="200"/>
              <w:jc w:val="both"/>
              <w:textAlignment w:val="auto"/>
              <w:rPr>
                <w:rFonts w:hint="default" w:ascii="Times New Roman" w:hAnsi="Times New Roman" w:eastAsia="宋体" w:cs="Times New Roman"/>
                <w:snapToGrid/>
                <w:color w:val="auto"/>
                <w:spacing w:val="-4"/>
                <w:kern w:val="2"/>
                <w:sz w:val="24"/>
                <w:szCs w:val="24"/>
                <w:highlight w:val="none"/>
                <w:lang w:eastAsia="zh-CN"/>
              </w:rPr>
            </w:pPr>
          </w:p>
          <w:p w14:paraId="502D52E9">
            <w:pPr>
              <w:widowControl w:val="0"/>
              <w:kinsoku/>
              <w:autoSpaceDE/>
              <w:autoSpaceDN/>
              <w:adjustRightInd/>
              <w:snapToGrid/>
              <w:spacing w:line="360" w:lineRule="auto"/>
              <w:ind w:firstLine="466" w:firstLineChars="200"/>
              <w:jc w:val="both"/>
              <w:textAlignment w:val="auto"/>
              <w:rPr>
                <w:rFonts w:hint="default" w:ascii="Times New Roman" w:hAnsi="Times New Roman" w:eastAsia="宋体" w:cs="Times New Roman"/>
                <w:b/>
                <w:bCs/>
                <w:snapToGrid/>
                <w:color w:val="auto"/>
                <w:spacing w:val="-4"/>
                <w:kern w:val="2"/>
                <w:sz w:val="24"/>
                <w:szCs w:val="24"/>
                <w:highlight w:val="none"/>
                <w:lang w:eastAsia="zh-CN"/>
              </w:rPr>
            </w:pPr>
            <w:r>
              <w:rPr>
                <w:rFonts w:hint="eastAsia" w:cs="Times New Roman"/>
                <w:b/>
                <w:bCs/>
                <w:snapToGrid/>
                <w:color w:val="auto"/>
                <w:spacing w:val="-4"/>
                <w:kern w:val="2"/>
                <w:sz w:val="24"/>
                <w:szCs w:val="24"/>
                <w:highlight w:val="none"/>
                <w:lang w:val="en-US" w:eastAsia="zh-CN"/>
              </w:rPr>
              <w:t>1</w:t>
            </w:r>
            <w:r>
              <w:rPr>
                <w:rFonts w:hint="default" w:ascii="Times New Roman" w:hAnsi="Times New Roman" w:eastAsia="宋体" w:cs="Times New Roman"/>
                <w:b/>
                <w:bCs/>
                <w:snapToGrid/>
                <w:color w:val="auto"/>
                <w:spacing w:val="-4"/>
                <w:kern w:val="2"/>
                <w:sz w:val="24"/>
                <w:szCs w:val="24"/>
                <w:highlight w:val="none"/>
                <w:lang w:eastAsia="zh-CN"/>
              </w:rPr>
              <w:t>.</w:t>
            </w:r>
            <w:r>
              <w:rPr>
                <w:rFonts w:hint="eastAsia" w:cs="Times New Roman"/>
                <w:b/>
                <w:bCs/>
                <w:snapToGrid/>
                <w:color w:val="auto"/>
                <w:spacing w:val="-4"/>
                <w:kern w:val="2"/>
                <w:sz w:val="24"/>
                <w:szCs w:val="24"/>
                <w:highlight w:val="none"/>
                <w:lang w:val="en-US" w:eastAsia="zh-CN"/>
              </w:rPr>
              <w:t>2</w:t>
            </w:r>
            <w:r>
              <w:rPr>
                <w:rFonts w:hint="default" w:ascii="Times New Roman" w:hAnsi="Times New Roman" w:eastAsia="宋体" w:cs="Times New Roman"/>
                <w:b/>
                <w:bCs/>
                <w:snapToGrid/>
                <w:color w:val="auto"/>
                <w:spacing w:val="-4"/>
                <w:kern w:val="2"/>
                <w:sz w:val="24"/>
                <w:szCs w:val="24"/>
                <w:highlight w:val="none"/>
                <w:lang w:eastAsia="zh-CN"/>
              </w:rPr>
              <w:t>废气源强核算过程</w:t>
            </w:r>
          </w:p>
          <w:p w14:paraId="4884F660">
            <w:pPr>
              <w:widowControl w:val="0"/>
              <w:kinsoku/>
              <w:autoSpaceDE/>
              <w:autoSpaceDN/>
              <w:adjustRightInd/>
              <w:snapToGrid/>
              <w:spacing w:line="360" w:lineRule="auto"/>
              <w:ind w:firstLine="466" w:firstLineChars="200"/>
              <w:jc w:val="both"/>
              <w:textAlignment w:val="auto"/>
              <w:rPr>
                <w:rFonts w:hint="default" w:ascii="Times New Roman" w:hAnsi="Times New Roman" w:eastAsia="宋体" w:cs="Times New Roman"/>
                <w:snapToGrid/>
                <w:color w:val="auto"/>
                <w:spacing w:val="-4"/>
                <w:kern w:val="2"/>
                <w:sz w:val="24"/>
                <w:szCs w:val="24"/>
                <w:highlight w:val="none"/>
                <w:lang w:val="en-US" w:eastAsia="zh-CN"/>
              </w:rPr>
            </w:pPr>
            <w:r>
              <w:rPr>
                <w:rFonts w:hint="eastAsia" w:cs="Times New Roman"/>
                <w:b/>
                <w:bCs/>
                <w:snapToGrid/>
                <w:color w:val="auto"/>
                <w:spacing w:val="-4"/>
                <w:kern w:val="2"/>
                <w:sz w:val="24"/>
                <w:szCs w:val="24"/>
                <w:highlight w:val="none"/>
                <w:lang w:val="en-US" w:eastAsia="zh-CN"/>
              </w:rPr>
              <w:t>1</w:t>
            </w:r>
            <w:r>
              <w:rPr>
                <w:rFonts w:hint="default" w:ascii="Times New Roman" w:hAnsi="Times New Roman" w:eastAsia="宋体" w:cs="Times New Roman"/>
                <w:b/>
                <w:bCs/>
                <w:snapToGrid/>
                <w:color w:val="auto"/>
                <w:spacing w:val="-4"/>
                <w:kern w:val="2"/>
                <w:sz w:val="24"/>
                <w:szCs w:val="24"/>
                <w:highlight w:val="none"/>
                <w:lang w:eastAsia="zh-CN"/>
              </w:rPr>
              <w:t>.</w:t>
            </w:r>
            <w:r>
              <w:rPr>
                <w:rFonts w:hint="eastAsia" w:cs="Times New Roman"/>
                <w:b/>
                <w:bCs/>
                <w:snapToGrid/>
                <w:color w:val="auto"/>
                <w:spacing w:val="-4"/>
                <w:kern w:val="2"/>
                <w:sz w:val="24"/>
                <w:szCs w:val="24"/>
                <w:highlight w:val="none"/>
                <w:lang w:val="en-US" w:eastAsia="zh-CN"/>
              </w:rPr>
              <w:t>2</w:t>
            </w:r>
            <w:r>
              <w:rPr>
                <w:rFonts w:hint="default" w:ascii="Times New Roman" w:hAnsi="Times New Roman" w:eastAsia="宋体" w:cs="Times New Roman"/>
                <w:b/>
                <w:bCs/>
                <w:snapToGrid/>
                <w:color w:val="auto"/>
                <w:spacing w:val="-4"/>
                <w:kern w:val="2"/>
                <w:sz w:val="24"/>
                <w:szCs w:val="24"/>
                <w:highlight w:val="none"/>
                <w:lang w:eastAsia="zh-CN"/>
              </w:rPr>
              <w:t>.1</w:t>
            </w:r>
            <w:r>
              <w:rPr>
                <w:rFonts w:hint="default" w:ascii="Times New Roman" w:hAnsi="Times New Roman" w:eastAsia="宋体" w:cs="Times New Roman"/>
                <w:b/>
                <w:bCs/>
                <w:snapToGrid/>
                <w:color w:val="auto"/>
                <w:spacing w:val="-4"/>
                <w:kern w:val="2"/>
                <w:sz w:val="24"/>
                <w:szCs w:val="24"/>
                <w:highlight w:val="none"/>
                <w:lang w:val="en-US" w:eastAsia="zh-CN"/>
              </w:rPr>
              <w:t>机加工粉尘</w:t>
            </w:r>
          </w:p>
          <w:p w14:paraId="56F1241A">
            <w:pPr>
              <w:widowControl w:val="0"/>
              <w:kinsoku/>
              <w:autoSpaceDE/>
              <w:autoSpaceDN/>
              <w:adjustRightInd/>
              <w:snapToGrid/>
              <w:spacing w:line="360" w:lineRule="auto"/>
              <w:ind w:firstLine="466" w:firstLineChars="200"/>
              <w:jc w:val="both"/>
              <w:textAlignment w:val="auto"/>
              <w:rPr>
                <w:rFonts w:hint="default" w:ascii="Times New Roman" w:hAnsi="Times New Roman" w:eastAsia="宋体" w:cs="Times New Roman"/>
                <w:b/>
                <w:bCs/>
                <w:snapToGrid/>
                <w:color w:val="auto"/>
                <w:spacing w:val="-4"/>
                <w:kern w:val="2"/>
                <w:sz w:val="24"/>
                <w:szCs w:val="24"/>
                <w:highlight w:val="none"/>
                <w:lang w:val="en-US" w:eastAsia="zh-CN"/>
              </w:rPr>
            </w:pPr>
            <w:r>
              <w:rPr>
                <w:rFonts w:hint="default" w:ascii="Times New Roman" w:hAnsi="Times New Roman" w:eastAsia="宋体" w:cs="Times New Roman"/>
                <w:b/>
                <w:bCs/>
                <w:snapToGrid/>
                <w:color w:val="auto"/>
                <w:spacing w:val="-4"/>
                <w:kern w:val="2"/>
                <w:sz w:val="24"/>
                <w:szCs w:val="24"/>
                <w:highlight w:val="none"/>
                <w:lang w:eastAsia="zh-CN"/>
              </w:rPr>
              <w:t>（</w:t>
            </w:r>
            <w:r>
              <w:rPr>
                <w:rFonts w:hint="default" w:ascii="Times New Roman" w:hAnsi="Times New Roman" w:eastAsia="宋体" w:cs="Times New Roman"/>
                <w:b/>
                <w:bCs/>
                <w:snapToGrid/>
                <w:color w:val="auto"/>
                <w:spacing w:val="-4"/>
                <w:kern w:val="2"/>
                <w:sz w:val="24"/>
                <w:szCs w:val="24"/>
                <w:highlight w:val="none"/>
                <w:lang w:val="en-US" w:eastAsia="zh-CN"/>
              </w:rPr>
              <w:t>1</w:t>
            </w:r>
            <w:r>
              <w:rPr>
                <w:rFonts w:hint="default" w:ascii="Times New Roman" w:hAnsi="Times New Roman" w:eastAsia="宋体" w:cs="Times New Roman"/>
                <w:b/>
                <w:bCs/>
                <w:snapToGrid/>
                <w:color w:val="auto"/>
                <w:spacing w:val="-4"/>
                <w:kern w:val="2"/>
                <w:sz w:val="24"/>
                <w:szCs w:val="24"/>
                <w:highlight w:val="none"/>
                <w:lang w:eastAsia="zh-CN"/>
              </w:rPr>
              <w:t>）</w:t>
            </w:r>
            <w:r>
              <w:rPr>
                <w:rFonts w:hint="default" w:ascii="Times New Roman" w:hAnsi="Times New Roman" w:eastAsia="宋体" w:cs="Times New Roman"/>
                <w:b/>
                <w:bCs/>
                <w:snapToGrid/>
                <w:color w:val="auto"/>
                <w:spacing w:val="-4"/>
                <w:kern w:val="2"/>
                <w:sz w:val="24"/>
                <w:szCs w:val="24"/>
                <w:highlight w:val="none"/>
                <w:lang w:val="en-US" w:eastAsia="zh-CN"/>
              </w:rPr>
              <w:t>切割粉尘</w:t>
            </w:r>
          </w:p>
          <w:p w14:paraId="5C1BD6CB">
            <w:pPr>
              <w:widowControl w:val="0"/>
              <w:kinsoku/>
              <w:autoSpaceDE/>
              <w:autoSpaceDN/>
              <w:adjustRightInd/>
              <w:snapToGrid/>
              <w:spacing w:line="360" w:lineRule="auto"/>
              <w:ind w:firstLine="464" w:firstLineChars="200"/>
              <w:jc w:val="both"/>
              <w:textAlignment w:val="auto"/>
              <w:rPr>
                <w:rFonts w:hint="default" w:ascii="Times New Roman" w:hAnsi="Times New Roman" w:eastAsia="宋体" w:cs="Times New Roman"/>
                <w:snapToGrid/>
                <w:color w:val="auto"/>
                <w:spacing w:val="-4"/>
                <w:kern w:val="2"/>
                <w:sz w:val="24"/>
                <w:szCs w:val="24"/>
                <w:highlight w:val="none"/>
                <w:lang w:eastAsia="zh-CN"/>
              </w:rPr>
            </w:pPr>
            <w:r>
              <w:rPr>
                <w:rFonts w:hint="default" w:ascii="Times New Roman" w:hAnsi="Times New Roman" w:eastAsia="宋体" w:cs="Times New Roman"/>
                <w:snapToGrid/>
                <w:color w:val="auto"/>
                <w:spacing w:val="-4"/>
                <w:kern w:val="2"/>
                <w:sz w:val="24"/>
                <w:szCs w:val="24"/>
                <w:highlight w:val="none"/>
                <w:lang w:val="en-US" w:eastAsia="zh-CN"/>
              </w:rPr>
              <w:t>项目</w:t>
            </w:r>
            <w:r>
              <w:rPr>
                <w:rFonts w:hint="default" w:ascii="Times New Roman" w:hAnsi="Times New Roman" w:eastAsia="宋体" w:cs="Times New Roman"/>
                <w:snapToGrid/>
                <w:color w:val="auto"/>
                <w:spacing w:val="-4"/>
                <w:kern w:val="2"/>
                <w:sz w:val="24"/>
                <w:szCs w:val="24"/>
                <w:highlight w:val="none"/>
                <w:lang w:eastAsia="zh-CN"/>
              </w:rPr>
              <w:t>使用</w:t>
            </w:r>
            <w:r>
              <w:rPr>
                <w:rFonts w:hint="default" w:ascii="Times New Roman" w:hAnsi="Times New Roman" w:eastAsia="宋体" w:cs="Times New Roman"/>
                <w:snapToGrid/>
                <w:color w:val="auto"/>
                <w:spacing w:val="-4"/>
                <w:kern w:val="2"/>
                <w:sz w:val="24"/>
                <w:szCs w:val="24"/>
                <w:highlight w:val="none"/>
                <w:lang w:val="en-US" w:eastAsia="zh-CN"/>
              </w:rPr>
              <w:t>激光切割生产线、数控切割机</w:t>
            </w:r>
            <w:r>
              <w:rPr>
                <w:rFonts w:hint="default" w:ascii="Times New Roman" w:hAnsi="Times New Roman" w:eastAsia="宋体" w:cs="Times New Roman"/>
                <w:snapToGrid/>
                <w:color w:val="auto"/>
                <w:spacing w:val="-4"/>
                <w:kern w:val="2"/>
                <w:sz w:val="24"/>
                <w:szCs w:val="24"/>
                <w:highlight w:val="none"/>
                <w:lang w:eastAsia="zh-CN"/>
              </w:rPr>
              <w:t>对</w:t>
            </w:r>
            <w:r>
              <w:rPr>
                <w:rFonts w:hint="default" w:ascii="Times New Roman" w:hAnsi="Times New Roman" w:eastAsia="宋体" w:cs="Times New Roman"/>
                <w:snapToGrid/>
                <w:color w:val="auto"/>
                <w:spacing w:val="-4"/>
                <w:kern w:val="2"/>
                <w:sz w:val="24"/>
                <w:szCs w:val="24"/>
                <w:highlight w:val="none"/>
                <w:lang w:val="en-US" w:eastAsia="zh-CN"/>
              </w:rPr>
              <w:t>铝卷</w:t>
            </w:r>
            <w:r>
              <w:rPr>
                <w:rFonts w:hint="default" w:ascii="Times New Roman" w:hAnsi="Times New Roman" w:eastAsia="宋体" w:cs="Times New Roman"/>
                <w:snapToGrid/>
                <w:color w:val="auto"/>
                <w:spacing w:val="-4"/>
                <w:kern w:val="2"/>
                <w:sz w:val="24"/>
                <w:szCs w:val="24"/>
                <w:highlight w:val="none"/>
                <w:lang w:eastAsia="zh-CN"/>
              </w:rPr>
              <w:t>板进行</w:t>
            </w:r>
            <w:r>
              <w:rPr>
                <w:rFonts w:hint="default" w:ascii="Times New Roman" w:hAnsi="Times New Roman" w:eastAsia="宋体" w:cs="Times New Roman"/>
                <w:snapToGrid/>
                <w:color w:val="auto"/>
                <w:spacing w:val="-4"/>
                <w:kern w:val="2"/>
                <w:sz w:val="24"/>
                <w:szCs w:val="24"/>
                <w:highlight w:val="none"/>
                <w:lang w:val="en-US" w:eastAsia="zh-CN"/>
              </w:rPr>
              <w:t>开料</w:t>
            </w:r>
            <w:r>
              <w:rPr>
                <w:rFonts w:hint="default" w:ascii="Times New Roman" w:hAnsi="Times New Roman" w:eastAsia="宋体" w:cs="Times New Roman"/>
                <w:snapToGrid/>
                <w:color w:val="auto"/>
                <w:spacing w:val="-4"/>
                <w:kern w:val="2"/>
                <w:sz w:val="24"/>
                <w:szCs w:val="24"/>
                <w:highlight w:val="none"/>
                <w:lang w:eastAsia="zh-CN"/>
              </w:rPr>
              <w:t>，切割过程会产生粉尘，本项目切割</w:t>
            </w:r>
            <w:r>
              <w:rPr>
                <w:rFonts w:hint="default" w:ascii="Times New Roman" w:hAnsi="Times New Roman" w:eastAsia="宋体" w:cs="Times New Roman"/>
                <w:snapToGrid/>
                <w:color w:val="auto"/>
                <w:spacing w:val="-4"/>
                <w:kern w:val="2"/>
                <w:sz w:val="24"/>
                <w:szCs w:val="24"/>
                <w:highlight w:val="none"/>
                <w:lang w:val="en-US" w:eastAsia="zh-CN"/>
              </w:rPr>
              <w:t>铝卷8</w:t>
            </w:r>
            <w:r>
              <w:rPr>
                <w:rFonts w:hint="eastAsia" w:ascii="Times New Roman" w:hAnsi="Times New Roman" w:eastAsia="宋体" w:cs="Times New Roman"/>
                <w:snapToGrid/>
                <w:color w:val="auto"/>
                <w:spacing w:val="-4"/>
                <w:kern w:val="2"/>
                <w:sz w:val="24"/>
                <w:szCs w:val="24"/>
                <w:highlight w:val="none"/>
                <w:lang w:val="en-US" w:eastAsia="zh-CN"/>
              </w:rPr>
              <w:t>91</w:t>
            </w:r>
            <w:r>
              <w:rPr>
                <w:rFonts w:hint="default" w:ascii="Times New Roman" w:hAnsi="Times New Roman" w:eastAsia="宋体" w:cs="Times New Roman"/>
                <w:snapToGrid/>
                <w:color w:val="auto"/>
                <w:spacing w:val="-4"/>
                <w:kern w:val="2"/>
                <w:sz w:val="24"/>
                <w:szCs w:val="24"/>
                <w:highlight w:val="none"/>
                <w:lang w:eastAsia="zh-CN"/>
              </w:rPr>
              <w:t>0t/a，参考《排放源统计调查产排污核算方法和系数手册》—《33-37，431-434机械行业系数手册》中“04下料一钢板、铝板、铝合金板、其他金属材料-等离子切割工艺-颗粒物”的产污系数1.10kg/t原料计，则激光切割粉尘的产生量约为</w:t>
            </w:r>
            <w:r>
              <w:rPr>
                <w:rFonts w:hint="eastAsia" w:ascii="Times New Roman" w:hAnsi="Times New Roman" w:eastAsia="宋体" w:cs="Times New Roman"/>
                <w:snapToGrid/>
                <w:color w:val="auto"/>
                <w:spacing w:val="-4"/>
                <w:kern w:val="2"/>
                <w:sz w:val="24"/>
                <w:szCs w:val="24"/>
                <w:highlight w:val="none"/>
                <w:lang w:val="en-US" w:eastAsia="zh-CN"/>
              </w:rPr>
              <w:t>9.801</w:t>
            </w:r>
            <w:r>
              <w:rPr>
                <w:rFonts w:hint="default" w:ascii="Times New Roman" w:hAnsi="Times New Roman" w:eastAsia="宋体" w:cs="Times New Roman"/>
                <w:snapToGrid/>
                <w:color w:val="auto"/>
                <w:spacing w:val="-4"/>
                <w:kern w:val="2"/>
                <w:sz w:val="24"/>
                <w:szCs w:val="24"/>
                <w:highlight w:val="none"/>
                <w:lang w:eastAsia="zh-CN"/>
              </w:rPr>
              <w:t>t/a。由于金属粉尘比重较大，绝大部分</w:t>
            </w:r>
            <w:r>
              <w:rPr>
                <w:rFonts w:hint="eastAsia" w:cs="Times New Roman"/>
                <w:snapToGrid/>
                <w:color w:val="auto"/>
                <w:spacing w:val="-4"/>
                <w:kern w:val="2"/>
                <w:sz w:val="24"/>
                <w:szCs w:val="24"/>
                <w:highlight w:val="none"/>
                <w:lang w:eastAsia="zh-CN"/>
              </w:rPr>
              <w:t>迅速沉降到地面</w:t>
            </w:r>
            <w:r>
              <w:rPr>
                <w:rFonts w:hint="default" w:ascii="Times New Roman" w:hAnsi="Times New Roman" w:eastAsia="宋体" w:cs="Times New Roman"/>
                <w:snapToGrid/>
                <w:color w:val="auto"/>
                <w:spacing w:val="-4"/>
                <w:kern w:val="2"/>
                <w:sz w:val="24"/>
                <w:szCs w:val="24"/>
                <w:highlight w:val="none"/>
                <w:lang w:eastAsia="zh-CN"/>
              </w:rPr>
              <w:t>，参照《未纳入排污许可管理行业适用的排污系数、物料衡算方法（试行）》（原环境保护部公告2017年第81号）中“47锯材加工业”的系数，车间不装除尘设备的情况下，重力沉降法的效率为85%。金属比重大于木材，金属粉尘较木质粉尘更易沉降，沉降率按9</w:t>
            </w:r>
            <w:r>
              <w:rPr>
                <w:rFonts w:hint="default" w:ascii="Times New Roman" w:hAnsi="Times New Roman" w:eastAsia="宋体" w:cs="Times New Roman"/>
                <w:snapToGrid/>
                <w:color w:val="auto"/>
                <w:spacing w:val="-4"/>
                <w:kern w:val="2"/>
                <w:sz w:val="24"/>
                <w:szCs w:val="24"/>
                <w:highlight w:val="none"/>
                <w:lang w:val="en-US" w:eastAsia="zh-CN"/>
              </w:rPr>
              <w:t>5</w:t>
            </w:r>
            <w:r>
              <w:rPr>
                <w:rFonts w:hint="default" w:ascii="Times New Roman" w:hAnsi="Times New Roman" w:eastAsia="宋体" w:cs="Times New Roman"/>
                <w:snapToGrid/>
                <w:color w:val="auto"/>
                <w:spacing w:val="-4"/>
                <w:kern w:val="2"/>
                <w:sz w:val="24"/>
                <w:szCs w:val="24"/>
                <w:highlight w:val="none"/>
                <w:lang w:eastAsia="zh-CN"/>
              </w:rPr>
              <w:t>%计，仅</w:t>
            </w:r>
            <w:r>
              <w:rPr>
                <w:rFonts w:hint="default" w:ascii="Times New Roman" w:hAnsi="Times New Roman" w:eastAsia="宋体" w:cs="Times New Roman"/>
                <w:snapToGrid/>
                <w:color w:val="auto"/>
                <w:spacing w:val="-4"/>
                <w:kern w:val="2"/>
                <w:sz w:val="24"/>
                <w:szCs w:val="24"/>
                <w:highlight w:val="none"/>
                <w:lang w:val="en-US" w:eastAsia="zh-CN"/>
              </w:rPr>
              <w:t>5</w:t>
            </w:r>
            <w:r>
              <w:rPr>
                <w:rFonts w:hint="default" w:ascii="Times New Roman" w:hAnsi="Times New Roman" w:eastAsia="宋体" w:cs="Times New Roman"/>
                <w:snapToGrid/>
                <w:color w:val="auto"/>
                <w:spacing w:val="-4"/>
                <w:kern w:val="2"/>
                <w:sz w:val="24"/>
                <w:szCs w:val="24"/>
                <w:highlight w:val="none"/>
                <w:lang w:eastAsia="zh-CN"/>
              </w:rPr>
              <w:t>%</w:t>
            </w:r>
            <w:r>
              <w:rPr>
                <w:rFonts w:hint="eastAsia" w:cs="Times New Roman"/>
                <w:snapToGrid/>
                <w:color w:val="auto"/>
                <w:spacing w:val="-4"/>
                <w:kern w:val="2"/>
                <w:sz w:val="24"/>
                <w:szCs w:val="24"/>
                <w:highlight w:val="none"/>
                <w:lang w:eastAsia="zh-CN"/>
              </w:rPr>
              <w:t>。</w:t>
            </w:r>
            <w:r>
              <w:rPr>
                <w:rFonts w:hint="eastAsia" w:cs="Times New Roman"/>
                <w:snapToGrid/>
                <w:color w:val="auto"/>
                <w:spacing w:val="-4"/>
                <w:kern w:val="2"/>
                <w:sz w:val="24"/>
                <w:szCs w:val="24"/>
                <w:highlight w:val="none"/>
                <w:lang w:val="en-US" w:eastAsia="zh-CN"/>
              </w:rPr>
              <w:t>经沉降后</w:t>
            </w:r>
            <w:r>
              <w:rPr>
                <w:rFonts w:hint="default" w:ascii="Times New Roman" w:hAnsi="Times New Roman" w:eastAsia="宋体" w:cs="Times New Roman"/>
                <w:snapToGrid/>
                <w:color w:val="auto"/>
                <w:spacing w:val="-4"/>
                <w:kern w:val="2"/>
                <w:sz w:val="24"/>
                <w:szCs w:val="24"/>
                <w:highlight w:val="none"/>
                <w:lang w:eastAsia="zh-CN"/>
              </w:rPr>
              <w:t>无组织形式在车间内排放，则切割粉尘</w:t>
            </w:r>
            <w:r>
              <w:rPr>
                <w:rFonts w:hint="default" w:ascii="Times New Roman" w:hAnsi="Times New Roman" w:eastAsia="宋体" w:cs="Times New Roman"/>
                <w:snapToGrid/>
                <w:color w:val="auto"/>
                <w:spacing w:val="-4"/>
                <w:kern w:val="2"/>
                <w:sz w:val="24"/>
                <w:szCs w:val="24"/>
                <w:highlight w:val="none"/>
                <w:lang w:val="en-US" w:eastAsia="zh-CN"/>
              </w:rPr>
              <w:t>沉降量</w:t>
            </w:r>
            <w:r>
              <w:rPr>
                <w:rFonts w:hint="eastAsia" w:ascii="Times New Roman" w:hAnsi="Times New Roman" w:eastAsia="宋体" w:cs="Times New Roman"/>
                <w:snapToGrid/>
                <w:color w:val="auto"/>
                <w:spacing w:val="-4"/>
                <w:kern w:val="2"/>
                <w:sz w:val="24"/>
                <w:szCs w:val="24"/>
                <w:highlight w:val="none"/>
                <w:lang w:val="en-US" w:eastAsia="zh-CN"/>
              </w:rPr>
              <w:t>=9.801t/a×95%≈9.310</w:t>
            </w:r>
            <w:r>
              <w:rPr>
                <w:rFonts w:hint="default" w:ascii="Times New Roman" w:hAnsi="Times New Roman" w:eastAsia="宋体" w:cs="Times New Roman"/>
                <w:snapToGrid/>
                <w:color w:val="auto"/>
                <w:spacing w:val="-4"/>
                <w:kern w:val="2"/>
                <w:sz w:val="24"/>
                <w:szCs w:val="24"/>
                <w:highlight w:val="none"/>
                <w:lang w:eastAsia="zh-CN"/>
              </w:rPr>
              <w:t>t/a，无组织</w:t>
            </w:r>
            <w:r>
              <w:rPr>
                <w:rFonts w:hint="eastAsia" w:cs="Times New Roman"/>
                <w:snapToGrid/>
                <w:color w:val="auto"/>
                <w:spacing w:val="-4"/>
                <w:kern w:val="2"/>
                <w:sz w:val="24"/>
                <w:szCs w:val="24"/>
                <w:highlight w:val="none"/>
                <w:lang w:val="en-US" w:eastAsia="zh-CN"/>
              </w:rPr>
              <w:t>产生</w:t>
            </w:r>
            <w:r>
              <w:rPr>
                <w:rFonts w:hint="default" w:ascii="Times New Roman" w:hAnsi="Times New Roman" w:eastAsia="宋体" w:cs="Times New Roman"/>
                <w:snapToGrid/>
                <w:color w:val="auto"/>
                <w:spacing w:val="-4"/>
                <w:kern w:val="2"/>
                <w:sz w:val="24"/>
                <w:szCs w:val="24"/>
                <w:highlight w:val="none"/>
                <w:lang w:eastAsia="zh-CN"/>
              </w:rPr>
              <w:t>量</w:t>
            </w:r>
            <w:r>
              <w:rPr>
                <w:rFonts w:hint="eastAsia" w:ascii="Times New Roman" w:hAnsi="Times New Roman" w:eastAsia="宋体" w:cs="Times New Roman"/>
                <w:snapToGrid/>
                <w:color w:val="auto"/>
                <w:spacing w:val="-4"/>
                <w:kern w:val="2"/>
                <w:sz w:val="24"/>
                <w:szCs w:val="24"/>
                <w:highlight w:val="none"/>
                <w:lang w:val="en-US" w:eastAsia="zh-CN"/>
              </w:rPr>
              <w:t>=9.801t/a</w:t>
            </w:r>
            <w:r>
              <w:rPr>
                <w:rFonts w:hint="eastAsia" w:cs="Times New Roman"/>
                <w:snapToGrid/>
                <w:color w:val="auto"/>
                <w:spacing w:val="-4"/>
                <w:kern w:val="2"/>
                <w:sz w:val="24"/>
                <w:szCs w:val="24"/>
                <w:highlight w:val="none"/>
                <w:lang w:val="en-US" w:eastAsia="zh-CN"/>
              </w:rPr>
              <w:t>×5%≈</w:t>
            </w:r>
            <w:r>
              <w:rPr>
                <w:rFonts w:hint="eastAsia" w:ascii="Times New Roman" w:hAnsi="Times New Roman" w:eastAsia="宋体" w:cs="Times New Roman"/>
                <w:snapToGrid/>
                <w:color w:val="auto"/>
                <w:spacing w:val="-4"/>
                <w:kern w:val="2"/>
                <w:sz w:val="24"/>
                <w:szCs w:val="24"/>
                <w:highlight w:val="none"/>
                <w:lang w:val="en-US" w:eastAsia="zh-CN"/>
              </w:rPr>
              <w:t>0.49</w:t>
            </w:r>
            <w:r>
              <w:rPr>
                <w:rFonts w:hint="eastAsia" w:cs="Times New Roman"/>
                <w:snapToGrid/>
                <w:color w:val="auto"/>
                <w:spacing w:val="-4"/>
                <w:kern w:val="2"/>
                <w:sz w:val="24"/>
                <w:szCs w:val="24"/>
                <w:highlight w:val="none"/>
                <w:lang w:val="en-US" w:eastAsia="zh-CN"/>
              </w:rPr>
              <w:t>0</w:t>
            </w:r>
            <w:r>
              <w:rPr>
                <w:rFonts w:hint="default" w:ascii="Times New Roman" w:hAnsi="Times New Roman" w:eastAsia="宋体" w:cs="Times New Roman"/>
                <w:snapToGrid/>
                <w:color w:val="auto"/>
                <w:spacing w:val="-4"/>
                <w:kern w:val="2"/>
                <w:sz w:val="24"/>
                <w:szCs w:val="24"/>
                <w:highlight w:val="none"/>
                <w:lang w:eastAsia="zh-CN"/>
              </w:rPr>
              <w:t>t/a，每天工作</w:t>
            </w:r>
            <w:r>
              <w:rPr>
                <w:rFonts w:hint="default" w:ascii="Times New Roman" w:hAnsi="Times New Roman" w:eastAsia="宋体" w:cs="Times New Roman"/>
                <w:snapToGrid/>
                <w:color w:val="auto"/>
                <w:spacing w:val="-4"/>
                <w:kern w:val="2"/>
                <w:sz w:val="24"/>
                <w:szCs w:val="24"/>
                <w:highlight w:val="none"/>
                <w:lang w:val="en-US" w:eastAsia="zh-CN"/>
              </w:rPr>
              <w:t>8</w:t>
            </w:r>
            <w:r>
              <w:rPr>
                <w:rFonts w:hint="default" w:ascii="Times New Roman" w:hAnsi="Times New Roman" w:eastAsia="宋体" w:cs="Times New Roman"/>
                <w:snapToGrid/>
                <w:color w:val="auto"/>
                <w:spacing w:val="-4"/>
                <w:kern w:val="2"/>
                <w:sz w:val="24"/>
                <w:szCs w:val="24"/>
                <w:highlight w:val="none"/>
                <w:lang w:eastAsia="zh-CN"/>
              </w:rPr>
              <w:t>小时，年工作</w:t>
            </w:r>
            <w:r>
              <w:rPr>
                <w:rFonts w:hint="default" w:ascii="Times New Roman" w:hAnsi="Times New Roman" w:eastAsia="宋体" w:cs="Times New Roman"/>
                <w:snapToGrid/>
                <w:color w:val="auto"/>
                <w:spacing w:val="-4"/>
                <w:kern w:val="2"/>
                <w:sz w:val="24"/>
                <w:szCs w:val="24"/>
                <w:highlight w:val="none"/>
                <w:lang w:val="en-US" w:eastAsia="zh-CN"/>
              </w:rPr>
              <w:t>241</w:t>
            </w:r>
            <w:r>
              <w:rPr>
                <w:rFonts w:hint="default" w:ascii="Times New Roman" w:hAnsi="Times New Roman" w:eastAsia="宋体" w:cs="Times New Roman"/>
                <w:snapToGrid/>
                <w:color w:val="auto"/>
                <w:spacing w:val="-4"/>
                <w:kern w:val="2"/>
                <w:sz w:val="24"/>
                <w:szCs w:val="24"/>
                <w:highlight w:val="none"/>
                <w:lang w:eastAsia="zh-CN"/>
              </w:rPr>
              <w:t>天，全年工作时间为</w:t>
            </w:r>
            <w:r>
              <w:rPr>
                <w:rFonts w:hint="default" w:ascii="Times New Roman" w:hAnsi="Times New Roman" w:eastAsia="宋体" w:cs="Times New Roman"/>
                <w:snapToGrid/>
                <w:color w:val="auto"/>
                <w:spacing w:val="-4"/>
                <w:kern w:val="2"/>
                <w:sz w:val="24"/>
                <w:szCs w:val="24"/>
                <w:highlight w:val="none"/>
                <w:lang w:val="en-US" w:eastAsia="zh-CN"/>
              </w:rPr>
              <w:t>1928</w:t>
            </w:r>
            <w:r>
              <w:rPr>
                <w:rFonts w:hint="default" w:ascii="Times New Roman" w:hAnsi="Times New Roman" w:eastAsia="宋体" w:cs="Times New Roman"/>
                <w:snapToGrid/>
                <w:color w:val="auto"/>
                <w:spacing w:val="-4"/>
                <w:kern w:val="2"/>
                <w:sz w:val="24"/>
                <w:szCs w:val="24"/>
                <w:highlight w:val="none"/>
                <w:lang w:eastAsia="zh-CN"/>
              </w:rPr>
              <w:t>h，切割粉尘无组织排放速率约为</w:t>
            </w:r>
            <w:r>
              <w:rPr>
                <w:rFonts w:hint="default" w:ascii="Times New Roman" w:hAnsi="Times New Roman" w:eastAsia="宋体" w:cs="Times New Roman"/>
                <w:snapToGrid/>
                <w:color w:val="auto"/>
                <w:spacing w:val="-4"/>
                <w:kern w:val="2"/>
                <w:sz w:val="24"/>
                <w:szCs w:val="24"/>
                <w:highlight w:val="none"/>
                <w:lang w:val="en-US" w:eastAsia="zh-CN"/>
              </w:rPr>
              <w:t>0.</w:t>
            </w:r>
            <w:r>
              <w:rPr>
                <w:rFonts w:hint="eastAsia" w:ascii="Times New Roman" w:hAnsi="Times New Roman" w:eastAsia="宋体" w:cs="Times New Roman"/>
                <w:snapToGrid/>
                <w:color w:val="auto"/>
                <w:spacing w:val="-4"/>
                <w:kern w:val="2"/>
                <w:sz w:val="24"/>
                <w:szCs w:val="24"/>
                <w:highlight w:val="none"/>
                <w:lang w:val="en-US" w:eastAsia="zh-CN"/>
              </w:rPr>
              <w:t>25</w:t>
            </w:r>
            <w:r>
              <w:rPr>
                <w:rFonts w:hint="eastAsia" w:cs="Times New Roman"/>
                <w:snapToGrid/>
                <w:color w:val="auto"/>
                <w:spacing w:val="-4"/>
                <w:kern w:val="2"/>
                <w:sz w:val="24"/>
                <w:szCs w:val="24"/>
                <w:highlight w:val="none"/>
                <w:lang w:val="en-US" w:eastAsia="zh-CN"/>
              </w:rPr>
              <w:t>4</w:t>
            </w:r>
            <w:r>
              <w:rPr>
                <w:rFonts w:hint="default" w:ascii="Times New Roman" w:hAnsi="Times New Roman" w:eastAsia="宋体" w:cs="Times New Roman"/>
                <w:snapToGrid/>
                <w:color w:val="auto"/>
                <w:spacing w:val="-4"/>
                <w:kern w:val="2"/>
                <w:sz w:val="24"/>
                <w:szCs w:val="24"/>
                <w:highlight w:val="none"/>
                <w:lang w:eastAsia="zh-CN"/>
              </w:rPr>
              <w:t>kg/h。</w:t>
            </w:r>
          </w:p>
          <w:p w14:paraId="78624878">
            <w:pPr>
              <w:pStyle w:val="158"/>
              <w:keepNext w:val="0"/>
              <w:keepLines w:val="0"/>
              <w:suppressLineNumbers w:val="0"/>
              <w:snapToGrid/>
              <w:spacing w:before="0" w:beforeAutospacing="0" w:after="0" w:afterAutospacing="0"/>
              <w:ind w:left="0" w:right="0" w:firstLine="480"/>
              <w:rPr>
                <w:rFonts w:hint="default"/>
                <w:color w:val="auto"/>
                <w:lang w:val="en-US" w:eastAsia="zh-CN"/>
              </w:rPr>
            </w:pPr>
            <w:r>
              <w:rPr>
                <w:rFonts w:hint="eastAsia" w:ascii="Times New Roman" w:hAnsi="Times New Roman" w:eastAsia="宋体" w:cs="Times New Roman"/>
                <w:color w:val="auto"/>
                <w:highlight w:val="none"/>
                <w:lang w:val="en-US" w:eastAsia="zh-CN"/>
              </w:rPr>
              <w:t>考虑到加工工件的特殊性和切割粉尘收集系统的局限性，切割粉尘未处于密闭空间收集，根据《广东省工业源挥发性有机物减排量核算方法》（2023年修订版）中“表3.3-2废气收集集气效率参考值”的说明，外部集气罩的污染物逸散点控制风速不小于0.3m/s，废气收集效率按30%计。参考《滤筒式除尘器》（JB/T10341-2014），滤料的除尘效率应达到99.5%以上，本项目机器自带滤筒除尘器</w:t>
            </w:r>
            <w:r>
              <w:rPr>
                <w:rFonts w:hint="eastAsia"/>
                <w:color w:val="auto"/>
                <w:highlight w:val="none"/>
                <w:lang w:val="en-US" w:eastAsia="zh-CN"/>
              </w:rPr>
              <w:t>处理效率</w:t>
            </w:r>
            <w:r>
              <w:rPr>
                <w:rFonts w:hint="eastAsia" w:ascii="Times New Roman" w:hAnsi="Times New Roman" w:eastAsia="宋体" w:cs="Times New Roman"/>
                <w:color w:val="auto"/>
                <w:highlight w:val="none"/>
                <w:lang w:val="en-US" w:eastAsia="zh-CN"/>
              </w:rPr>
              <w:t>按9</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lang w:val="en-US" w:eastAsia="zh-CN"/>
              </w:rPr>
              <w:t>%计。则切割粉尘无组织排放量为0.490×30%×（1-90%）+0.490×（1-30%）=0.358t/a，无组织排放速率为0.186kg/h。</w:t>
            </w:r>
          </w:p>
          <w:p w14:paraId="12650D53">
            <w:pPr>
              <w:pStyle w:val="158"/>
              <w:keepNext w:val="0"/>
              <w:keepLines w:val="0"/>
              <w:suppressLineNumbers w:val="0"/>
              <w:snapToGrid/>
              <w:spacing w:before="0" w:beforeAutospacing="0" w:after="0" w:afterAutospacing="0"/>
              <w:ind w:left="0" w:right="0" w:firstLine="48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（2）抛光打磨粉尘</w:t>
            </w:r>
          </w:p>
          <w:p w14:paraId="305EA7A7">
            <w:pPr>
              <w:pStyle w:val="158"/>
              <w:keepNext w:val="0"/>
              <w:keepLines w:val="0"/>
              <w:suppressLineNumbers w:val="0"/>
              <w:snapToGrid/>
              <w:spacing w:before="0" w:beforeAutospacing="0" w:after="0" w:afterAutospacing="0"/>
              <w:ind w:left="0" w:right="0" w:firstLine="48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本项目金属粉尘主要来自金属原料抛光打磨过程，该工序主要使用</w:t>
            </w:r>
            <w:r>
              <w:rPr>
                <w:rFonts w:hint="eastAsia" w:cs="Times New Roman"/>
                <w:b w:val="0"/>
                <w:bCs w:val="0"/>
                <w:color w:val="auto"/>
                <w:sz w:val="24"/>
                <w:szCs w:val="24"/>
                <w:highlight w:val="none"/>
                <w:lang w:val="en-US" w:eastAsia="zh-CN"/>
              </w:rPr>
              <w:t>手磨机</w:t>
            </w:r>
            <w:r>
              <w:rPr>
                <w:rFonts w:hint="default" w:ascii="Times New Roman" w:hAnsi="Times New Roman" w:eastAsia="宋体" w:cs="Times New Roman"/>
                <w:b w:val="0"/>
                <w:bCs w:val="0"/>
                <w:color w:val="auto"/>
                <w:sz w:val="24"/>
                <w:szCs w:val="24"/>
                <w:highlight w:val="none"/>
                <w:lang w:val="en-US" w:eastAsia="zh-CN"/>
              </w:rPr>
              <w:t>在</w:t>
            </w:r>
            <w:r>
              <w:rPr>
                <w:rFonts w:hint="eastAsia" w:cs="Times New Roman"/>
                <w:b w:val="0"/>
                <w:bCs w:val="0"/>
                <w:color w:val="auto"/>
                <w:sz w:val="24"/>
                <w:szCs w:val="24"/>
                <w:highlight w:val="none"/>
                <w:lang w:val="en-US" w:eastAsia="zh-CN"/>
              </w:rPr>
              <w:t>工位上</w:t>
            </w:r>
            <w:r>
              <w:rPr>
                <w:rFonts w:hint="default" w:ascii="Times New Roman" w:hAnsi="Times New Roman" w:eastAsia="宋体" w:cs="Times New Roman"/>
                <w:b w:val="0"/>
                <w:bCs w:val="0"/>
                <w:color w:val="auto"/>
                <w:sz w:val="24"/>
                <w:szCs w:val="24"/>
                <w:highlight w:val="none"/>
                <w:lang w:val="en-US" w:eastAsia="zh-CN"/>
              </w:rPr>
              <w:t>进行。</w:t>
            </w:r>
          </w:p>
          <w:p w14:paraId="69D3AFC2">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参考“《排放源统计调查产排污核算方法和系数手册》33-37机械行业系数手册”中“预处理核算环节-预处理-干式预处理件：抛丸、喷砂、打磨”的产污系数作为</w:t>
            </w:r>
            <w:r>
              <w:rPr>
                <w:rFonts w:hint="default" w:ascii="Times New Roman" w:hAnsi="Times New Roman" w:eastAsia="宋体" w:cs="Times New Roman"/>
                <w:color w:val="auto"/>
                <w:sz w:val="24"/>
                <w:szCs w:val="24"/>
                <w:highlight w:val="none"/>
                <w:lang w:eastAsia="zh-CN"/>
              </w:rPr>
              <w:t>抛光打磨</w:t>
            </w:r>
            <w:r>
              <w:rPr>
                <w:rFonts w:hint="default" w:ascii="Times New Roman" w:hAnsi="Times New Roman" w:eastAsia="宋体" w:cs="Times New Roman"/>
                <w:color w:val="auto"/>
                <w:sz w:val="24"/>
                <w:szCs w:val="24"/>
                <w:highlight w:val="none"/>
              </w:rPr>
              <w:t>粉尘产污源强计算依据</w:t>
            </w:r>
            <w:r>
              <w:rPr>
                <w:rFonts w:hint="default" w:ascii="Times New Roman" w:hAnsi="Times New Roman" w:eastAsia="宋体" w:cs="Times New Roman"/>
                <w:color w:val="auto"/>
                <w:sz w:val="24"/>
                <w:szCs w:val="24"/>
                <w:highlight w:val="none"/>
                <w:lang w:eastAsia="zh-CN"/>
              </w:rPr>
              <w:t>。</w:t>
            </w:r>
            <w:r>
              <w:rPr>
                <w:rFonts w:hint="eastAsia" w:cs="Times New Roman"/>
                <w:color w:val="auto"/>
                <w:sz w:val="24"/>
                <w:szCs w:val="24"/>
                <w:highlight w:val="none"/>
                <w:lang w:val="en-US" w:eastAsia="zh-CN"/>
              </w:rPr>
              <w:t>根据建设单位提供资料，</w:t>
            </w:r>
            <w:r>
              <w:rPr>
                <w:rFonts w:hint="default" w:ascii="Times New Roman" w:hAnsi="Times New Roman" w:eastAsia="宋体" w:cs="Times New Roman"/>
                <w:color w:val="auto"/>
                <w:sz w:val="24"/>
                <w:szCs w:val="24"/>
                <w:highlight w:val="none"/>
                <w:lang w:eastAsia="zh-CN"/>
              </w:rPr>
              <w:t>本项目</w:t>
            </w:r>
            <w:r>
              <w:rPr>
                <w:rFonts w:hint="eastAsia" w:cs="Times New Roman"/>
                <w:color w:val="auto"/>
                <w:sz w:val="24"/>
                <w:szCs w:val="24"/>
                <w:highlight w:val="none"/>
                <w:lang w:val="en-US" w:eastAsia="zh-CN"/>
              </w:rPr>
              <w:t>仅部分工件需要进行表面打磨和焊接口打磨，打磨量占比为12%，即打磨</w:t>
            </w:r>
            <w:r>
              <w:rPr>
                <w:rFonts w:hint="default" w:ascii="Times New Roman" w:hAnsi="Times New Roman" w:eastAsia="宋体" w:cs="Times New Roman"/>
                <w:b w:val="0"/>
                <w:bCs w:val="0"/>
                <w:color w:val="auto"/>
                <w:sz w:val="24"/>
                <w:szCs w:val="24"/>
                <w:highlight w:val="none"/>
                <w:lang w:val="en-US" w:eastAsia="zh-CN"/>
              </w:rPr>
              <w:t>原料量为8</w:t>
            </w:r>
            <w:r>
              <w:rPr>
                <w:rFonts w:hint="eastAsia" w:ascii="Times New Roman" w:hAnsi="Times New Roman" w:eastAsia="宋体" w:cs="Times New Roman"/>
                <w:b w:val="0"/>
                <w:bCs w:val="0"/>
                <w:color w:val="auto"/>
                <w:sz w:val="24"/>
                <w:szCs w:val="24"/>
                <w:highlight w:val="none"/>
                <w:lang w:val="en-US" w:eastAsia="zh-CN"/>
              </w:rPr>
              <w:t>91</w:t>
            </w:r>
            <w:r>
              <w:rPr>
                <w:rFonts w:hint="default" w:ascii="Times New Roman" w:hAnsi="Times New Roman" w:eastAsia="宋体" w:cs="Times New Roman"/>
                <w:b w:val="0"/>
                <w:bCs w:val="0"/>
                <w:color w:val="auto"/>
                <w:sz w:val="24"/>
                <w:szCs w:val="24"/>
                <w:highlight w:val="none"/>
                <w:lang w:val="en-US" w:eastAsia="zh-CN"/>
              </w:rPr>
              <w:t>0t/a</w:t>
            </w:r>
            <w:r>
              <w:rPr>
                <w:rFonts w:hint="eastAsia" w:cs="Times New Roman"/>
                <w:b w:val="0"/>
                <w:bCs w:val="0"/>
                <w:color w:val="auto"/>
                <w:sz w:val="24"/>
                <w:szCs w:val="24"/>
                <w:highlight w:val="none"/>
                <w:lang w:val="en-US" w:eastAsia="zh-CN"/>
              </w:rPr>
              <w:t>×12%=1069.2t/a</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color w:val="auto"/>
                <w:sz w:val="24"/>
                <w:szCs w:val="24"/>
                <w:highlight w:val="none"/>
                <w:lang w:eastAsia="zh-CN"/>
              </w:rPr>
              <w:t>抛光打磨粉尘产污系数</w:t>
            </w:r>
            <w:r>
              <w:rPr>
                <w:rFonts w:hint="default" w:ascii="Times New Roman" w:hAnsi="Times New Roman" w:eastAsia="宋体" w:cs="Times New Roman"/>
                <w:color w:val="auto"/>
                <w:sz w:val="24"/>
                <w:szCs w:val="24"/>
                <w:highlight w:val="none"/>
                <w:lang w:val="en-US" w:eastAsia="zh-CN"/>
              </w:rPr>
              <w:t>均取</w:t>
            </w:r>
            <w:r>
              <w:rPr>
                <w:rFonts w:hint="default" w:ascii="Times New Roman" w:hAnsi="Times New Roman" w:eastAsia="宋体" w:cs="Times New Roman"/>
                <w:color w:val="auto"/>
                <w:sz w:val="24"/>
                <w:szCs w:val="24"/>
                <w:highlight w:val="none"/>
                <w:lang w:eastAsia="zh-CN"/>
              </w:rPr>
              <w:t>2.19kg/t-原料。</w:t>
            </w:r>
            <w:r>
              <w:rPr>
                <w:rFonts w:hint="default" w:ascii="Times New Roman" w:hAnsi="Times New Roman" w:eastAsia="宋体" w:cs="Times New Roman"/>
                <w:color w:val="auto"/>
                <w:sz w:val="24"/>
                <w:szCs w:val="24"/>
                <w:highlight w:val="none"/>
                <w:lang w:val="en-US" w:eastAsia="zh-CN"/>
              </w:rPr>
              <w:t>本项目抛光打磨粉尘属于金属粉末，</w:t>
            </w:r>
            <w:r>
              <w:rPr>
                <w:rFonts w:hint="default" w:ascii="Times New Roman" w:hAnsi="Times New Roman" w:eastAsia="宋体" w:cs="Times New Roman"/>
                <w:color w:val="auto"/>
                <w:sz w:val="24"/>
                <w:szCs w:val="24"/>
                <w:highlight w:val="none"/>
              </w:rPr>
              <w:t>尘粒大于100微米，该类粉尘比重和粒径较大，一般80%沉降到工作台附近5m范围内</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20%逸散到</w:t>
            </w:r>
            <w:r>
              <w:rPr>
                <w:rFonts w:hint="default" w:ascii="Times New Roman" w:hAnsi="Times New Roman" w:eastAsia="宋体" w:cs="Times New Roman"/>
                <w:color w:val="auto"/>
                <w:sz w:val="24"/>
                <w:szCs w:val="24"/>
                <w:highlight w:val="none"/>
                <w:lang w:val="en-US" w:eastAsia="zh-CN"/>
              </w:rPr>
              <w:t>车间</w:t>
            </w:r>
            <w:r>
              <w:rPr>
                <w:rFonts w:hint="default" w:ascii="Times New Roman" w:hAnsi="Times New Roman" w:eastAsia="宋体" w:cs="Times New Roman"/>
                <w:color w:val="auto"/>
                <w:sz w:val="24"/>
                <w:szCs w:val="24"/>
                <w:highlight w:val="none"/>
              </w:rPr>
              <w:t>空气中。</w:t>
            </w:r>
            <w:r>
              <w:rPr>
                <w:rFonts w:hint="default" w:ascii="Times New Roman" w:hAnsi="Times New Roman" w:eastAsia="宋体" w:cs="Times New Roman"/>
                <w:color w:val="auto"/>
                <w:sz w:val="24"/>
                <w:szCs w:val="24"/>
                <w:highlight w:val="none"/>
                <w:lang w:val="en-US" w:eastAsia="zh-CN"/>
              </w:rPr>
              <w:t>计算得出抛光打磨粉尘</w:t>
            </w:r>
            <w:r>
              <w:rPr>
                <w:rFonts w:hint="eastAsia" w:cs="Times New Roman"/>
                <w:color w:val="auto"/>
                <w:sz w:val="24"/>
                <w:szCs w:val="24"/>
                <w:highlight w:val="none"/>
                <w:lang w:val="en-US" w:eastAsia="zh-CN"/>
              </w:rPr>
              <w:t>无组织排放</w:t>
            </w:r>
            <w:r>
              <w:rPr>
                <w:rFonts w:hint="default" w:ascii="Times New Roman" w:hAnsi="Times New Roman" w:eastAsia="宋体" w:cs="Times New Roman"/>
                <w:color w:val="auto"/>
                <w:sz w:val="24"/>
                <w:szCs w:val="24"/>
                <w:highlight w:val="none"/>
                <w:lang w:val="en-US" w:eastAsia="zh-CN"/>
              </w:rPr>
              <w:t>量如下表所示。</w:t>
            </w:r>
          </w:p>
          <w:p w14:paraId="36B3C9DC">
            <w:pPr>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color w:val="auto"/>
                <w:kern w:val="2"/>
                <w:sz w:val="21"/>
                <w:szCs w:val="21"/>
                <w:lang w:val="en-US" w:eastAsia="zh-CN" w:bidi="ar-SA"/>
              </w:rPr>
              <w:t>表4-8</w:t>
            </w:r>
            <w:r>
              <w:rPr>
                <w:rFonts w:hint="default" w:ascii="Times New Roman" w:hAnsi="Times New Roman" w:cs="Times New Roman"/>
                <w:b/>
                <w:bCs/>
                <w:color w:val="auto"/>
                <w:sz w:val="21"/>
                <w:szCs w:val="21"/>
                <w:highlight w:val="none"/>
                <w:lang w:val="en-US" w:eastAsia="zh-CN"/>
              </w:rPr>
              <w:t>本项目抛光打磨粉尘逸散到空气产生量</w:t>
            </w:r>
          </w:p>
          <w:tbl>
            <w:tblPr>
              <w:tblStyle w:val="48"/>
              <w:tblW w:w="85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2"/>
              <w:gridCol w:w="1301"/>
              <w:gridCol w:w="1412"/>
              <w:gridCol w:w="910"/>
              <w:gridCol w:w="832"/>
              <w:gridCol w:w="1600"/>
              <w:gridCol w:w="1600"/>
            </w:tblGrid>
            <w:tr w14:paraId="39E580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527" w:type="pct"/>
                  <w:tcBorders>
                    <w:tl2br w:val="nil"/>
                    <w:tr2bl w:val="nil"/>
                  </w:tcBorders>
                  <w:noWrap w:val="0"/>
                  <w:vAlign w:val="center"/>
                </w:tcPr>
                <w:p w14:paraId="4ACDCA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lang w:val="en-US" w:eastAsia="zh-CN"/>
                    </w:rPr>
                  </w:pPr>
                  <w:r>
                    <w:rPr>
                      <w:rFonts w:hint="default" w:ascii="Times New Roman" w:hAnsi="Times New Roman" w:cs="Times New Roman"/>
                      <w:b/>
                      <w:bCs/>
                      <w:i w:val="0"/>
                      <w:iCs w:val="0"/>
                      <w:color w:val="auto"/>
                      <w:sz w:val="21"/>
                      <w:szCs w:val="21"/>
                      <w:highlight w:val="none"/>
                      <w:u w:val="none"/>
                      <w:lang w:val="en-US" w:eastAsia="zh-CN"/>
                    </w:rPr>
                    <w:t>废气类别</w:t>
                  </w:r>
                </w:p>
              </w:tc>
              <w:tc>
                <w:tcPr>
                  <w:tcW w:w="760" w:type="pct"/>
                  <w:tcBorders>
                    <w:tl2br w:val="nil"/>
                    <w:tr2bl w:val="nil"/>
                  </w:tcBorders>
                  <w:noWrap w:val="0"/>
                  <w:vAlign w:val="center"/>
                </w:tcPr>
                <w:p w14:paraId="072379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总产生量（t/a）</w:t>
                  </w:r>
                </w:p>
              </w:tc>
              <w:tc>
                <w:tcPr>
                  <w:tcW w:w="825" w:type="pct"/>
                  <w:tcBorders>
                    <w:tl2br w:val="nil"/>
                    <w:tr2bl w:val="nil"/>
                  </w:tcBorders>
                  <w:noWrap w:val="0"/>
                  <w:vAlign w:val="center"/>
                </w:tcPr>
                <w:p w14:paraId="0A29A6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产生速率（kg/h）</w:t>
                  </w:r>
                </w:p>
              </w:tc>
              <w:tc>
                <w:tcPr>
                  <w:tcW w:w="531" w:type="pct"/>
                  <w:tcBorders>
                    <w:tl2br w:val="nil"/>
                    <w:tr2bl w:val="nil"/>
                  </w:tcBorders>
                  <w:noWrap w:val="0"/>
                  <w:vAlign w:val="center"/>
                </w:tcPr>
                <w:p w14:paraId="4FED43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沉降率</w:t>
                  </w:r>
                </w:p>
              </w:tc>
              <w:tc>
                <w:tcPr>
                  <w:tcW w:w="486" w:type="pct"/>
                  <w:tcBorders>
                    <w:tl2br w:val="nil"/>
                    <w:tr2bl w:val="nil"/>
                  </w:tcBorders>
                  <w:noWrap w:val="0"/>
                  <w:vAlign w:val="center"/>
                </w:tcPr>
                <w:p w14:paraId="0BDA2F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沉降量（t/a）</w:t>
                  </w:r>
                </w:p>
              </w:tc>
              <w:tc>
                <w:tcPr>
                  <w:tcW w:w="934" w:type="pct"/>
                  <w:tcBorders>
                    <w:tl2br w:val="nil"/>
                    <w:tr2bl w:val="nil"/>
                  </w:tcBorders>
                  <w:noWrap w:val="0"/>
                  <w:vAlign w:val="center"/>
                </w:tcPr>
                <w:p w14:paraId="624156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粉尘</w:t>
                  </w:r>
                  <w:r>
                    <w:rPr>
                      <w:rFonts w:hint="eastAsia" w:cs="Times New Roman"/>
                      <w:b/>
                      <w:bCs/>
                      <w:i w:val="0"/>
                      <w:iCs w:val="0"/>
                      <w:color w:val="auto"/>
                      <w:kern w:val="0"/>
                      <w:sz w:val="21"/>
                      <w:szCs w:val="21"/>
                      <w:highlight w:val="none"/>
                      <w:u w:val="none"/>
                      <w:lang w:val="en-US" w:eastAsia="zh-CN" w:bidi="ar"/>
                    </w:rPr>
                    <w:t>无组织排放</w:t>
                  </w:r>
                  <w:r>
                    <w:rPr>
                      <w:rFonts w:hint="default" w:ascii="Times New Roman" w:hAnsi="Times New Roman" w:eastAsia="宋体" w:cs="Times New Roman"/>
                      <w:b/>
                      <w:bCs/>
                      <w:i w:val="0"/>
                      <w:iCs w:val="0"/>
                      <w:color w:val="auto"/>
                      <w:kern w:val="0"/>
                      <w:sz w:val="21"/>
                      <w:szCs w:val="21"/>
                      <w:highlight w:val="none"/>
                      <w:u w:val="none"/>
                      <w:lang w:val="en-US" w:eastAsia="zh-CN" w:bidi="ar"/>
                    </w:rPr>
                    <w:t>量（t/a）</w:t>
                  </w:r>
                </w:p>
              </w:tc>
              <w:tc>
                <w:tcPr>
                  <w:tcW w:w="934" w:type="pct"/>
                  <w:tcBorders>
                    <w:tl2br w:val="nil"/>
                    <w:tr2bl w:val="nil"/>
                  </w:tcBorders>
                  <w:noWrap w:val="0"/>
                  <w:vAlign w:val="center"/>
                </w:tcPr>
                <w:p w14:paraId="4E338A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eastAsia" w:cs="Times New Roman"/>
                      <w:b/>
                      <w:bCs/>
                      <w:i w:val="0"/>
                      <w:iCs w:val="0"/>
                      <w:color w:val="auto"/>
                      <w:kern w:val="0"/>
                      <w:sz w:val="21"/>
                      <w:szCs w:val="21"/>
                      <w:highlight w:val="none"/>
                      <w:u w:val="none"/>
                      <w:lang w:val="en-US" w:eastAsia="zh-CN" w:bidi="ar"/>
                    </w:rPr>
                    <w:t>无组织排放速率（kg/h）</w:t>
                  </w:r>
                </w:p>
              </w:tc>
            </w:tr>
            <w:tr w14:paraId="6338A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jc w:val="center"/>
              </w:trPr>
              <w:tc>
                <w:tcPr>
                  <w:tcW w:w="527" w:type="pct"/>
                  <w:tcBorders>
                    <w:tl2br w:val="nil"/>
                    <w:tr2bl w:val="nil"/>
                  </w:tcBorders>
                  <w:noWrap w:val="0"/>
                  <w:vAlign w:val="center"/>
                </w:tcPr>
                <w:p w14:paraId="5A236C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val="0"/>
                      <w:bCs w:val="0"/>
                      <w:i w:val="0"/>
                      <w:iCs w:val="0"/>
                      <w:color w:val="auto"/>
                      <w:sz w:val="21"/>
                      <w:szCs w:val="21"/>
                      <w:highlight w:val="none"/>
                      <w:u w:val="none"/>
                    </w:rPr>
                  </w:pPr>
                  <w:bookmarkStart w:id="21" w:name="OLE_LINK29" w:colFirst="1" w:colLast="5"/>
                  <w:r>
                    <w:rPr>
                      <w:rFonts w:hint="default" w:ascii="Times New Roman" w:hAnsi="Times New Roman" w:eastAsia="宋体" w:cs="Times New Roman"/>
                      <w:b w:val="0"/>
                      <w:bCs w:val="0"/>
                      <w:i w:val="0"/>
                      <w:iCs w:val="0"/>
                      <w:color w:val="auto"/>
                      <w:kern w:val="0"/>
                      <w:sz w:val="21"/>
                      <w:szCs w:val="21"/>
                      <w:highlight w:val="none"/>
                      <w:u w:val="none"/>
                      <w:lang w:val="en-US" w:eastAsia="zh-CN" w:bidi="ar"/>
                    </w:rPr>
                    <w:t>打磨粉尘</w:t>
                  </w:r>
                </w:p>
              </w:tc>
              <w:tc>
                <w:tcPr>
                  <w:tcW w:w="760" w:type="pct"/>
                  <w:tcBorders>
                    <w:tl2br w:val="nil"/>
                    <w:tr2bl w:val="nil"/>
                  </w:tcBorders>
                  <w:noWrap w:val="0"/>
                  <w:vAlign w:val="center"/>
                </w:tcPr>
                <w:p w14:paraId="095214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 xml:space="preserve">2.342 </w:t>
                  </w:r>
                </w:p>
              </w:tc>
              <w:tc>
                <w:tcPr>
                  <w:tcW w:w="825" w:type="pct"/>
                  <w:tcBorders>
                    <w:tl2br w:val="nil"/>
                    <w:tr2bl w:val="nil"/>
                  </w:tcBorders>
                  <w:noWrap w:val="0"/>
                  <w:vAlign w:val="center"/>
                </w:tcPr>
                <w:p w14:paraId="7FDB59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 xml:space="preserve">1.214 </w:t>
                  </w:r>
                </w:p>
              </w:tc>
              <w:tc>
                <w:tcPr>
                  <w:tcW w:w="531" w:type="pct"/>
                  <w:tcBorders>
                    <w:tl2br w:val="nil"/>
                    <w:tr2bl w:val="nil"/>
                  </w:tcBorders>
                  <w:noWrap w:val="0"/>
                  <w:vAlign w:val="center"/>
                </w:tcPr>
                <w:p w14:paraId="592E99D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80%</w:t>
                  </w:r>
                </w:p>
              </w:tc>
              <w:tc>
                <w:tcPr>
                  <w:tcW w:w="486" w:type="pct"/>
                  <w:tcBorders>
                    <w:tl2br w:val="nil"/>
                    <w:tr2bl w:val="nil"/>
                  </w:tcBorders>
                  <w:noWrap w:val="0"/>
                  <w:vAlign w:val="center"/>
                </w:tcPr>
                <w:p w14:paraId="304597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 xml:space="preserve">1.8732 </w:t>
                  </w:r>
                </w:p>
              </w:tc>
              <w:tc>
                <w:tcPr>
                  <w:tcW w:w="934" w:type="pct"/>
                  <w:tcBorders>
                    <w:tl2br w:val="nil"/>
                    <w:tr2bl w:val="nil"/>
                  </w:tcBorders>
                  <w:noWrap/>
                  <w:vAlign w:val="center"/>
                </w:tcPr>
                <w:p w14:paraId="52844C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 xml:space="preserve">0.4683 </w:t>
                  </w:r>
                </w:p>
              </w:tc>
              <w:tc>
                <w:tcPr>
                  <w:tcW w:w="934" w:type="pct"/>
                  <w:tcBorders>
                    <w:tl2br w:val="nil"/>
                    <w:tr2bl w:val="nil"/>
                  </w:tcBorders>
                  <w:noWrap/>
                  <w:vAlign w:val="center"/>
                </w:tcPr>
                <w:p w14:paraId="12EC17C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0.243</w:t>
                  </w:r>
                </w:p>
              </w:tc>
            </w:tr>
            <w:bookmarkEnd w:id="21"/>
          </w:tbl>
          <w:p w14:paraId="41059B0C">
            <w:pPr>
              <w:pStyle w:val="158"/>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100" w:lineRule="exact"/>
              <w:ind w:left="0" w:right="0" w:firstLine="480"/>
              <w:textAlignment w:val="auto"/>
              <w:rPr>
                <w:rFonts w:hint="default" w:ascii="Times New Roman" w:hAnsi="Times New Roman" w:eastAsia="宋体" w:cs="Times New Roman"/>
                <w:color w:val="auto"/>
                <w:highlight w:val="none"/>
              </w:rPr>
            </w:pPr>
          </w:p>
          <w:p w14:paraId="54211C10">
            <w:pPr>
              <w:pStyle w:val="158"/>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100" w:lineRule="exact"/>
              <w:ind w:left="0" w:right="0" w:firstLine="480"/>
              <w:textAlignment w:val="auto"/>
              <w:rPr>
                <w:rFonts w:hint="default" w:ascii="Times New Roman" w:hAnsi="Times New Roman" w:eastAsia="宋体" w:cs="Times New Roman"/>
                <w:color w:val="auto"/>
                <w:highlight w:val="none"/>
              </w:rPr>
            </w:pPr>
          </w:p>
          <w:p w14:paraId="42F06430">
            <w:pPr>
              <w:pStyle w:val="158"/>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pacing w:val="-3"/>
                <w:sz w:val="24"/>
                <w:szCs w:val="24"/>
                <w:highlight w:val="none"/>
                <w:lang w:val="en-US" w:eastAsia="zh-CN"/>
              </w:rPr>
              <w:t>1</w:t>
            </w:r>
            <w:r>
              <w:rPr>
                <w:rFonts w:hint="default" w:ascii="Times New Roman" w:hAnsi="Times New Roman" w:eastAsia="宋体" w:cs="Times New Roman"/>
                <w:b/>
                <w:bCs/>
                <w:color w:val="auto"/>
                <w:spacing w:val="-3"/>
                <w:sz w:val="24"/>
                <w:szCs w:val="24"/>
                <w:highlight w:val="none"/>
              </w:rPr>
              <w:t>.</w:t>
            </w:r>
            <w:r>
              <w:rPr>
                <w:rFonts w:hint="eastAsia" w:cs="Times New Roman"/>
                <w:b/>
                <w:bCs/>
                <w:color w:val="auto"/>
                <w:spacing w:val="-3"/>
                <w:sz w:val="24"/>
                <w:szCs w:val="24"/>
                <w:highlight w:val="none"/>
                <w:lang w:val="en-US" w:eastAsia="zh-CN"/>
              </w:rPr>
              <w:t>2</w:t>
            </w:r>
            <w:r>
              <w:rPr>
                <w:rFonts w:hint="default" w:ascii="Times New Roman" w:hAnsi="Times New Roman" w:eastAsia="宋体" w:cs="Times New Roman"/>
                <w:b/>
                <w:bCs/>
                <w:color w:val="auto"/>
                <w:spacing w:val="-3"/>
                <w:sz w:val="24"/>
                <w:szCs w:val="24"/>
                <w:highlight w:val="none"/>
              </w:rPr>
              <w:t>.2</w:t>
            </w:r>
            <w:r>
              <w:rPr>
                <w:rFonts w:hint="default" w:ascii="Times New Roman" w:hAnsi="Times New Roman" w:eastAsia="宋体" w:cs="Times New Roman"/>
                <w:b/>
                <w:bCs/>
                <w:color w:val="auto"/>
                <w:sz w:val="24"/>
                <w:szCs w:val="24"/>
                <w:highlight w:val="none"/>
                <w:lang w:val="en-US" w:eastAsia="zh-CN"/>
              </w:rPr>
              <w:t>焊接烟尘</w:t>
            </w:r>
          </w:p>
          <w:p w14:paraId="15DB49F5">
            <w:pPr>
              <w:pStyle w:val="158"/>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项目需要对钣金制品工件进行焊接，焊接工序会产生焊接烟尘，焊接烟尘是</w:t>
            </w:r>
            <w:r>
              <w:rPr>
                <w:rFonts w:hint="default" w:ascii="Times New Roman" w:hAnsi="Times New Roman" w:eastAsia="宋体" w:cs="Times New Roman"/>
                <w:color w:val="auto"/>
                <w:sz w:val="24"/>
                <w:szCs w:val="24"/>
                <w:highlight w:val="none"/>
                <w:lang w:val="en-US" w:eastAsia="zh-CN"/>
              </w:rPr>
              <w:t>焊丝</w:t>
            </w:r>
            <w:r>
              <w:rPr>
                <w:rFonts w:hint="default" w:ascii="Times New Roman" w:hAnsi="Times New Roman" w:eastAsia="宋体" w:cs="Times New Roman"/>
                <w:color w:val="auto"/>
                <w:sz w:val="24"/>
                <w:szCs w:val="24"/>
                <w:highlight w:val="none"/>
              </w:rPr>
              <w:t>在加热条件下产生的蒸汽经氧化和冷凝而形成的，主要</w:t>
            </w:r>
            <w:r>
              <w:rPr>
                <w:rFonts w:hint="default" w:ascii="Times New Roman" w:hAnsi="Times New Roman" w:eastAsia="宋体" w:cs="Times New Roman"/>
                <w:color w:val="auto"/>
                <w:sz w:val="24"/>
                <w:szCs w:val="24"/>
                <w:highlight w:val="none"/>
                <w:lang w:val="en-US" w:eastAsia="zh-CN"/>
              </w:rPr>
              <w:t>污染物指标为颗粒物</w:t>
            </w:r>
            <w:r>
              <w:rPr>
                <w:rFonts w:hint="default" w:ascii="Times New Roman" w:hAnsi="Times New Roman" w:eastAsia="宋体" w:cs="Times New Roman"/>
                <w:color w:val="auto"/>
                <w:sz w:val="24"/>
                <w:szCs w:val="24"/>
                <w:highlight w:val="none"/>
                <w:lang w:eastAsia="zh-CN"/>
              </w:rPr>
              <w:t>。</w:t>
            </w:r>
          </w:p>
          <w:p w14:paraId="768D6ED7">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本项目利用焊丝作为焊接材料，按单件产品焊接长度为0.5m（取钣金件长宽的平均值）、宽度为0.01m，厚度为0.001m计算，计算得单件产品所需焊丝为0.000005m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，项目设计年加工工件约</w:t>
            </w:r>
            <w:r>
              <w:rPr>
                <w:rFonts w:hint="eastAsia" w:ascii="Times New Roman" w:hAnsi="Times New Roman" w:cs="Times New Roman"/>
                <w:color w:val="auto"/>
                <w:sz w:val="24"/>
                <w:szCs w:val="24"/>
                <w:highlight w:val="none"/>
                <w:vertAlign w:val="baseline"/>
                <w:lang w:val="en-US" w:eastAsia="zh-CN"/>
              </w:rPr>
              <w:t>458.333</w:t>
            </w:r>
            <w:r>
              <w:rPr>
                <w:rFonts w:hint="default" w:ascii="Times New Roman" w:hAnsi="Times New Roman" w:cs="Times New Roman"/>
                <w:color w:val="auto"/>
                <w:sz w:val="24"/>
                <w:szCs w:val="24"/>
                <w:highlight w:val="none"/>
                <w:vertAlign w:val="baseline"/>
                <w:lang w:val="en-US" w:eastAsia="zh-CN"/>
              </w:rPr>
              <w:t>万件（年加工1</w:t>
            </w:r>
            <w:r>
              <w:rPr>
                <w:rFonts w:hint="eastAsia" w:ascii="Times New Roman" w:hAnsi="Times New Roman" w:cs="Times New Roman"/>
                <w:color w:val="auto"/>
                <w:sz w:val="24"/>
                <w:szCs w:val="24"/>
                <w:highlight w:val="none"/>
                <w:vertAlign w:val="baseline"/>
                <w:lang w:val="en-US" w:eastAsia="zh-CN"/>
              </w:rPr>
              <w:t>1</w:t>
            </w:r>
            <w:r>
              <w:rPr>
                <w:rFonts w:hint="default" w:ascii="Times New Roman" w:hAnsi="Times New Roman" w:cs="Times New Roman"/>
                <w:color w:val="auto"/>
                <w:sz w:val="24"/>
                <w:szCs w:val="24"/>
                <w:highlight w:val="none"/>
                <w:vertAlign w:val="baseline"/>
                <w:lang w:val="en-US" w:eastAsia="zh-CN"/>
              </w:rPr>
              <w:t>0万</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2</w:t>
            </w:r>
            <w:r>
              <w:rPr>
                <w:rFonts w:hint="default" w:ascii="Times New Roman" w:hAnsi="Times New Roman" w:cs="Times New Roman"/>
                <w:color w:val="auto"/>
                <w:sz w:val="24"/>
                <w:szCs w:val="24"/>
                <w:highlight w:val="none"/>
                <w:vertAlign w:val="baseline"/>
                <w:lang w:val="en-US" w:eastAsia="zh-CN"/>
              </w:rPr>
              <w:t>，单件工件按0.24</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2</w:t>
            </w:r>
            <w:r>
              <w:rPr>
                <w:rFonts w:hint="default" w:ascii="Times New Roman" w:hAnsi="Times New Roman" w:cs="Times New Roman"/>
                <w:color w:val="auto"/>
                <w:sz w:val="24"/>
                <w:szCs w:val="24"/>
                <w:highlight w:val="none"/>
                <w:vertAlign w:val="baseline"/>
                <w:lang w:val="en-US" w:eastAsia="zh-CN"/>
              </w:rPr>
              <w:t>折算），约</w:t>
            </w:r>
            <w:r>
              <w:rPr>
                <w:rFonts w:hint="default" w:ascii="Times New Roman" w:hAnsi="Times New Roman" w:cs="Times New Roman"/>
                <w:color w:val="auto"/>
                <w:sz w:val="24"/>
                <w:szCs w:val="24"/>
                <w:highlight w:val="none"/>
                <w:lang w:val="en-US" w:eastAsia="zh-CN"/>
              </w:rPr>
              <w:t>30%的产品需要进行焊接，</w:t>
            </w:r>
            <w:r>
              <w:rPr>
                <w:rFonts w:hint="eastAsia" w:ascii="Times New Roman" w:hAnsi="Times New Roman" w:cs="Times New Roman"/>
                <w:color w:val="auto"/>
                <w:sz w:val="24"/>
                <w:szCs w:val="24"/>
                <w:highlight w:val="none"/>
                <w:lang w:val="en-US" w:eastAsia="zh-CN"/>
              </w:rPr>
              <w:t>则</w:t>
            </w:r>
            <w:r>
              <w:rPr>
                <w:rFonts w:hint="default" w:ascii="Times New Roman" w:hAnsi="Times New Roman" w:cs="Times New Roman"/>
                <w:color w:val="auto"/>
                <w:sz w:val="24"/>
                <w:szCs w:val="24"/>
                <w:highlight w:val="none"/>
                <w:lang w:val="en-US" w:eastAsia="zh-CN"/>
              </w:rPr>
              <w:t>焊接工件</w:t>
            </w:r>
            <w:r>
              <w:rPr>
                <w:rFonts w:hint="eastAsia" w:ascii="Times New Roman" w:hAnsi="Times New Roman" w:cs="Times New Roman"/>
                <w:color w:val="auto"/>
                <w:sz w:val="24"/>
                <w:szCs w:val="24"/>
                <w:highlight w:val="none"/>
                <w:lang w:val="en-US" w:eastAsia="zh-CN"/>
              </w:rPr>
              <w:t>约为458.333万件×30%≈137.5</w:t>
            </w:r>
            <w:r>
              <w:rPr>
                <w:rFonts w:hint="default" w:ascii="Times New Roman" w:hAnsi="Times New Roman" w:cs="Times New Roman"/>
                <w:color w:val="auto"/>
                <w:sz w:val="24"/>
                <w:szCs w:val="24"/>
                <w:highlight w:val="none"/>
                <w:lang w:val="en-US" w:eastAsia="zh-CN"/>
              </w:rPr>
              <w:t>万件，</w:t>
            </w:r>
            <w:r>
              <w:rPr>
                <w:rFonts w:hint="default" w:ascii="Times New Roman" w:hAnsi="Times New Roman" w:cs="Times New Roman"/>
                <w:color w:val="auto"/>
                <w:sz w:val="24"/>
                <w:szCs w:val="24"/>
                <w:highlight w:val="none"/>
                <w:vertAlign w:val="baseline"/>
                <w:lang w:val="en-US" w:eastAsia="zh-CN"/>
              </w:rPr>
              <w:t>计算得出所需焊丝年用量</w:t>
            </w:r>
            <w:r>
              <w:rPr>
                <w:rFonts w:hint="eastAsia" w:ascii="Times New Roman" w:hAnsi="Times New Roman" w:cs="Times New Roman"/>
                <w:color w:val="auto"/>
                <w:sz w:val="24"/>
                <w:szCs w:val="24"/>
                <w:highlight w:val="none"/>
                <w:vertAlign w:val="baseline"/>
                <w:lang w:val="en-US" w:eastAsia="zh-CN"/>
              </w:rPr>
              <w:t>=137.5万件×</w:t>
            </w:r>
            <w:r>
              <w:rPr>
                <w:rFonts w:hint="default" w:ascii="Times New Roman" w:hAnsi="Times New Roman" w:cs="Times New Roman"/>
                <w:color w:val="auto"/>
                <w:sz w:val="24"/>
                <w:szCs w:val="24"/>
                <w:highlight w:val="none"/>
                <w:lang w:val="en-US" w:eastAsia="zh-CN"/>
              </w:rPr>
              <w:t>0.000005m</w:t>
            </w:r>
            <w:r>
              <w:rPr>
                <w:rFonts w:hint="default" w:ascii="Times New Roman" w:hAnsi="Times New Roman" w:cs="Times New Roman"/>
                <w:color w:val="auto"/>
                <w:sz w:val="24"/>
                <w:szCs w:val="24"/>
                <w:highlight w:val="none"/>
                <w:vertAlign w:val="superscript"/>
                <w:lang w:val="en-US" w:eastAsia="zh-CN"/>
              </w:rPr>
              <w:t>3</w:t>
            </w:r>
            <w:r>
              <w:rPr>
                <w:rFonts w:hint="eastAsia" w:ascii="Times New Roman" w:hAnsi="Times New Roman" w:cs="Times New Roman"/>
                <w:color w:val="auto"/>
                <w:sz w:val="24"/>
                <w:szCs w:val="24"/>
                <w:highlight w:val="none"/>
                <w:vertAlign w:val="baseline"/>
                <w:lang w:val="en-US" w:eastAsia="zh-CN"/>
              </w:rPr>
              <w:t>=6.875</w:t>
            </w:r>
            <w:r>
              <w:rPr>
                <w:rFonts w:hint="default" w:ascii="Times New Roman" w:hAnsi="Times New Roman" w:cs="Times New Roman"/>
                <w:color w:val="auto"/>
                <w:sz w:val="24"/>
                <w:szCs w:val="24"/>
                <w:highlight w:val="none"/>
                <w:vertAlign w:val="baseli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，铝焊丝密度按2.7t/m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计算，折合焊丝年用量为</w:t>
            </w:r>
            <w:r>
              <w:rPr>
                <w:rFonts w:hint="eastAsia" w:ascii="Times New Roman" w:hAnsi="Times New Roman" w:cs="Times New Roman"/>
                <w:color w:val="auto"/>
                <w:sz w:val="24"/>
                <w:szCs w:val="24"/>
                <w:highlight w:val="none"/>
                <w:vertAlign w:val="baseline"/>
                <w:lang w:val="en-US" w:eastAsia="zh-CN"/>
              </w:rPr>
              <w:t>18.5625</w:t>
            </w:r>
            <w:r>
              <w:rPr>
                <w:rFonts w:hint="default" w:ascii="Times New Roman" w:hAnsi="Times New Roman" w:cs="Times New Roman"/>
                <w:color w:val="auto"/>
                <w:sz w:val="24"/>
                <w:szCs w:val="24"/>
                <w:highlight w:val="none"/>
                <w:vertAlign w:val="baseline"/>
                <w:lang w:val="en-US" w:eastAsia="zh-CN"/>
              </w:rPr>
              <w:t>t。</w:t>
            </w:r>
          </w:p>
          <w:p w14:paraId="08E62447">
            <w:pPr>
              <w:pStyle w:val="158"/>
              <w:keepNext w:val="0"/>
              <w:keepLines w:val="0"/>
              <w:suppressLineNumbers w:val="0"/>
              <w:snapToGrid/>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highlight w:val="none"/>
              </w:rPr>
              <w:t>参考“《排放源统计调查产排污核算方法和系数手册》33-37机械行业系数手册”中“焊接核算环节-焊接-焊接原料：实芯焊丝”的产污系数作为焊接烟尘产污源强计算依据。本项目焊接烟尘（颗粒物）产污系数为</w:t>
            </w:r>
            <w:r>
              <w:rPr>
                <w:rFonts w:hint="default" w:ascii="Times New Roman" w:hAnsi="Times New Roman" w:eastAsia="宋体" w:cs="Times New Roman"/>
                <w:color w:val="auto"/>
                <w:highlight w:val="none"/>
                <w:lang w:val="en-US" w:eastAsia="zh-CN"/>
              </w:rPr>
              <w:t>9.19</w:t>
            </w:r>
            <w:r>
              <w:rPr>
                <w:rFonts w:hint="default" w:ascii="Times New Roman" w:hAnsi="Times New Roman" w:eastAsia="宋体" w:cs="Times New Roman"/>
                <w:color w:val="auto"/>
                <w:highlight w:val="none"/>
              </w:rPr>
              <w:t>kg/t-原料</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val="en-US" w:eastAsia="zh-CN"/>
              </w:rPr>
              <w:t>经设备自带的移动式焊烟净化器处理后</w:t>
            </w:r>
            <w:r>
              <w:rPr>
                <w:rFonts w:hint="default" w:ascii="Times New Roman" w:hAnsi="Times New Roman" w:eastAsia="宋体" w:cs="Times New Roman"/>
                <w:color w:val="auto"/>
                <w:sz w:val="24"/>
                <w:szCs w:val="24"/>
                <w:highlight w:val="none"/>
              </w:rPr>
              <w:t>于车间内无组织排放</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项目年工作1928小时。</w:t>
            </w:r>
          </w:p>
          <w:p w14:paraId="4E5CFE7C">
            <w:pPr>
              <w:pStyle w:val="158"/>
              <w:keepNext w:val="0"/>
              <w:keepLines w:val="0"/>
              <w:suppressLineNumbers w:val="0"/>
              <w:snapToGrid/>
              <w:spacing w:before="0" w:beforeAutospacing="0" w:after="0" w:afterAutospacing="0"/>
              <w:ind w:left="0" w:right="0"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考虑到工艺的特殊性和焊接烟尘收集系统的局限性，焊烟未处于密闭空间收集，</w:t>
            </w:r>
            <w:bookmarkStart w:id="22" w:name="OLE_LINK48"/>
            <w:r>
              <w:rPr>
                <w:rFonts w:hint="eastAsia" w:ascii="Times New Roman" w:hAnsi="Times New Roman" w:eastAsia="宋体" w:cs="Times New Roman"/>
                <w:color w:val="auto"/>
                <w:highlight w:val="none"/>
                <w:lang w:val="en-US" w:eastAsia="zh-CN"/>
              </w:rPr>
              <w:t>根据《广东省工业源挥发性有机物减排量核算方法》（2023年修订版）中“表3.3-2废气收集集气效率参考值”的说明，外部集气罩的污染物逸散点控制风速不小于0.3m/s，废气收集效率按30%计。</w:t>
            </w:r>
            <w:bookmarkEnd w:id="22"/>
          </w:p>
          <w:p w14:paraId="7BA4ECC9">
            <w:pPr>
              <w:pStyle w:val="158"/>
              <w:keepNext w:val="0"/>
              <w:keepLines w:val="0"/>
              <w:suppressLineNumbers w:val="0"/>
              <w:snapToGrid/>
              <w:spacing w:before="0" w:beforeAutospacing="0" w:after="0" w:afterAutospacing="0"/>
              <w:ind w:left="0" w:right="0" w:firstLine="480"/>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参考《滤筒式除尘器》（JB/T10341-2014），滤料的除尘效率应达到99.5%以上，本项目</w:t>
            </w:r>
            <w:r>
              <w:rPr>
                <w:rFonts w:hint="eastAsia"/>
                <w:color w:val="auto"/>
                <w:highlight w:val="none"/>
              </w:rPr>
              <w:t>移动式焊烟净化器</w:t>
            </w:r>
            <w:r>
              <w:rPr>
                <w:rFonts w:hint="eastAsia"/>
                <w:color w:val="auto"/>
                <w:highlight w:val="none"/>
                <w:lang w:val="en-US" w:eastAsia="zh-CN"/>
              </w:rPr>
              <w:t>处理效率</w:t>
            </w:r>
            <w:r>
              <w:rPr>
                <w:rFonts w:hint="eastAsia" w:ascii="Times New Roman" w:hAnsi="Times New Roman" w:eastAsia="宋体" w:cs="Times New Roman"/>
                <w:color w:val="auto"/>
                <w:highlight w:val="none"/>
                <w:lang w:val="en-US" w:eastAsia="zh-CN"/>
              </w:rPr>
              <w:t>按9</w:t>
            </w:r>
            <w:r>
              <w:rPr>
                <w:rFonts w:hint="eastAsia" w:cs="Times New Roman"/>
                <w:color w:val="auto"/>
                <w:highlight w:val="none"/>
                <w:lang w:val="en-US" w:eastAsia="zh-CN"/>
              </w:rPr>
              <w:t>0</w:t>
            </w:r>
            <w:r>
              <w:rPr>
                <w:rFonts w:hint="eastAsia" w:ascii="Times New Roman" w:hAnsi="Times New Roman" w:eastAsia="宋体" w:cs="Times New Roman"/>
                <w:color w:val="auto"/>
                <w:highlight w:val="none"/>
                <w:lang w:val="en-US" w:eastAsia="zh-CN"/>
              </w:rPr>
              <w:t>%计。本项目焊接烟尘排放情况如下表所示。</w:t>
            </w:r>
          </w:p>
          <w:p w14:paraId="2CBC38DD">
            <w:pPr>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9</w:t>
            </w:r>
            <w:r>
              <w:rPr>
                <w:rFonts w:hint="default" w:ascii="Times New Roman" w:hAnsi="Times New Roman" w:cs="Times New Roman"/>
                <w:b/>
                <w:bCs/>
                <w:color w:val="auto"/>
                <w:sz w:val="21"/>
                <w:szCs w:val="21"/>
                <w:highlight w:val="none"/>
                <w:lang w:val="en-US" w:eastAsia="zh-CN"/>
              </w:rPr>
              <w:t>本项目焊接烟尘产生情况</w:t>
            </w:r>
          </w:p>
          <w:tbl>
            <w:tblPr>
              <w:tblStyle w:val="48"/>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5"/>
              <w:gridCol w:w="1067"/>
              <w:gridCol w:w="917"/>
              <w:gridCol w:w="1050"/>
              <w:gridCol w:w="833"/>
              <w:gridCol w:w="700"/>
              <w:gridCol w:w="717"/>
              <w:gridCol w:w="966"/>
              <w:gridCol w:w="1072"/>
            </w:tblGrid>
            <w:tr w14:paraId="496F0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trPr>
              <w:tc>
                <w:tcPr>
                  <w:tcW w:w="9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6731B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焊丝用量（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c>
                <w:tcPr>
                  <w:tcW w:w="10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1267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产污系数（</w:t>
                  </w:r>
                  <w:r>
                    <w:rPr>
                      <w:rFonts w:hint="default" w:ascii="Times New Roman" w:hAnsi="Times New Roman" w:eastAsia="宋体" w:cs="Times New Roman"/>
                      <w:b/>
                      <w:bCs/>
                      <w:i w:val="0"/>
                      <w:iCs w:val="0"/>
                      <w:color w:val="auto"/>
                      <w:kern w:val="0"/>
                      <w:sz w:val="21"/>
                      <w:szCs w:val="21"/>
                      <w:u w:val="none"/>
                      <w:lang w:val="en-US" w:eastAsia="zh-CN" w:bidi="ar"/>
                    </w:rPr>
                    <w:t>kg/t-</w:t>
                  </w:r>
                  <w:r>
                    <w:rPr>
                      <w:rFonts w:hint="eastAsia" w:ascii="宋体" w:hAnsi="宋体" w:eastAsia="宋体" w:cs="宋体"/>
                      <w:b/>
                      <w:bCs/>
                      <w:i w:val="0"/>
                      <w:iCs w:val="0"/>
                      <w:color w:val="auto"/>
                      <w:kern w:val="0"/>
                      <w:sz w:val="21"/>
                      <w:szCs w:val="21"/>
                      <w:u w:val="none"/>
                      <w:lang w:val="en-US" w:eastAsia="zh-CN" w:bidi="ar"/>
                    </w:rPr>
                    <w:t>原料）</w:t>
                  </w:r>
                </w:p>
              </w:tc>
              <w:tc>
                <w:tcPr>
                  <w:tcW w:w="9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6CB5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产生量（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AF2D1">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产生速率（</w:t>
                  </w:r>
                  <w:r>
                    <w:rPr>
                      <w:rFonts w:hint="default" w:ascii="Times New Roman" w:hAnsi="Times New Roman" w:eastAsia="宋体" w:cs="Times New Roman"/>
                      <w:b/>
                      <w:bCs/>
                      <w:i w:val="0"/>
                      <w:iCs w:val="0"/>
                      <w:color w:val="auto"/>
                      <w:kern w:val="0"/>
                      <w:sz w:val="21"/>
                      <w:szCs w:val="21"/>
                      <w:u w:val="none"/>
                      <w:lang w:val="en-US" w:eastAsia="zh-CN" w:bidi="ar"/>
                    </w:rPr>
                    <w:t>kg/h</w:t>
                  </w:r>
                  <w:r>
                    <w:rPr>
                      <w:rFonts w:hint="eastAsia" w:ascii="宋体" w:hAnsi="宋体" w:eastAsia="宋体" w:cs="宋体"/>
                      <w:b/>
                      <w:bCs/>
                      <w:i w:val="0"/>
                      <w:iCs w:val="0"/>
                      <w:color w:val="auto"/>
                      <w:kern w:val="0"/>
                      <w:sz w:val="21"/>
                      <w:szCs w:val="21"/>
                      <w:u w:val="none"/>
                      <w:lang w:val="en-US" w:eastAsia="zh-CN" w:bidi="ar"/>
                    </w:rPr>
                    <w:t>）</w:t>
                  </w:r>
                </w:p>
              </w:tc>
              <w:tc>
                <w:tcPr>
                  <w:tcW w:w="83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3D9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年工作小时</w:t>
                  </w:r>
                  <w:r>
                    <w:rPr>
                      <w:rFonts w:hint="default" w:ascii="Times New Roman" w:hAnsi="Times New Roman" w:eastAsia="宋体" w:cs="Times New Roman"/>
                      <w:b/>
                      <w:bCs/>
                      <w:i w:val="0"/>
                      <w:iCs w:val="0"/>
                      <w:color w:val="auto"/>
                      <w:kern w:val="0"/>
                      <w:sz w:val="21"/>
                      <w:szCs w:val="21"/>
                      <w:u w:val="none"/>
                      <w:lang w:val="en-US" w:eastAsia="zh-CN" w:bidi="ar"/>
                    </w:rPr>
                    <w:t>h</w:t>
                  </w:r>
                </w:p>
              </w:tc>
              <w:tc>
                <w:tcPr>
                  <w:tcW w:w="70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A599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收集效率</w:t>
                  </w:r>
                </w:p>
              </w:tc>
              <w:tc>
                <w:tcPr>
                  <w:tcW w:w="71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FA8E">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处理效率</w:t>
                  </w:r>
                </w:p>
              </w:tc>
              <w:tc>
                <w:tcPr>
                  <w:tcW w:w="20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DE52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无组织排放</w:t>
                  </w:r>
                </w:p>
              </w:tc>
            </w:tr>
            <w:tr w14:paraId="5FF3A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387C2">
                  <w:pPr>
                    <w:jc w:val="center"/>
                    <w:rPr>
                      <w:rFonts w:hint="eastAsia" w:ascii="宋体" w:hAnsi="宋体" w:eastAsia="宋体" w:cs="宋体"/>
                      <w:b/>
                      <w:bCs/>
                      <w:i w:val="0"/>
                      <w:iCs w:val="0"/>
                      <w:color w:val="auto"/>
                      <w:sz w:val="21"/>
                      <w:szCs w:val="21"/>
                      <w:u w:val="none"/>
                    </w:rPr>
                  </w:pPr>
                </w:p>
              </w:tc>
              <w:tc>
                <w:tcPr>
                  <w:tcW w:w="10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FBFC">
                  <w:pPr>
                    <w:jc w:val="center"/>
                    <w:rPr>
                      <w:rFonts w:hint="eastAsia" w:ascii="宋体" w:hAnsi="宋体" w:eastAsia="宋体" w:cs="宋体"/>
                      <w:b/>
                      <w:bCs/>
                      <w:i w:val="0"/>
                      <w:iCs w:val="0"/>
                      <w:color w:val="auto"/>
                      <w:sz w:val="21"/>
                      <w:szCs w:val="21"/>
                      <w:u w:val="none"/>
                    </w:rPr>
                  </w:pPr>
                </w:p>
              </w:tc>
              <w:tc>
                <w:tcPr>
                  <w:tcW w:w="9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86336">
                  <w:pPr>
                    <w:jc w:val="center"/>
                    <w:rPr>
                      <w:rFonts w:hint="eastAsia" w:ascii="宋体" w:hAnsi="宋体" w:eastAsia="宋体" w:cs="宋体"/>
                      <w:b/>
                      <w:bCs/>
                      <w:i w:val="0"/>
                      <w:iCs w:val="0"/>
                      <w:color w:val="auto"/>
                      <w:sz w:val="21"/>
                      <w:szCs w:val="21"/>
                      <w:u w:val="none"/>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0A3AE">
                  <w:pPr>
                    <w:jc w:val="center"/>
                    <w:rPr>
                      <w:rFonts w:hint="eastAsia" w:ascii="宋体" w:hAnsi="宋体" w:eastAsia="宋体" w:cs="宋体"/>
                      <w:b/>
                      <w:bCs/>
                      <w:i w:val="0"/>
                      <w:iCs w:val="0"/>
                      <w:color w:val="auto"/>
                      <w:sz w:val="21"/>
                      <w:szCs w:val="21"/>
                      <w:u w:val="none"/>
                    </w:rPr>
                  </w:pPr>
                </w:p>
              </w:tc>
              <w:tc>
                <w:tcPr>
                  <w:tcW w:w="83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436B">
                  <w:pPr>
                    <w:jc w:val="center"/>
                    <w:rPr>
                      <w:rFonts w:hint="eastAsia" w:ascii="宋体" w:hAnsi="宋体" w:eastAsia="宋体" w:cs="宋体"/>
                      <w:b/>
                      <w:bCs/>
                      <w:i w:val="0"/>
                      <w:iCs w:val="0"/>
                      <w:color w:val="auto"/>
                      <w:sz w:val="21"/>
                      <w:szCs w:val="21"/>
                      <w:u w:val="none"/>
                    </w:rPr>
                  </w:pPr>
                </w:p>
              </w:tc>
              <w:tc>
                <w:tcPr>
                  <w:tcW w:w="70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A93BB">
                  <w:pPr>
                    <w:jc w:val="center"/>
                    <w:rPr>
                      <w:rFonts w:hint="eastAsia" w:ascii="宋体" w:hAnsi="宋体" w:eastAsia="宋体" w:cs="宋体"/>
                      <w:b/>
                      <w:bCs/>
                      <w:i w:val="0"/>
                      <w:iCs w:val="0"/>
                      <w:color w:val="auto"/>
                      <w:sz w:val="21"/>
                      <w:szCs w:val="21"/>
                      <w:u w:val="none"/>
                    </w:rPr>
                  </w:pPr>
                </w:p>
              </w:tc>
              <w:tc>
                <w:tcPr>
                  <w:tcW w:w="71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37574">
                  <w:pPr>
                    <w:jc w:val="center"/>
                    <w:rPr>
                      <w:rFonts w:hint="eastAsia" w:ascii="宋体" w:hAnsi="宋体" w:eastAsia="宋体" w:cs="宋体"/>
                      <w:b/>
                      <w:bCs/>
                      <w:i w:val="0"/>
                      <w:iCs w:val="0"/>
                      <w:color w:val="auto"/>
                      <w:sz w:val="21"/>
                      <w:szCs w:val="21"/>
                      <w:u w:val="none"/>
                    </w:rPr>
                  </w:pP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EB1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排放量（t/a）</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C02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排放速率（kg/h）</w:t>
                  </w:r>
                </w:p>
              </w:tc>
            </w:tr>
            <w:tr w14:paraId="5B599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90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18.5625 </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6D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9.19</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442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0.171 </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CEB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0.088 </w:t>
                  </w:r>
                </w:p>
              </w:tc>
              <w:tc>
                <w:tcPr>
                  <w:tcW w:w="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2C3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1928</w:t>
                  </w:r>
                </w:p>
              </w:tc>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7C7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7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EA9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90%</w:t>
                  </w:r>
                </w:p>
              </w:tc>
              <w:tc>
                <w:tcPr>
                  <w:tcW w:w="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46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0.125 </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5C3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0.065 </w:t>
                  </w:r>
                </w:p>
              </w:tc>
            </w:tr>
          </w:tbl>
          <w:p w14:paraId="0E747713">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p>
          <w:p w14:paraId="66156AD7">
            <w:pPr>
              <w:widowControl w:val="0"/>
              <w:kinsoku/>
              <w:autoSpaceDE/>
              <w:autoSpaceDN/>
              <w:adjustRightInd/>
              <w:snapToGrid/>
              <w:spacing w:line="360" w:lineRule="auto"/>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lang w:val="en-US" w:eastAsia="zh-CN"/>
              </w:rPr>
              <w:t>天然气燃烧废气</w:t>
            </w:r>
          </w:p>
          <w:p w14:paraId="5DD9DD75">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GB"/>
              </w:rPr>
              <w:t>本项目</w:t>
            </w:r>
            <w:r>
              <w:rPr>
                <w:rFonts w:hint="eastAsia" w:cs="Times New Roman"/>
                <w:color w:val="auto"/>
                <w:sz w:val="24"/>
                <w:szCs w:val="24"/>
                <w:highlight w:val="none"/>
                <w:lang w:val="en-US" w:eastAsia="zh-CN"/>
              </w:rPr>
              <w:t>烘干、固化</w:t>
            </w:r>
            <w:r>
              <w:rPr>
                <w:rFonts w:hint="default" w:ascii="Times New Roman" w:hAnsi="Times New Roman" w:cs="Times New Roman"/>
                <w:color w:val="auto"/>
                <w:sz w:val="24"/>
                <w:szCs w:val="24"/>
                <w:highlight w:val="none"/>
                <w:lang w:val="en-US" w:eastAsia="zh-CN"/>
              </w:rPr>
              <w:t>工序</w:t>
            </w:r>
            <w:r>
              <w:rPr>
                <w:rFonts w:hint="default" w:ascii="Times New Roman" w:hAnsi="Times New Roman" w:cs="Times New Roman"/>
                <w:color w:val="auto"/>
                <w:sz w:val="24"/>
                <w:szCs w:val="24"/>
                <w:highlight w:val="none"/>
                <w:lang w:val="en-GB"/>
              </w:rPr>
              <w:t>以天然气为燃料</w:t>
            </w:r>
            <w:r>
              <w:rPr>
                <w:rFonts w:hint="eastAsia" w:cs="Times New Roman"/>
                <w:color w:val="auto"/>
                <w:sz w:val="24"/>
                <w:szCs w:val="24"/>
                <w:highlight w:val="none"/>
                <w:lang w:val="en-GB" w:eastAsia="zh-CN"/>
              </w:rPr>
              <w:t>，</w:t>
            </w:r>
            <w:r>
              <w:rPr>
                <w:rFonts w:hint="eastAsia" w:cs="Times New Roman"/>
                <w:color w:val="auto"/>
                <w:sz w:val="24"/>
                <w:szCs w:val="24"/>
                <w:highlight w:val="none"/>
                <w:lang w:val="en-US" w:eastAsia="zh-CN"/>
              </w:rPr>
              <w:t>年用量分别为44752m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lang w:val="en-US" w:eastAsia="zh-CN"/>
              </w:rPr>
              <w:t>和137496m</w:t>
            </w:r>
            <w:r>
              <w:rPr>
                <w:rFonts w:hint="eastAsia"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lang w:val="en-GB"/>
              </w:rPr>
              <w:t>，</w:t>
            </w:r>
            <w:r>
              <w:rPr>
                <w:rFonts w:hint="default" w:ascii="Times New Roman" w:hAnsi="Times New Roman" w:eastAsia="宋体" w:cs="Times New Roman"/>
                <w:color w:val="auto"/>
                <w:sz w:val="24"/>
                <w:szCs w:val="24"/>
                <w:highlight w:val="none"/>
                <w:lang w:val="en-US" w:eastAsia="zh-CN"/>
              </w:rPr>
              <w:t>本项目天然气用量</w:t>
            </w:r>
            <w:r>
              <w:rPr>
                <w:rFonts w:hint="eastAsia" w:cs="Times New Roman"/>
                <w:color w:val="auto"/>
                <w:sz w:val="24"/>
                <w:szCs w:val="24"/>
                <w:highlight w:val="none"/>
                <w:lang w:val="en-US" w:eastAsia="zh-CN"/>
              </w:rPr>
              <w:t>合计</w:t>
            </w:r>
            <w:r>
              <w:rPr>
                <w:rFonts w:hint="default" w:ascii="Times New Roman" w:hAnsi="Times New Roman" w:eastAsia="宋体" w:cs="Times New Roman"/>
                <w:color w:val="auto"/>
                <w:sz w:val="24"/>
                <w:szCs w:val="24"/>
                <w:highlight w:val="none"/>
                <w:lang w:val="en-US" w:eastAsia="zh-CN"/>
              </w:rPr>
              <w:t>为182248m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/a。本项目使用天然气属于《天然气》（GB17820-2018）中的二类气体，其含硫量≤100mg/m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。天然气燃烧过程中，氮氧化物、二氧化硫和工业废气量参考《排放源统计调查产排污核算方法和系数手册》中“机械行业系数手册”内“14涂装天然气工业炉窑”产污系数。</w:t>
            </w:r>
            <w:r>
              <w:rPr>
                <w:rFonts w:hint="default" w:ascii="Times New Roman" w:hAnsi="Times New Roman" w:cs="Times New Roman"/>
                <w:color w:val="auto"/>
                <w:kern w:val="0"/>
                <w:sz w:val="24"/>
                <w:szCs w:val="24"/>
                <w:highlight w:val="none"/>
                <w:lang w:bidi="ar"/>
              </w:rPr>
              <w:t>本项目</w:t>
            </w:r>
            <w:r>
              <w:rPr>
                <w:rFonts w:hint="eastAsia" w:cs="Times New Roman"/>
                <w:color w:val="auto"/>
                <w:kern w:val="0"/>
                <w:sz w:val="24"/>
                <w:szCs w:val="24"/>
                <w:highlight w:val="none"/>
                <w:lang w:val="en-US" w:eastAsia="zh-CN" w:bidi="ar"/>
              </w:rPr>
              <w:t>固化、烘干工序</w:t>
            </w:r>
            <w:r>
              <w:rPr>
                <w:rFonts w:hint="default" w:ascii="Times New Roman" w:hAnsi="Times New Roman" w:cs="Times New Roman"/>
                <w:color w:val="auto"/>
                <w:kern w:val="0"/>
                <w:sz w:val="24"/>
                <w:szCs w:val="24"/>
                <w:highlight w:val="none"/>
                <w:lang w:bidi="ar"/>
              </w:rPr>
              <w:t>年工作时间</w:t>
            </w:r>
            <w:r>
              <w:rPr>
                <w:rFonts w:hint="default" w:ascii="Times New Roman" w:hAnsi="Times New Roman" w:cs="Times New Roman"/>
                <w:color w:val="auto"/>
                <w:kern w:val="0"/>
                <w:sz w:val="24"/>
                <w:szCs w:val="24"/>
                <w:highlight w:val="none"/>
                <w:lang w:val="en-US" w:eastAsia="zh-CN" w:bidi="ar"/>
              </w:rPr>
              <w:t>1928</w:t>
            </w:r>
            <w:r>
              <w:rPr>
                <w:rFonts w:hint="default" w:ascii="Times New Roman" w:hAnsi="Times New Roman" w:cs="Times New Roman"/>
                <w:color w:val="auto"/>
                <w:kern w:val="0"/>
                <w:sz w:val="24"/>
                <w:szCs w:val="24"/>
                <w:highlight w:val="none"/>
                <w:lang w:bidi="ar"/>
              </w:rPr>
              <w:t>h</w:t>
            </w:r>
            <w:r>
              <w:rPr>
                <w:rFonts w:hint="default" w:ascii="Times New Roman" w:hAnsi="Times New Roman" w:cs="Times New Roman"/>
                <w:color w:val="auto"/>
                <w:kern w:val="0"/>
                <w:sz w:val="24"/>
                <w:szCs w:val="24"/>
                <w:highlight w:val="none"/>
                <w:lang w:eastAsia="zh-CN" w:bidi="ar"/>
              </w:rPr>
              <w:t>。</w:t>
            </w:r>
          </w:p>
          <w:p w14:paraId="2C3CB9E5">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燃烧机燃烧天然气的污染物产生情况如下：</w:t>
            </w:r>
          </w:p>
          <w:p w14:paraId="7F263F9F">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cs="Times New Roman"/>
                <w:b/>
                <w:bCs/>
                <w:color w:val="auto"/>
                <w:sz w:val="21"/>
                <w:szCs w:val="21"/>
                <w:highlight w:val="none"/>
                <w:lang w:bidi="ar"/>
              </w:rPr>
            </w:pPr>
            <w:r>
              <w:rPr>
                <w:rFonts w:hint="default" w:ascii="Times New Roman" w:hAnsi="Times New Roman" w:eastAsia="宋体" w:cs="Times New Roman"/>
                <w:b/>
                <w:color w:val="auto"/>
                <w:kern w:val="2"/>
                <w:sz w:val="21"/>
                <w:szCs w:val="21"/>
                <w:lang w:val="en-US" w:eastAsia="zh-CN" w:bidi="ar-SA"/>
              </w:rPr>
              <w:t>表4-1</w:t>
            </w:r>
            <w:r>
              <w:rPr>
                <w:rFonts w:hint="eastAsia" w:cs="Times New Roman"/>
                <w:b/>
                <w:color w:val="auto"/>
                <w:kern w:val="2"/>
                <w:sz w:val="21"/>
                <w:szCs w:val="21"/>
                <w:lang w:val="en-US" w:eastAsia="zh-CN" w:bidi="ar-SA"/>
              </w:rPr>
              <w:t>0</w:t>
            </w:r>
            <w:r>
              <w:rPr>
                <w:rFonts w:hint="default" w:ascii="Times New Roman" w:hAnsi="Times New Roman" w:cs="Times New Roman"/>
                <w:b/>
                <w:bCs/>
                <w:color w:val="auto"/>
                <w:sz w:val="21"/>
                <w:szCs w:val="21"/>
                <w:highlight w:val="none"/>
                <w:lang w:bidi="ar"/>
              </w:rPr>
              <w:t>天然气燃烧废气产生情况一览表</w:t>
            </w:r>
          </w:p>
          <w:tbl>
            <w:tblPr>
              <w:tblStyle w:val="48"/>
              <w:tblW w:w="9465"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71"/>
              <w:gridCol w:w="1172"/>
              <w:gridCol w:w="1262"/>
              <w:gridCol w:w="1185"/>
              <w:gridCol w:w="1172"/>
              <w:gridCol w:w="1172"/>
              <w:gridCol w:w="1172"/>
            </w:tblGrid>
            <w:tr w14:paraId="12B48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9FD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3FF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废气产生点</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52E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天然气消耗量（</w:t>
                  </w:r>
                  <w:r>
                    <w:rPr>
                      <w:rFonts w:hint="default" w:ascii="Times New Roman" w:hAnsi="Times New Roman" w:eastAsia="宋体" w:cs="Times New Roman"/>
                      <w:b/>
                      <w:bCs/>
                      <w:i w:val="0"/>
                      <w:iCs w:val="0"/>
                      <w:color w:val="auto"/>
                      <w:kern w:val="0"/>
                      <w:sz w:val="21"/>
                      <w:szCs w:val="21"/>
                      <w:u w:val="none"/>
                      <w:lang w:val="en-US" w:eastAsia="zh-CN" w:bidi="ar"/>
                    </w:rPr>
                    <w:t>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eastAsia" w:ascii="宋体" w:hAnsi="宋体" w:eastAsia="宋体" w:cs="宋体"/>
                      <w:b/>
                      <w:bCs/>
                      <w:i w:val="0"/>
                      <w:iCs w:val="0"/>
                      <w:color w:val="auto"/>
                      <w:kern w:val="0"/>
                      <w:sz w:val="21"/>
                      <w:szCs w:val="21"/>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7C4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参数</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51DD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产污系数</w:t>
                  </w:r>
                  <w:r>
                    <w:rPr>
                      <w:rFonts w:hint="eastAsia" w:ascii="宋体" w:hAnsi="宋体" w:eastAsia="宋体" w:cs="宋体"/>
                      <w:i w:val="0"/>
                      <w:iCs w:val="0"/>
                      <w:color w:val="auto"/>
                      <w:kern w:val="0"/>
                      <w:sz w:val="21"/>
                      <w:szCs w:val="21"/>
                      <w:u w:val="none"/>
                      <w:lang w:val="en-US" w:eastAsia="zh-CN" w:bidi="ar"/>
                    </w:rPr>
                    <w:t>万</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928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产生量（</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03D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产生速率（</w:t>
                  </w:r>
                  <w:r>
                    <w:rPr>
                      <w:rFonts w:hint="default" w:ascii="Times New Roman" w:hAnsi="Times New Roman" w:eastAsia="宋体" w:cs="Times New Roman"/>
                      <w:b/>
                      <w:bCs/>
                      <w:i w:val="0"/>
                      <w:iCs w:val="0"/>
                      <w:color w:val="auto"/>
                      <w:kern w:val="0"/>
                      <w:sz w:val="21"/>
                      <w:szCs w:val="21"/>
                      <w:u w:val="none"/>
                      <w:lang w:val="en-US" w:eastAsia="zh-CN" w:bidi="ar"/>
                    </w:rPr>
                    <w:t>kg/h</w:t>
                  </w:r>
                  <w:r>
                    <w:rPr>
                      <w:rFonts w:hint="eastAsia" w:ascii="宋体" w:hAnsi="宋体" w:eastAsia="宋体" w:cs="宋体"/>
                      <w:b/>
                      <w:bCs/>
                      <w:i w:val="0"/>
                      <w:iCs w:val="0"/>
                      <w:color w:val="auto"/>
                      <w:kern w:val="0"/>
                      <w:sz w:val="21"/>
                      <w:szCs w:val="21"/>
                      <w:u w:val="none"/>
                      <w:lang w:val="en-US" w:eastAsia="zh-CN" w:bidi="ar"/>
                    </w:rPr>
                    <w:t>）</w:t>
                  </w:r>
                </w:p>
              </w:tc>
            </w:tr>
            <w:tr w14:paraId="7E451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1D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 </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533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表面预处理烘干烘道</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8CA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44752</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939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工业废气量</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58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Nm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53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D27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11000 Nm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/h</w:t>
                  </w:r>
                </w:p>
              </w:tc>
            </w:tr>
            <w:tr w14:paraId="4FAC0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3D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598CD">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ED9CE">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42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44A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0.000002S</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CCC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AF5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r>
            <w:tr w14:paraId="5A71C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AAF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D7E4D">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09629">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86E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CB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0.00187</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242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2BA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r>
            <w:tr w14:paraId="05FC3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ED1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82E52">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56182">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86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烟尘</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6B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0.000286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40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68B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r>
            <w:tr w14:paraId="33D5A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3B8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 </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27F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喷粉</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喷漆烘干固化</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5C6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137496</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490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工业废气量</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0BE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Nm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C0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E575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40000Nm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/h</w:t>
                  </w:r>
                </w:p>
              </w:tc>
            </w:tr>
            <w:tr w14:paraId="682F0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692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6.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C9CC">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CF46">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919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0EE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0.000002S</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D1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08D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r>
            <w:tr w14:paraId="73CCE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B8A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7.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EDD50">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ACB91">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354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F3F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0.00187</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CA4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FBE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0.133 </w:t>
                  </w:r>
                </w:p>
              </w:tc>
            </w:tr>
            <w:tr w14:paraId="60023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4AF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8.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15480">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AFCC1">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29E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烟尘</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9FC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0.000286</w:t>
                  </w:r>
                  <w:r>
                    <w:rPr>
                      <w:rFonts w:hint="eastAsia" w:ascii="宋体" w:hAnsi="宋体" w:eastAsia="宋体" w:cs="宋体"/>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燃料）</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C83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0.039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F69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0.020 </w:t>
                  </w:r>
                </w:p>
              </w:tc>
            </w:tr>
            <w:tr w14:paraId="1077F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B6E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9. </w:t>
                  </w:r>
                </w:p>
              </w:tc>
              <w:tc>
                <w:tcPr>
                  <w:tcW w:w="13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942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3FD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182248</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A8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16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F9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0.036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E6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0.019 </w:t>
                  </w:r>
                </w:p>
              </w:tc>
            </w:tr>
            <w:tr w14:paraId="54F86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8F1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E295A">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EAE3">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AAF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2</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EFD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26DA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0.341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57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0.177 </w:t>
                  </w:r>
                </w:p>
              </w:tc>
            </w:tr>
            <w:tr w14:paraId="3AC57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A911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11. </w:t>
                  </w:r>
                </w:p>
              </w:tc>
              <w:tc>
                <w:tcPr>
                  <w:tcW w:w="13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A902C">
                  <w:pPr>
                    <w:jc w:val="center"/>
                    <w:rPr>
                      <w:rFonts w:hint="default" w:ascii="Times New Roman" w:hAnsi="Times New Roman" w:eastAsia="宋体" w:cs="Times New Roman"/>
                      <w:i w:val="0"/>
                      <w:iCs w:val="0"/>
                      <w:color w:val="auto"/>
                      <w:sz w:val="21"/>
                      <w:szCs w:val="21"/>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04ED3">
                  <w:pPr>
                    <w:jc w:val="center"/>
                    <w:rPr>
                      <w:rFonts w:hint="default" w:ascii="Times New Roman" w:hAnsi="Times New Roman" w:eastAsia="宋体" w:cs="Times New Roman"/>
                      <w:i w:val="0"/>
                      <w:iCs w:val="0"/>
                      <w:color w:val="auto"/>
                      <w:sz w:val="21"/>
                      <w:szCs w:val="21"/>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D8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烟尘</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8D0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86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0.052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748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r>
            <w:tr w14:paraId="375A8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46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D5C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注：①</w:t>
                  </w: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r>
                    <w:rPr>
                      <w:rFonts w:hint="eastAsia" w:ascii="宋体" w:hAnsi="宋体" w:eastAsia="宋体" w:cs="宋体"/>
                      <w:i w:val="0"/>
                      <w:iCs w:val="0"/>
                      <w:color w:val="auto"/>
                      <w:kern w:val="0"/>
                      <w:sz w:val="21"/>
                      <w:szCs w:val="21"/>
                      <w:u w:val="none"/>
                      <w:lang w:val="en-US" w:eastAsia="zh-CN" w:bidi="ar"/>
                    </w:rPr>
                    <w:t>的产生系数为</w:t>
                  </w:r>
                  <w:r>
                    <w:rPr>
                      <w:rFonts w:hint="default" w:ascii="Times New Roman" w:hAnsi="Times New Roman" w:eastAsia="宋体" w:cs="Times New Roman"/>
                      <w:i w:val="0"/>
                      <w:iCs w:val="0"/>
                      <w:color w:val="auto"/>
                      <w:kern w:val="0"/>
                      <w:sz w:val="21"/>
                      <w:szCs w:val="21"/>
                      <w:u w:val="none"/>
                      <w:lang w:val="en-US" w:eastAsia="zh-CN" w:bidi="ar"/>
                    </w:rPr>
                    <w:t>0.000002S</w:t>
                  </w:r>
                  <w:r>
                    <w:rPr>
                      <w:rFonts w:hint="eastAsia" w:ascii="宋体" w:hAnsi="宋体" w:eastAsia="宋体" w:cs="宋体"/>
                      <w:i w:val="0"/>
                      <w:iCs w:val="0"/>
                      <w:color w:val="auto"/>
                      <w:kern w:val="0"/>
                      <w:sz w:val="21"/>
                      <w:szCs w:val="21"/>
                      <w:u w:val="none"/>
                      <w:lang w:val="en-US" w:eastAsia="zh-CN" w:bidi="ar"/>
                    </w:rPr>
                    <w:t>，其中</w:t>
                  </w:r>
                  <w:r>
                    <w:rPr>
                      <w:rFonts w:hint="default" w:ascii="Times New Roman" w:hAnsi="Times New Roman" w:eastAsia="宋体" w:cs="Times New Roman"/>
                      <w:i w:val="0"/>
                      <w:iCs w:val="0"/>
                      <w:color w:val="auto"/>
                      <w:kern w:val="0"/>
                      <w:sz w:val="21"/>
                      <w:szCs w:val="21"/>
                      <w:u w:val="none"/>
                      <w:lang w:val="en-US" w:eastAsia="zh-CN" w:bidi="ar"/>
                    </w:rPr>
                    <w:t>S</w:t>
                  </w:r>
                  <w:r>
                    <w:rPr>
                      <w:rFonts w:hint="eastAsia" w:ascii="宋体" w:hAnsi="宋体" w:eastAsia="宋体" w:cs="宋体"/>
                      <w:i w:val="0"/>
                      <w:iCs w:val="0"/>
                      <w:color w:val="auto"/>
                      <w:kern w:val="0"/>
                      <w:sz w:val="21"/>
                      <w:szCs w:val="21"/>
                      <w:u w:val="none"/>
                      <w:lang w:val="en-US" w:eastAsia="zh-CN" w:bidi="ar"/>
                    </w:rPr>
                    <w:t>为燃料中的含硫量，根据《天然气》（</w:t>
                  </w:r>
                  <w:r>
                    <w:rPr>
                      <w:rFonts w:hint="default" w:ascii="Times New Roman" w:hAnsi="Times New Roman" w:eastAsia="宋体" w:cs="Times New Roman"/>
                      <w:i w:val="0"/>
                      <w:iCs w:val="0"/>
                      <w:color w:val="auto"/>
                      <w:kern w:val="0"/>
                      <w:sz w:val="21"/>
                      <w:szCs w:val="21"/>
                      <w:u w:val="none"/>
                      <w:lang w:val="en-US" w:eastAsia="zh-CN" w:bidi="ar"/>
                    </w:rPr>
                    <w:t>GB17820-2018</w:t>
                  </w:r>
                  <w:r>
                    <w:rPr>
                      <w:rFonts w:hint="eastAsia" w:ascii="宋体" w:hAnsi="宋体" w:eastAsia="宋体" w:cs="宋体"/>
                      <w:i w:val="0"/>
                      <w:iCs w:val="0"/>
                      <w:color w:val="auto"/>
                      <w:kern w:val="0"/>
                      <w:sz w:val="21"/>
                      <w:szCs w:val="21"/>
                      <w:u w:val="none"/>
                      <w:lang w:val="en-US" w:eastAsia="zh-CN" w:bidi="ar"/>
                    </w:rPr>
                    <w:t>）中的二类标准含</w:t>
                  </w:r>
                  <w:r>
                    <w:rPr>
                      <w:rFonts w:hint="default" w:ascii="Times New Roman" w:hAnsi="Times New Roman" w:eastAsia="宋体" w:cs="Times New Roman"/>
                      <w:i w:val="0"/>
                      <w:iCs w:val="0"/>
                      <w:color w:val="auto"/>
                      <w:kern w:val="0"/>
                      <w:sz w:val="21"/>
                      <w:szCs w:val="21"/>
                      <w:u w:val="none"/>
                      <w:lang w:val="en-US" w:eastAsia="zh-CN" w:bidi="ar"/>
                    </w:rPr>
                    <w:t>S</w:t>
                  </w:r>
                  <w:r>
                    <w:rPr>
                      <w:rFonts w:hint="eastAsia" w:ascii="宋体" w:hAnsi="宋体" w:eastAsia="宋体" w:cs="宋体"/>
                      <w:i w:val="0"/>
                      <w:iCs w:val="0"/>
                      <w:color w:val="auto"/>
                      <w:kern w:val="0"/>
                      <w:sz w:val="21"/>
                      <w:szCs w:val="21"/>
                      <w:u w:val="none"/>
                      <w:lang w:val="en-US" w:eastAsia="zh-CN" w:bidi="ar"/>
                    </w:rPr>
                    <w:t>量最高不超</w:t>
                  </w:r>
                  <w:r>
                    <w:rPr>
                      <w:rFonts w:hint="default" w:ascii="Times New Roman" w:hAnsi="Times New Roman" w:eastAsia="宋体" w:cs="Times New Roman"/>
                      <w:i w:val="0"/>
                      <w:iCs w:val="0"/>
                      <w:color w:val="auto"/>
                      <w:kern w:val="0"/>
                      <w:sz w:val="21"/>
                      <w:szCs w:val="21"/>
                      <w:u w:val="none"/>
                      <w:lang w:val="en-US" w:eastAsia="zh-CN" w:bidi="ar"/>
                    </w:rPr>
                    <w:t>100mg/m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宋体" w:hAnsi="宋体" w:eastAsia="宋体" w:cs="宋体"/>
                      <w:i w:val="0"/>
                      <w:iCs w:val="0"/>
                      <w:color w:val="auto"/>
                      <w:kern w:val="0"/>
                      <w:sz w:val="21"/>
                      <w:szCs w:val="21"/>
                      <w:u w:val="none"/>
                      <w:lang w:val="en-US" w:eastAsia="zh-CN" w:bidi="ar"/>
                    </w:rPr>
                    <w:t>计算，即</w:t>
                  </w:r>
                  <w:r>
                    <w:rPr>
                      <w:rFonts w:hint="default" w:ascii="Times New Roman" w:hAnsi="Times New Roman" w:eastAsia="宋体" w:cs="Times New Roman"/>
                      <w:i w:val="0"/>
                      <w:iCs w:val="0"/>
                      <w:color w:val="auto"/>
                      <w:kern w:val="0"/>
                      <w:sz w:val="21"/>
                      <w:szCs w:val="21"/>
                      <w:u w:val="none"/>
                      <w:lang w:val="en-US" w:eastAsia="zh-CN" w:bidi="ar"/>
                    </w:rPr>
                    <w:t>S</w:t>
                  </w:r>
                  <w:r>
                    <w:rPr>
                      <w:rFonts w:hint="eastAsia" w:ascii="宋体" w:hAnsi="宋体" w:eastAsia="宋体" w:cs="宋体"/>
                      <w:i w:val="0"/>
                      <w:iCs w:val="0"/>
                      <w:color w:val="auto"/>
                      <w:kern w:val="0"/>
                      <w:sz w:val="21"/>
                      <w:szCs w:val="21"/>
                      <w:u w:val="none"/>
                      <w:lang w:val="en-US" w:eastAsia="zh-CN" w:bidi="ar"/>
                    </w:rPr>
                    <w:t>取</w:t>
                  </w:r>
                  <w:r>
                    <w:rPr>
                      <w:rFonts w:hint="default" w:ascii="Times New Roman" w:hAnsi="Times New Roman" w:eastAsia="宋体" w:cs="Times New Roman"/>
                      <w:i w:val="0"/>
                      <w:iCs w:val="0"/>
                      <w:color w:val="auto"/>
                      <w:kern w:val="0"/>
                      <w:sz w:val="21"/>
                      <w:szCs w:val="21"/>
                      <w:u w:val="none"/>
                      <w:lang w:val="en-US" w:eastAsia="zh-CN" w:bidi="ar"/>
                    </w:rPr>
                    <w:t>100</w:t>
                  </w:r>
                  <w:r>
                    <w:rPr>
                      <w:rFonts w:hint="eastAsia" w:ascii="Times New Roman" w:hAnsi="Times New Roman" w:eastAsia="宋体" w:cs="Times New Roman"/>
                      <w:i w:val="0"/>
                      <w:iCs w:val="0"/>
                      <w:color w:val="auto"/>
                      <w:kern w:val="0"/>
                      <w:sz w:val="21"/>
                      <w:szCs w:val="21"/>
                      <w:u w:val="none"/>
                      <w:lang w:val="en-US" w:eastAsia="zh-CN" w:bidi="ar"/>
                    </w:rPr>
                    <w:t>。</w:t>
                  </w:r>
                </w:p>
              </w:tc>
            </w:tr>
          </w:tbl>
          <w:p w14:paraId="3616BE8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固化工序</w:t>
            </w:r>
            <w:r>
              <w:rPr>
                <w:rFonts w:hint="default" w:ascii="Times New Roman" w:hAnsi="Times New Roman" w:cs="Times New Roman"/>
                <w:color w:val="auto"/>
                <w:sz w:val="24"/>
                <w:highlight w:val="none"/>
              </w:rPr>
              <w:t>燃烧机燃烧天然气产生的热烟气，经</w:t>
            </w:r>
            <w:r>
              <w:rPr>
                <w:rFonts w:hint="eastAsia" w:cs="Times New Roman"/>
                <w:color w:val="auto"/>
                <w:sz w:val="24"/>
                <w:highlight w:val="none"/>
                <w:lang w:val="en-US" w:eastAsia="zh-CN"/>
              </w:rPr>
              <w:t>固化</w:t>
            </w:r>
            <w:r>
              <w:rPr>
                <w:rFonts w:hint="default" w:ascii="Times New Roman" w:hAnsi="Times New Roman" w:cs="Times New Roman"/>
                <w:color w:val="auto"/>
                <w:sz w:val="24"/>
                <w:highlight w:val="none"/>
              </w:rPr>
              <w:t>通道首尾两端设置的集气罩收集，与通道设置的直连排风管一并引至15m高排气筒</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DA00</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高空排放。</w:t>
            </w:r>
            <w:r>
              <w:rPr>
                <w:rFonts w:hint="eastAsia" w:cs="Times New Roman"/>
                <w:color w:val="auto"/>
                <w:sz w:val="24"/>
                <w:highlight w:val="none"/>
                <w:lang w:val="en-US" w:eastAsia="zh-CN"/>
              </w:rPr>
              <w:t>烘干工序</w:t>
            </w:r>
            <w:r>
              <w:rPr>
                <w:rFonts w:hint="default" w:ascii="Times New Roman" w:hAnsi="Times New Roman" w:cs="Times New Roman"/>
                <w:color w:val="auto"/>
                <w:sz w:val="24"/>
                <w:highlight w:val="none"/>
              </w:rPr>
              <w:t>燃烧机燃烧天然气产生的热烟气，经</w:t>
            </w:r>
            <w:r>
              <w:rPr>
                <w:rFonts w:hint="eastAsia" w:cs="Times New Roman"/>
                <w:color w:val="auto"/>
                <w:sz w:val="24"/>
                <w:highlight w:val="none"/>
                <w:lang w:val="en-US" w:eastAsia="zh-CN"/>
              </w:rPr>
              <w:t>烘干通道</w:t>
            </w:r>
            <w:r>
              <w:rPr>
                <w:rFonts w:hint="default" w:ascii="Times New Roman" w:hAnsi="Times New Roman" w:cs="Times New Roman"/>
                <w:color w:val="auto"/>
                <w:sz w:val="24"/>
                <w:highlight w:val="none"/>
              </w:rPr>
              <w:t>首尾两端设置的集气罩收集，与</w:t>
            </w:r>
            <w:r>
              <w:rPr>
                <w:rFonts w:hint="eastAsia" w:cs="Times New Roman"/>
                <w:color w:val="auto"/>
                <w:sz w:val="24"/>
                <w:highlight w:val="none"/>
                <w:lang w:val="en-US" w:eastAsia="zh-CN"/>
              </w:rPr>
              <w:t>烘干</w:t>
            </w:r>
            <w:r>
              <w:rPr>
                <w:rFonts w:hint="default" w:ascii="Times New Roman" w:hAnsi="Times New Roman" w:cs="Times New Roman"/>
                <w:color w:val="auto"/>
                <w:sz w:val="24"/>
                <w:highlight w:val="none"/>
              </w:rPr>
              <w:t>通道设置的直连排风管一并引至15m高排气筒</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DA00</w:t>
            </w:r>
            <w:r>
              <w:rPr>
                <w:rFonts w:hint="eastAsia" w:cs="Times New Roman"/>
                <w:color w:val="auto"/>
                <w:sz w:val="24"/>
                <w:highlight w:val="none"/>
                <w:lang w:val="en-US" w:eastAsia="zh-CN"/>
              </w:rPr>
              <w:t>3</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高空排放。</w:t>
            </w:r>
          </w:p>
          <w:p w14:paraId="66BEC51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根据建设项目提供环保工程资料，</w:t>
            </w:r>
            <w:r>
              <w:rPr>
                <w:rFonts w:hint="eastAsia" w:cs="Times New Roman"/>
                <w:color w:val="auto"/>
                <w:sz w:val="24"/>
                <w:highlight w:val="none"/>
                <w:lang w:val="en-US" w:eastAsia="zh-CN"/>
              </w:rPr>
              <w:t>固化</w:t>
            </w:r>
            <w:r>
              <w:rPr>
                <w:rFonts w:hint="default" w:ascii="Times New Roman" w:hAnsi="Times New Roman" w:cs="Times New Roman"/>
                <w:color w:val="auto"/>
                <w:sz w:val="24"/>
                <w:highlight w:val="none"/>
                <w:lang w:val="en-US" w:eastAsia="zh-CN"/>
              </w:rPr>
              <w:t>通道</w:t>
            </w:r>
            <w:r>
              <w:rPr>
                <w:rFonts w:hint="default" w:ascii="Times New Roman" w:hAnsi="Times New Roman" w:cs="Times New Roman"/>
                <w:color w:val="auto"/>
                <w:sz w:val="24"/>
                <w:highlight w:val="none"/>
              </w:rPr>
              <w:t>集气罩尺寸配置及风量计算如下表所示。</w:t>
            </w:r>
          </w:p>
          <w:p w14:paraId="38943203">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auto"/>
                <w:sz w:val="21"/>
                <w:szCs w:val="21"/>
                <w:highlight w:val="none"/>
                <w:lang w:bidi="ar"/>
              </w:rPr>
            </w:pPr>
            <w:r>
              <w:rPr>
                <w:rFonts w:hint="default" w:ascii="Times New Roman" w:hAnsi="Times New Roman" w:eastAsia="宋体" w:cs="Times New Roman"/>
                <w:b/>
                <w:bCs/>
                <w:color w:val="auto"/>
                <w:kern w:val="2"/>
                <w:sz w:val="21"/>
                <w:szCs w:val="21"/>
                <w:lang w:val="en-US" w:eastAsia="zh-CN" w:bidi="ar"/>
              </w:rPr>
              <w:t>表4-1</w:t>
            </w:r>
            <w:r>
              <w:rPr>
                <w:rFonts w:hint="eastAsia" w:cs="Times New Roman"/>
                <w:b/>
                <w:bCs/>
                <w:color w:val="auto"/>
                <w:kern w:val="2"/>
                <w:sz w:val="21"/>
                <w:szCs w:val="21"/>
                <w:lang w:val="en-US" w:eastAsia="zh-CN" w:bidi="ar"/>
              </w:rPr>
              <w:t>1</w:t>
            </w:r>
            <w:r>
              <w:rPr>
                <w:rFonts w:hint="default" w:ascii="Times New Roman" w:hAnsi="Times New Roman" w:eastAsia="宋体" w:cs="Times New Roman"/>
                <w:b/>
                <w:bCs/>
                <w:color w:val="auto"/>
                <w:sz w:val="21"/>
                <w:szCs w:val="21"/>
                <w:highlight w:val="none"/>
                <w:lang w:val="en-US" w:eastAsia="zh-CN" w:bidi="ar"/>
              </w:rPr>
              <w:t>天然气燃烧</w:t>
            </w:r>
            <w:r>
              <w:rPr>
                <w:rFonts w:hint="default" w:ascii="Times New Roman" w:hAnsi="Times New Roman" w:eastAsia="宋体" w:cs="Times New Roman"/>
                <w:b/>
                <w:bCs/>
                <w:color w:val="auto"/>
                <w:sz w:val="21"/>
                <w:szCs w:val="21"/>
                <w:highlight w:val="none"/>
                <w:lang w:bidi="ar"/>
              </w:rPr>
              <w:t>废气集气罩风量一览表</w:t>
            </w:r>
          </w:p>
          <w:tbl>
            <w:tblPr>
              <w:tblStyle w:val="48"/>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15"/>
              <w:gridCol w:w="695"/>
              <w:gridCol w:w="659"/>
              <w:gridCol w:w="703"/>
              <w:gridCol w:w="670"/>
              <w:gridCol w:w="908"/>
              <w:gridCol w:w="878"/>
              <w:gridCol w:w="878"/>
              <w:gridCol w:w="675"/>
              <w:gridCol w:w="1128"/>
            </w:tblGrid>
            <w:tr w14:paraId="4808F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23" w:type="pct"/>
                  <w:vMerge w:val="restart"/>
                  <w:tcBorders>
                    <w:top w:val="single" w:color="000000" w:sz="4" w:space="0"/>
                    <w:left w:val="single" w:color="000000" w:sz="4" w:space="0"/>
                    <w:bottom w:val="single" w:color="000000" w:sz="4" w:space="0"/>
                    <w:right w:val="single" w:color="000000" w:sz="4" w:space="0"/>
                  </w:tcBorders>
                  <w:noWrap w:val="0"/>
                  <w:vAlign w:val="center"/>
                </w:tcPr>
                <w:p w14:paraId="41AC15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产污类别</w:t>
                  </w:r>
                </w:p>
              </w:tc>
              <w:tc>
                <w:tcPr>
                  <w:tcW w:w="413" w:type="pct"/>
                  <w:vMerge w:val="restart"/>
                  <w:tcBorders>
                    <w:top w:val="single" w:color="000000" w:sz="4" w:space="0"/>
                    <w:left w:val="single" w:color="000000" w:sz="4" w:space="0"/>
                    <w:bottom w:val="single" w:color="000000" w:sz="4" w:space="0"/>
                    <w:right w:val="single" w:color="000000" w:sz="4" w:space="0"/>
                  </w:tcBorders>
                  <w:noWrap w:val="0"/>
                  <w:vAlign w:val="center"/>
                </w:tcPr>
                <w:p w14:paraId="088E84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产污设备</w:t>
                  </w:r>
                </w:p>
              </w:tc>
              <w:tc>
                <w:tcPr>
                  <w:tcW w:w="392" w:type="pct"/>
                  <w:vMerge w:val="restart"/>
                  <w:tcBorders>
                    <w:top w:val="single" w:color="000000" w:sz="4" w:space="0"/>
                    <w:left w:val="single" w:color="000000" w:sz="4" w:space="0"/>
                    <w:bottom w:val="single" w:color="000000" w:sz="4" w:space="0"/>
                    <w:right w:val="single" w:color="000000" w:sz="4" w:space="0"/>
                  </w:tcBorders>
                  <w:noWrap w:val="0"/>
                  <w:vAlign w:val="center"/>
                </w:tcPr>
                <w:p w14:paraId="4568F0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设备数量</w:t>
                  </w:r>
                </w:p>
              </w:tc>
              <w:tc>
                <w:tcPr>
                  <w:tcW w:w="1878" w:type="pct"/>
                  <w:gridSpan w:val="4"/>
                  <w:tcBorders>
                    <w:top w:val="single" w:color="000000" w:sz="4" w:space="0"/>
                    <w:left w:val="single" w:color="000000" w:sz="4" w:space="0"/>
                    <w:bottom w:val="single" w:color="000000" w:sz="4" w:space="0"/>
                    <w:right w:val="single" w:color="000000" w:sz="4" w:space="0"/>
                  </w:tcBorders>
                  <w:noWrap w:val="0"/>
                  <w:vAlign w:val="center"/>
                </w:tcPr>
                <w:p w14:paraId="3D647B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集气罩参数</w:t>
                  </w:r>
                </w:p>
              </w:tc>
              <w:tc>
                <w:tcPr>
                  <w:tcW w:w="522" w:type="pct"/>
                  <w:vMerge w:val="restart"/>
                  <w:tcBorders>
                    <w:top w:val="single" w:color="000000" w:sz="4" w:space="0"/>
                    <w:left w:val="single" w:color="000000" w:sz="4" w:space="0"/>
                    <w:bottom w:val="single" w:color="000000" w:sz="4" w:space="0"/>
                    <w:right w:val="single" w:color="000000" w:sz="4" w:space="0"/>
                  </w:tcBorders>
                  <w:noWrap w:val="0"/>
                  <w:vAlign w:val="center"/>
                </w:tcPr>
                <w:p w14:paraId="606F07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单个集气罩风量m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/h</w:t>
                  </w:r>
                </w:p>
              </w:tc>
              <w:tc>
                <w:tcPr>
                  <w:tcW w:w="401" w:type="pct"/>
                  <w:vMerge w:val="restart"/>
                  <w:tcBorders>
                    <w:top w:val="single" w:color="000000" w:sz="4" w:space="0"/>
                    <w:left w:val="single" w:color="000000" w:sz="4" w:space="0"/>
                    <w:bottom w:val="single" w:color="000000" w:sz="4" w:space="0"/>
                    <w:right w:val="single" w:color="000000" w:sz="4" w:space="0"/>
                  </w:tcBorders>
                  <w:noWrap w:val="0"/>
                  <w:vAlign w:val="center"/>
                </w:tcPr>
                <w:p w14:paraId="7D0548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总集气罩数量</w:t>
                  </w:r>
                </w:p>
              </w:tc>
              <w:tc>
                <w:tcPr>
                  <w:tcW w:w="668" w:type="pct"/>
                  <w:vMerge w:val="restart"/>
                  <w:tcBorders>
                    <w:top w:val="single" w:color="000000" w:sz="4" w:space="0"/>
                    <w:left w:val="single" w:color="000000" w:sz="4" w:space="0"/>
                    <w:bottom w:val="single" w:color="000000" w:sz="4" w:space="0"/>
                    <w:right w:val="single" w:color="000000" w:sz="4" w:space="0"/>
                  </w:tcBorders>
                  <w:noWrap w:val="0"/>
                  <w:vAlign w:val="center"/>
                </w:tcPr>
                <w:p w14:paraId="56E165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集气罩计算总风量m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/h</w:t>
                  </w:r>
                </w:p>
              </w:tc>
            </w:tr>
            <w:tr w14:paraId="2019A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BBB6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41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7E23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39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98E8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418" w:type="pct"/>
                  <w:tcBorders>
                    <w:top w:val="single" w:color="000000" w:sz="4" w:space="0"/>
                    <w:left w:val="single" w:color="000000" w:sz="4" w:space="0"/>
                    <w:bottom w:val="single" w:color="000000" w:sz="4" w:space="0"/>
                    <w:right w:val="single" w:color="000000" w:sz="4" w:space="0"/>
                  </w:tcBorders>
                  <w:noWrap w:val="0"/>
                  <w:vAlign w:val="center"/>
                </w:tcPr>
                <w:p w14:paraId="7EB3A0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长度m</w:t>
                  </w:r>
                </w:p>
              </w:tc>
              <w:tc>
                <w:tcPr>
                  <w:tcW w:w="398" w:type="pct"/>
                  <w:tcBorders>
                    <w:top w:val="single" w:color="000000" w:sz="4" w:space="0"/>
                    <w:left w:val="single" w:color="000000" w:sz="4" w:space="0"/>
                    <w:bottom w:val="single" w:color="000000" w:sz="4" w:space="0"/>
                    <w:right w:val="single" w:color="000000" w:sz="4" w:space="0"/>
                  </w:tcBorders>
                  <w:noWrap w:val="0"/>
                  <w:vAlign w:val="center"/>
                </w:tcPr>
                <w:p w14:paraId="3CFA99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宽度m</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596415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至罩口距离m</w:t>
                  </w:r>
                </w:p>
              </w:tc>
              <w:tc>
                <w:tcPr>
                  <w:tcW w:w="520" w:type="pct"/>
                  <w:tcBorders>
                    <w:top w:val="single" w:color="000000" w:sz="4" w:space="0"/>
                    <w:left w:val="single" w:color="000000" w:sz="4" w:space="0"/>
                    <w:bottom w:val="single" w:color="000000" w:sz="4" w:space="0"/>
                    <w:right w:val="single" w:color="000000" w:sz="4" w:space="0"/>
                  </w:tcBorders>
                  <w:noWrap w:val="0"/>
                  <w:vAlign w:val="center"/>
                </w:tcPr>
                <w:p w14:paraId="3458C7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控制风速m/s</w:t>
                  </w:r>
                </w:p>
              </w:tc>
              <w:tc>
                <w:tcPr>
                  <w:tcW w:w="52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1B13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40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9861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c>
                <w:tcPr>
                  <w:tcW w:w="66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54E5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bCs/>
                      <w:i w:val="0"/>
                      <w:iCs w:val="0"/>
                      <w:color w:val="auto"/>
                      <w:sz w:val="21"/>
                      <w:szCs w:val="21"/>
                      <w:highlight w:val="none"/>
                      <w:u w:val="none"/>
                    </w:rPr>
                  </w:pPr>
                </w:p>
              </w:tc>
            </w:tr>
            <w:tr w14:paraId="4F6EC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jc w:val="center"/>
              </w:trPr>
              <w:tc>
                <w:tcPr>
                  <w:tcW w:w="723" w:type="pct"/>
                  <w:tcBorders>
                    <w:top w:val="single" w:color="000000" w:sz="4" w:space="0"/>
                    <w:left w:val="single" w:color="000000" w:sz="4" w:space="0"/>
                    <w:bottom w:val="single" w:color="000000" w:sz="4" w:space="0"/>
                    <w:right w:val="single" w:color="000000" w:sz="4" w:space="0"/>
                  </w:tcBorders>
                  <w:noWrap w:val="0"/>
                  <w:vAlign w:val="center"/>
                </w:tcPr>
                <w:p w14:paraId="5036D9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天然气燃烧废气（DA00</w:t>
                  </w:r>
                  <w:r>
                    <w:rPr>
                      <w:rFonts w:hint="eastAsia" w:cs="Times New Roman"/>
                      <w:i w:val="0"/>
                      <w:iCs w:val="0"/>
                      <w:color w:val="auto"/>
                      <w:kern w:val="0"/>
                      <w:sz w:val="21"/>
                      <w:szCs w:val="21"/>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89AF1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烘水通道</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95011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702" w:type="dxa"/>
                  <w:tcBorders>
                    <w:top w:val="single" w:color="000000" w:sz="4" w:space="0"/>
                    <w:left w:val="single" w:color="000000" w:sz="4" w:space="0"/>
                    <w:bottom w:val="single" w:color="000000" w:sz="4" w:space="0"/>
                    <w:right w:val="single" w:color="000000" w:sz="4" w:space="0"/>
                  </w:tcBorders>
                  <w:noWrap/>
                  <w:vAlign w:val="center"/>
                </w:tcPr>
                <w:p w14:paraId="5A2EA6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1.1</w:t>
                  </w:r>
                </w:p>
              </w:tc>
              <w:tc>
                <w:tcPr>
                  <w:tcW w:w="669" w:type="dxa"/>
                  <w:tcBorders>
                    <w:top w:val="single" w:color="000000" w:sz="4" w:space="0"/>
                    <w:left w:val="single" w:color="000000" w:sz="4" w:space="0"/>
                    <w:bottom w:val="single" w:color="000000" w:sz="4" w:space="0"/>
                    <w:right w:val="single" w:color="000000" w:sz="4" w:space="0"/>
                  </w:tcBorders>
                  <w:noWrap/>
                  <w:vAlign w:val="center"/>
                </w:tcPr>
                <w:p w14:paraId="1907A9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u w:val="none"/>
                      <w:lang w:val="en-US" w:eastAsia="zh-CN" w:bidi="ar"/>
                    </w:rPr>
                    <w:t>0.5</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7CBBA3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0.3</w:t>
                  </w:r>
                </w:p>
              </w:tc>
              <w:tc>
                <w:tcPr>
                  <w:tcW w:w="877" w:type="dxa"/>
                  <w:tcBorders>
                    <w:top w:val="single" w:color="000000" w:sz="4" w:space="0"/>
                    <w:left w:val="single" w:color="000000" w:sz="4" w:space="0"/>
                    <w:bottom w:val="single" w:color="000000" w:sz="4" w:space="0"/>
                    <w:right w:val="single" w:color="000000" w:sz="4" w:space="0"/>
                  </w:tcBorders>
                  <w:noWrap/>
                  <w:vAlign w:val="center"/>
                </w:tcPr>
                <w:p w14:paraId="376059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u w:val="none"/>
                      <w:lang w:val="en-US" w:eastAsia="zh-CN" w:bidi="ar"/>
                    </w:rPr>
                    <w:t>0.5</w:t>
                  </w:r>
                </w:p>
              </w:tc>
              <w:tc>
                <w:tcPr>
                  <w:tcW w:w="877" w:type="dxa"/>
                  <w:tcBorders>
                    <w:top w:val="single" w:color="000000" w:sz="4" w:space="0"/>
                    <w:left w:val="single" w:color="000000" w:sz="4" w:space="0"/>
                    <w:bottom w:val="single" w:color="000000" w:sz="4" w:space="0"/>
                    <w:right w:val="single" w:color="000000" w:sz="4" w:space="0"/>
                  </w:tcBorders>
                  <w:noWrap/>
                  <w:vAlign w:val="center"/>
                </w:tcPr>
                <w:p w14:paraId="45C56C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2419.2</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71F7A8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w:t>
                  </w:r>
                </w:p>
              </w:tc>
              <w:tc>
                <w:tcPr>
                  <w:tcW w:w="668" w:type="pct"/>
                  <w:tcBorders>
                    <w:top w:val="single" w:color="000000" w:sz="4" w:space="0"/>
                    <w:left w:val="single" w:color="000000" w:sz="4" w:space="0"/>
                    <w:bottom w:val="single" w:color="000000" w:sz="4" w:space="0"/>
                    <w:right w:val="single" w:color="000000" w:sz="4" w:space="0"/>
                  </w:tcBorders>
                  <w:noWrap/>
                  <w:vAlign w:val="center"/>
                </w:tcPr>
                <w:p w14:paraId="0249E4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eastAsia="宋体" w:cs="Times New Roman"/>
                      <w:i w:val="0"/>
                      <w:iCs w:val="0"/>
                      <w:color w:val="auto"/>
                      <w:sz w:val="21"/>
                      <w:szCs w:val="21"/>
                      <w:highlight w:val="none"/>
                      <w:u w:val="none"/>
                      <w:lang w:val="en-US" w:eastAsia="zh-CN"/>
                    </w:rPr>
                    <w:t>9676.8</w:t>
                  </w:r>
                </w:p>
              </w:tc>
            </w:tr>
            <w:tr w14:paraId="274AC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723" w:type="pct"/>
                  <w:tcBorders>
                    <w:top w:val="single" w:color="000000" w:sz="4" w:space="0"/>
                    <w:left w:val="single" w:color="000000" w:sz="4" w:space="0"/>
                    <w:bottom w:val="single" w:color="000000" w:sz="4" w:space="0"/>
                    <w:right w:val="single" w:color="000000" w:sz="4" w:space="0"/>
                  </w:tcBorders>
                  <w:noWrap w:val="0"/>
                  <w:vAlign w:val="center"/>
                </w:tcPr>
                <w:p w14:paraId="079872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天然气燃烧废气（DA00</w:t>
                  </w:r>
                  <w:r>
                    <w:rPr>
                      <w:rFonts w:hint="eastAsia"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413" w:type="pct"/>
                  <w:tcBorders>
                    <w:top w:val="single" w:color="000000" w:sz="4" w:space="0"/>
                    <w:left w:val="single" w:color="000000" w:sz="4" w:space="0"/>
                    <w:bottom w:val="single" w:color="000000" w:sz="4" w:space="0"/>
                    <w:right w:val="single" w:color="000000" w:sz="4" w:space="0"/>
                  </w:tcBorders>
                  <w:noWrap/>
                  <w:vAlign w:val="center"/>
                </w:tcPr>
                <w:p w14:paraId="19A030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固化炉</w:t>
                  </w:r>
                </w:p>
              </w:tc>
              <w:tc>
                <w:tcPr>
                  <w:tcW w:w="658" w:type="dxa"/>
                  <w:tcBorders>
                    <w:top w:val="single" w:color="000000" w:sz="4" w:space="0"/>
                    <w:left w:val="single" w:color="000000" w:sz="4" w:space="0"/>
                    <w:bottom w:val="single" w:color="000000" w:sz="4" w:space="0"/>
                    <w:right w:val="single" w:color="000000" w:sz="4" w:space="0"/>
                  </w:tcBorders>
                  <w:noWrap/>
                  <w:vAlign w:val="center"/>
                </w:tcPr>
                <w:p w14:paraId="4011913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w:t>
                  </w:r>
                </w:p>
              </w:tc>
              <w:tc>
                <w:tcPr>
                  <w:tcW w:w="702" w:type="dxa"/>
                  <w:tcBorders>
                    <w:top w:val="single" w:color="000000" w:sz="4" w:space="0"/>
                    <w:left w:val="single" w:color="000000" w:sz="4" w:space="0"/>
                    <w:bottom w:val="single" w:color="000000" w:sz="4" w:space="0"/>
                    <w:right w:val="single" w:color="000000" w:sz="4" w:space="0"/>
                  </w:tcBorders>
                  <w:noWrap/>
                  <w:vAlign w:val="center"/>
                </w:tcPr>
                <w:p w14:paraId="79AA133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669" w:type="dxa"/>
                  <w:tcBorders>
                    <w:top w:val="single" w:color="000000" w:sz="4" w:space="0"/>
                    <w:left w:val="single" w:color="000000" w:sz="4" w:space="0"/>
                    <w:bottom w:val="single" w:color="000000" w:sz="4" w:space="0"/>
                    <w:right w:val="single" w:color="000000" w:sz="4" w:space="0"/>
                  </w:tcBorders>
                  <w:noWrap/>
                  <w:vAlign w:val="center"/>
                </w:tcPr>
                <w:p w14:paraId="739CD54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w:t>
                  </w:r>
                </w:p>
              </w:tc>
              <w:tc>
                <w:tcPr>
                  <w:tcW w:w="907" w:type="dxa"/>
                  <w:tcBorders>
                    <w:top w:val="single" w:color="000000" w:sz="4" w:space="0"/>
                    <w:left w:val="single" w:color="000000" w:sz="4" w:space="0"/>
                    <w:bottom w:val="single" w:color="000000" w:sz="4" w:space="0"/>
                    <w:right w:val="single" w:color="000000" w:sz="4" w:space="0"/>
                  </w:tcBorders>
                  <w:noWrap/>
                  <w:vAlign w:val="center"/>
                </w:tcPr>
                <w:p w14:paraId="0C51E38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0.3</w:t>
                  </w:r>
                </w:p>
              </w:tc>
              <w:tc>
                <w:tcPr>
                  <w:tcW w:w="877" w:type="dxa"/>
                  <w:tcBorders>
                    <w:top w:val="single" w:color="000000" w:sz="4" w:space="0"/>
                    <w:left w:val="single" w:color="000000" w:sz="4" w:space="0"/>
                    <w:bottom w:val="single" w:color="000000" w:sz="4" w:space="0"/>
                    <w:right w:val="single" w:color="000000" w:sz="4" w:space="0"/>
                  </w:tcBorders>
                  <w:noWrap/>
                  <w:vAlign w:val="center"/>
                </w:tcPr>
                <w:p w14:paraId="0A6C701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0.5</w:t>
                  </w:r>
                </w:p>
              </w:tc>
              <w:tc>
                <w:tcPr>
                  <w:tcW w:w="877" w:type="dxa"/>
                  <w:tcBorders>
                    <w:top w:val="single" w:color="000000" w:sz="4" w:space="0"/>
                    <w:left w:val="single" w:color="000000" w:sz="4" w:space="0"/>
                    <w:bottom w:val="single" w:color="000000" w:sz="4" w:space="0"/>
                    <w:right w:val="single" w:color="000000" w:sz="4" w:space="0"/>
                  </w:tcBorders>
                  <w:noWrap/>
                  <w:vAlign w:val="center"/>
                </w:tcPr>
                <w:p w14:paraId="2A59A48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4536</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4DDC82B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A25D92B">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36288</w:t>
                  </w:r>
                </w:p>
              </w:tc>
            </w:tr>
            <w:tr w14:paraId="20BE2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5000" w:type="pct"/>
                  <w:gridSpan w:val="10"/>
                  <w:tcBorders>
                    <w:top w:val="single" w:color="000000" w:sz="4" w:space="0"/>
                    <w:left w:val="single" w:color="000000" w:sz="4" w:space="0"/>
                    <w:bottom w:val="single" w:color="000000" w:sz="4" w:space="0"/>
                    <w:right w:val="single" w:color="000000" w:sz="4" w:space="0"/>
                  </w:tcBorders>
                  <w:noWrap w:val="0"/>
                  <w:vAlign w:val="center"/>
                </w:tcPr>
                <w:p w14:paraId="482D3E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注：在烘干通道两端各设置1只集气罩。</w:t>
                  </w:r>
                </w:p>
                <w:p w14:paraId="695858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Style w:val="159"/>
                      <w:rFonts w:hint="default" w:ascii="Times New Roman" w:hAnsi="Times New Roman" w:cs="Times New Roman"/>
                      <w:color w:val="auto"/>
                      <w:sz w:val="21"/>
                      <w:szCs w:val="21"/>
                      <w:highlight w:val="none"/>
                    </w:rPr>
                  </w:pPr>
                  <w:r>
                    <w:rPr>
                      <w:rStyle w:val="159"/>
                      <w:rFonts w:hint="default" w:ascii="Times New Roman" w:hAnsi="Times New Roman" w:cs="Times New Roman"/>
                      <w:color w:val="auto"/>
                      <w:sz w:val="21"/>
                      <w:szCs w:val="21"/>
                      <w:highlight w:val="none"/>
                    </w:rPr>
                    <w:t>依据《简明通风设计手册》[主编：孙一坚（湖南大学），中国建筑工业出版社出版]，上吸式集气罩的排风量计算公式为：</w:t>
                  </w:r>
                </w:p>
                <w:p w14:paraId="1A030C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630" w:firstLineChars="300"/>
                    <w:jc w:val="center"/>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b w:val="0"/>
                      <w:bCs w:val="0"/>
                      <w:color w:val="auto"/>
                      <w:sz w:val="21"/>
                      <w:szCs w:val="21"/>
                      <w:lang w:val="en-US" w:eastAsia="zh-CN"/>
                    </w:rPr>
                    <w:t>Q=</w:t>
                  </w:r>
                  <w:r>
                    <w:rPr>
                      <w:rFonts w:hint="default" w:ascii="Times New Roman" w:hAnsi="Times New Roman" w:cs="Times New Roman"/>
                      <w:color w:val="auto"/>
                      <w:sz w:val="21"/>
                      <w:szCs w:val="21"/>
                      <w:highlight w:val="none"/>
                    </w:rPr>
                    <w:t>K×P×H×</w:t>
                  </w:r>
                  <w:r>
                    <w:rPr>
                      <w:rFonts w:hint="default" w:ascii="Times New Roman" w:hAnsi="Times New Roman" w:eastAsia="宋体" w:cs="Times New Roman"/>
                      <w:b w:val="0"/>
                      <w:bCs w:val="0"/>
                      <w:color w:val="auto"/>
                      <w:sz w:val="21"/>
                      <w:szCs w:val="21"/>
                      <w:lang w:val="en-US" w:eastAsia="zh-CN"/>
                    </w:rPr>
                    <w:t>υ</w:t>
                  </w:r>
                  <w:r>
                    <w:rPr>
                      <w:rStyle w:val="53"/>
                      <w:rFonts w:hint="default" w:ascii="Times New Roman" w:hAnsi="Times New Roman" w:eastAsia="宋体" w:cs="Times New Roman"/>
                      <w:i w:val="0"/>
                      <w:iCs w:val="0"/>
                      <w:caps w:val="0"/>
                      <w:color w:val="auto"/>
                      <w:spacing w:val="0"/>
                      <w:sz w:val="21"/>
                      <w:szCs w:val="21"/>
                      <w:shd w:val="clear" w:color="auto" w:fill="FFFFFF"/>
                      <w:vertAlign w:val="subscript"/>
                    </w:rPr>
                    <w:t>x</w:t>
                  </w:r>
                  <w:r>
                    <w:rPr>
                      <w:rFonts w:hint="default" w:ascii="Times New Roman" w:hAnsi="Times New Roman" w:eastAsia="宋体" w:cs="Times New Roman"/>
                      <w:b w:val="0"/>
                      <w:bCs w:val="0"/>
                      <w:color w:val="auto"/>
                      <w:sz w:val="21"/>
                      <w:szCs w:val="21"/>
                      <w:lang w:val="en-US" w:eastAsia="zh-CN"/>
                    </w:rPr>
                    <w:t>×3600</w:t>
                  </w:r>
                </w:p>
                <w:p w14:paraId="317367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Style w:val="159"/>
                      <w:rFonts w:hint="default" w:ascii="Times New Roman" w:hAnsi="Times New Roman" w:cs="Times New Roman"/>
                      <w:color w:val="auto"/>
                      <w:sz w:val="21"/>
                      <w:szCs w:val="21"/>
                      <w:highlight w:val="none"/>
                    </w:rPr>
                  </w:pPr>
                  <w:r>
                    <w:rPr>
                      <w:rStyle w:val="159"/>
                      <w:rFonts w:hint="default" w:ascii="Times New Roman" w:hAnsi="Times New Roman" w:cs="Times New Roman"/>
                      <w:color w:val="auto"/>
                      <w:sz w:val="21"/>
                      <w:szCs w:val="21"/>
                      <w:highlight w:val="none"/>
                    </w:rPr>
                    <w:t>式中：</w:t>
                  </w:r>
                </w:p>
                <w:p w14:paraId="047341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Style w:val="159"/>
                      <w:rFonts w:hint="default" w:ascii="Times New Roman" w:hAnsi="Times New Roman" w:cs="Times New Roman"/>
                      <w:color w:val="auto"/>
                      <w:sz w:val="21"/>
                      <w:szCs w:val="21"/>
                      <w:highlight w:val="none"/>
                    </w:rPr>
                  </w:pPr>
                  <w:r>
                    <w:rPr>
                      <w:rStyle w:val="162"/>
                      <w:rFonts w:hint="default" w:ascii="Times New Roman" w:hAnsi="Times New Roman" w:cs="Times New Roman"/>
                      <w:color w:val="auto"/>
                      <w:sz w:val="21"/>
                      <w:szCs w:val="21"/>
                      <w:highlight w:val="none"/>
                    </w:rPr>
                    <w:t>Q</w:t>
                  </w:r>
                  <w:r>
                    <w:rPr>
                      <w:rStyle w:val="159"/>
                      <w:rFonts w:hint="default" w:ascii="Times New Roman" w:hAnsi="Times New Roman" w:cs="Times New Roman"/>
                      <w:color w:val="auto"/>
                      <w:sz w:val="21"/>
                      <w:szCs w:val="21"/>
                      <w:highlight w:val="none"/>
                    </w:rPr>
                    <w:t>：集气罩排风量，</w:t>
                  </w:r>
                  <w:r>
                    <w:rPr>
                      <w:rStyle w:val="162"/>
                      <w:rFonts w:hint="default" w:ascii="Times New Roman" w:hAnsi="Times New Roman" w:cs="Times New Roman"/>
                      <w:color w:val="auto"/>
                      <w:sz w:val="21"/>
                      <w:szCs w:val="21"/>
                      <w:highlight w:val="none"/>
                    </w:rPr>
                    <w:t>m</w:t>
                  </w:r>
                  <w:r>
                    <w:rPr>
                      <w:rStyle w:val="162"/>
                      <w:rFonts w:hint="default" w:ascii="Times New Roman" w:hAnsi="Times New Roman" w:cs="Times New Roman"/>
                      <w:color w:val="auto"/>
                      <w:sz w:val="21"/>
                      <w:szCs w:val="21"/>
                      <w:highlight w:val="none"/>
                      <w:vertAlign w:val="superscript"/>
                    </w:rPr>
                    <w:t>3</w:t>
                  </w:r>
                  <w:r>
                    <w:rPr>
                      <w:rStyle w:val="162"/>
                      <w:rFonts w:hint="default" w:ascii="Times New Roman" w:hAnsi="Times New Roman" w:cs="Times New Roman"/>
                      <w:color w:val="auto"/>
                      <w:sz w:val="21"/>
                      <w:szCs w:val="21"/>
                      <w:highlight w:val="none"/>
                    </w:rPr>
                    <w:t>/h</w:t>
                  </w:r>
                  <w:r>
                    <w:rPr>
                      <w:rStyle w:val="159"/>
                      <w:rFonts w:hint="default" w:ascii="Times New Roman" w:hAnsi="Times New Roman" w:cs="Times New Roman"/>
                      <w:color w:val="auto"/>
                      <w:sz w:val="21"/>
                      <w:szCs w:val="21"/>
                      <w:highlight w:val="none"/>
                    </w:rPr>
                    <w:t>；</w:t>
                  </w:r>
                </w:p>
                <w:p w14:paraId="1B1565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K：考虑沿高度分布不均匀的安全系数，通常取1.4；</w:t>
                  </w:r>
                </w:p>
                <w:p w14:paraId="0C94AF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P：集气罩的周长，m；P=2（a+b），a和b分别为集气罩罩口的长宽尺寸，应确保集气罩罩口的长宽大于废气发生源的长宽，a和b可按照废气发生源长宽的110%～120%进行设计。</w:t>
                  </w:r>
                </w:p>
                <w:p w14:paraId="275F8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Fonts w:hint="default" w:ascii="Times New Roman" w:hAnsi="Times New Roman" w:cs="Times New Roman"/>
                      <w:color w:val="auto"/>
                      <w:sz w:val="21"/>
                      <w:szCs w:val="21"/>
                      <w:highlight w:val="none"/>
                    </w:rPr>
                  </w:pPr>
                  <w:r>
                    <w:rPr>
                      <w:rFonts w:hint="default" w:ascii="Times New Roman" w:hAnsi="Times New Roman" w:eastAsia="宋体" w:cs="Times New Roman"/>
                      <w:b w:val="0"/>
                      <w:bCs w:val="0"/>
                      <w:color w:val="auto"/>
                      <w:sz w:val="21"/>
                      <w:szCs w:val="21"/>
                      <w:lang w:val="en-US" w:eastAsia="zh-CN"/>
                    </w:rPr>
                    <w:t>H：控制点（废气发生源）至罩口的距离，m；</w:t>
                  </w:r>
                  <w:r>
                    <w:rPr>
                      <w:rFonts w:hint="default" w:ascii="Times New Roman" w:hAnsi="Times New Roman" w:eastAsia="宋体" w:cs="Times New Roman"/>
                      <w:color w:val="auto"/>
                      <w:sz w:val="21"/>
                      <w:szCs w:val="21"/>
                      <w:highlight w:val="none"/>
                    </w:rPr>
                    <w:t>为确保集气罩对废气有较高的收集效率，H应尽可能小于集气罩长边0.3倍，</w:t>
                  </w:r>
                  <w:r>
                    <w:rPr>
                      <w:rFonts w:hint="default" w:ascii="Times New Roman" w:hAnsi="Times New Roman" w:eastAsia="宋体" w:cs="Times New Roman"/>
                      <w:color w:val="auto"/>
                      <w:sz w:val="21"/>
                      <w:szCs w:val="21"/>
                      <w:highlight w:val="none"/>
                      <w:lang w:eastAsia="zh-CN"/>
                    </w:rPr>
                    <w:t>即</w:t>
                  </w:r>
                  <w:r>
                    <w:rPr>
                      <w:rFonts w:hint="default" w:ascii="Times New Roman" w:hAnsi="Times New Roman" w:eastAsia="宋体" w:cs="Times New Roman"/>
                      <w:color w:val="auto"/>
                      <w:sz w:val="21"/>
                      <w:szCs w:val="21"/>
                      <w:highlight w:val="none"/>
                    </w:rPr>
                    <w:t>H≤0.3a。</w:t>
                  </w:r>
                </w:p>
                <w:p w14:paraId="582E56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both"/>
                    <w:textAlignment w:val="auto"/>
                    <w:rPr>
                      <w:rStyle w:val="159"/>
                      <w:rFonts w:hint="default" w:ascii="Times New Roman" w:hAnsi="Times New Roman" w:cs="Times New Roman"/>
                      <w:color w:val="auto"/>
                      <w:sz w:val="21"/>
                      <w:szCs w:val="21"/>
                      <w:highlight w:val="none"/>
                    </w:rPr>
                  </w:pPr>
                  <w:r>
                    <w:rPr>
                      <w:rStyle w:val="162"/>
                      <w:rFonts w:hint="default" w:ascii="Times New Roman" w:hAnsi="Times New Roman" w:cs="Times New Roman"/>
                      <w:color w:val="auto"/>
                      <w:sz w:val="21"/>
                      <w:szCs w:val="21"/>
                      <w:highlight w:val="none"/>
                    </w:rPr>
                    <w:t>V</w:t>
                  </w:r>
                  <w:r>
                    <w:rPr>
                      <w:rStyle w:val="162"/>
                      <w:rFonts w:hint="default" w:ascii="Times New Roman" w:hAnsi="Times New Roman" w:cs="Times New Roman"/>
                      <w:color w:val="auto"/>
                      <w:sz w:val="21"/>
                      <w:szCs w:val="21"/>
                      <w:highlight w:val="none"/>
                      <w:vertAlign w:val="subscript"/>
                    </w:rPr>
                    <w:t>x</w:t>
                  </w:r>
                  <w:r>
                    <w:rPr>
                      <w:rStyle w:val="159"/>
                      <w:rFonts w:hint="default" w:ascii="Times New Roman" w:hAnsi="Times New Roman" w:cs="Times New Roman"/>
                      <w:color w:val="auto"/>
                      <w:sz w:val="21"/>
                      <w:szCs w:val="21"/>
                      <w:highlight w:val="none"/>
                    </w:rPr>
                    <w:t>：控制风速，m/s；本项目取0.</w:t>
                  </w:r>
                  <w:r>
                    <w:rPr>
                      <w:rStyle w:val="159"/>
                      <w:rFonts w:hint="default" w:ascii="Times New Roman" w:hAnsi="Times New Roman" w:cs="Times New Roman"/>
                      <w:color w:val="auto"/>
                      <w:sz w:val="21"/>
                      <w:szCs w:val="21"/>
                      <w:highlight w:val="none"/>
                      <w:lang w:val="en-US" w:eastAsia="zh-CN"/>
                    </w:rPr>
                    <w:t>5</w:t>
                  </w:r>
                  <w:r>
                    <w:rPr>
                      <w:rStyle w:val="159"/>
                      <w:rFonts w:hint="default" w:ascii="Times New Roman" w:hAnsi="Times New Roman" w:cs="Times New Roman"/>
                      <w:color w:val="auto"/>
                      <w:sz w:val="21"/>
                      <w:szCs w:val="21"/>
                      <w:highlight w:val="none"/>
                    </w:rPr>
                    <w:t>m/s</w:t>
                  </w:r>
                </w:p>
                <w:p w14:paraId="32AF8326">
                  <w:pPr>
                    <w:pStyle w:val="2"/>
                    <w:ind w:firstLine="420" w:firstLineChars="200"/>
                    <w:rPr>
                      <w:rFonts w:hint="default" w:eastAsia="宋体....."/>
                      <w:color w:val="auto"/>
                      <w:lang w:val="en-US" w:eastAsia="zh-CN"/>
                    </w:rPr>
                  </w:pPr>
                  <w:r>
                    <w:rPr>
                      <w:rStyle w:val="159"/>
                      <w:rFonts w:hint="eastAsia" w:ascii="Times New Roman" w:cs="Times New Roman"/>
                      <w:color w:val="auto"/>
                      <w:sz w:val="21"/>
                      <w:szCs w:val="21"/>
                      <w:highlight w:val="none"/>
                      <w:lang w:val="en-US" w:eastAsia="zh-CN"/>
                    </w:rPr>
                    <w:t>每个固化通道设置固化炉2个。</w:t>
                  </w:r>
                </w:p>
              </w:tc>
            </w:tr>
          </w:tbl>
          <w:p w14:paraId="217CB099">
            <w:pPr>
              <w:keepNext w:val="0"/>
              <w:keepLines w:val="0"/>
              <w:widowControl/>
              <w:numPr>
                <w:ilvl w:val="0"/>
                <w:numId w:val="0"/>
              </w:numPr>
              <w:suppressLineNumbers w:val="0"/>
              <w:tabs>
                <w:tab w:val="left" w:pos="0"/>
              </w:tabs>
              <w:spacing w:before="0" w:beforeAutospacing="0" w:after="0" w:afterAutospacing="0" w:line="240" w:lineRule="auto"/>
              <w:ind w:left="40" w:leftChars="0" w:right="0" w:rightChars="0"/>
              <w:jc w:val="both"/>
              <w:rPr>
                <w:rFonts w:hint="default" w:ascii="Times New Roman" w:hAnsi="Times New Roman" w:eastAsia="宋体" w:cs="Times New Roman"/>
                <w:b/>
                <w:bCs/>
                <w:color w:val="auto"/>
                <w:sz w:val="21"/>
                <w:szCs w:val="21"/>
                <w:highlight w:val="none"/>
                <w:lang w:bidi="ar"/>
              </w:rPr>
            </w:pPr>
          </w:p>
          <w:p w14:paraId="3487BF42">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p>
          <w:p w14:paraId="72BD0D4F">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eastAsia="zh-CN"/>
              </w:rPr>
            </w:pPr>
            <w:r>
              <w:rPr>
                <w:rFonts w:hint="eastAsia" w:cs="Times New Roman"/>
                <w:color w:val="auto"/>
                <w:sz w:val="24"/>
                <w:szCs w:val="24"/>
                <w:highlight w:val="none"/>
                <w:lang w:val="en-US" w:eastAsia="zh-CN"/>
              </w:rPr>
              <w:t>固化、烘干</w:t>
            </w:r>
            <w:r>
              <w:rPr>
                <w:rFonts w:hint="default" w:ascii="Times New Roman" w:hAnsi="Times New Roman" w:cs="Times New Roman"/>
                <w:color w:val="auto"/>
                <w:sz w:val="24"/>
                <w:szCs w:val="24"/>
                <w:highlight w:val="none"/>
              </w:rPr>
              <w:t>通道</w:t>
            </w:r>
            <w:r>
              <w:rPr>
                <w:rFonts w:hint="eastAsia" w:cs="Times New Roman"/>
                <w:color w:val="auto"/>
                <w:sz w:val="24"/>
                <w:szCs w:val="24"/>
                <w:highlight w:val="none"/>
                <w:lang w:val="en-US" w:eastAsia="zh-CN"/>
              </w:rPr>
              <w:t>分别</w:t>
            </w:r>
            <w:r>
              <w:rPr>
                <w:rFonts w:hint="default" w:ascii="Times New Roman" w:hAnsi="Times New Roman" w:cs="Times New Roman"/>
                <w:color w:val="auto"/>
                <w:sz w:val="24"/>
                <w:szCs w:val="24"/>
                <w:highlight w:val="none"/>
              </w:rPr>
              <w:t>设置</w:t>
            </w:r>
            <w:r>
              <w:rPr>
                <w:rFonts w:hint="default" w:ascii="Times New Roman" w:hAnsi="Times New Roman" w:cs="Times New Roman"/>
                <w:color w:val="auto"/>
                <w:sz w:val="24"/>
                <w:szCs w:val="24"/>
                <w:highlight w:val="none"/>
                <w:lang w:val="en-US" w:eastAsia="zh-CN"/>
              </w:rPr>
              <w:t>1条</w:t>
            </w:r>
            <w:r>
              <w:rPr>
                <w:rFonts w:hint="default" w:ascii="Times New Roman" w:hAnsi="Times New Roman" w:cs="Times New Roman"/>
                <w:color w:val="auto"/>
                <w:sz w:val="24"/>
                <w:szCs w:val="24"/>
                <w:highlight w:val="none"/>
              </w:rPr>
              <w:t>直连排风管</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eastAsia="zh-CN"/>
              </w:rPr>
              <w:t>参考《环境工程设计手册》中圆形分管的风量计算公式：</w:t>
            </w:r>
          </w:p>
          <w:p w14:paraId="36D28089">
            <w:pPr>
              <w:keepNext w:val="0"/>
              <w:keepLines w:val="0"/>
              <w:suppressLineNumbers w:val="0"/>
              <w:spacing w:before="0" w:beforeAutospacing="0" w:after="0" w:afterAutospacing="0" w:line="240" w:lineRule="auto"/>
              <w:ind w:left="420" w:leftChars="200" w:right="0"/>
              <w:jc w:val="center"/>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position w:val="-24"/>
                <w:sz w:val="24"/>
                <w:szCs w:val="24"/>
                <w:highlight w:val="none"/>
              </w:rPr>
              <w:object>
                <v:shape id="_x0000_i1027" o:spt="75" type="#_x0000_t75" style="height:31pt;width:80pt;" o:ole="t" filled="f" o:preferrelative="t" stroked="f" coordsize="21600,21600">
                  <v:path/>
                  <v:fill on="f" focussize="0,0"/>
                  <v:stroke on="f"/>
                  <v:imagedata r:id="rId25" o:title=""/>
                  <o:lock v:ext="edit" aspectratio="t"/>
                  <w10:wrap type="none"/>
                  <w10:anchorlock/>
                </v:shape>
                <o:OLEObject Type="Embed" ProgID="Equation.KSEE3" ShapeID="_x0000_i1027" DrawAspect="Content" ObjectID="_1468075727" r:id="rId24">
                  <o:LockedField>false</o:LockedField>
                </o:OLEObject>
              </w:object>
            </w:r>
          </w:p>
          <w:p w14:paraId="7A140F50">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式中：</w:t>
            </w:r>
          </w:p>
          <w:p w14:paraId="784D1183">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L---集气罩排风量，m</w:t>
            </w:r>
            <w:r>
              <w:rPr>
                <w:rFonts w:hint="default" w:ascii="Times New Roman" w:hAnsi="Times New Roman" w:cs="Times New Roman"/>
                <w:color w:val="auto"/>
                <w:sz w:val="24"/>
                <w:szCs w:val="24"/>
                <w:highlight w:val="none"/>
                <w:vertAlign w:val="superscript"/>
                <w:lang w:eastAsia="zh-CN"/>
              </w:rPr>
              <w:t>3</w:t>
            </w:r>
            <w:r>
              <w:rPr>
                <w:rFonts w:hint="default" w:ascii="Times New Roman" w:hAnsi="Times New Roman" w:cs="Times New Roman"/>
                <w:color w:val="auto"/>
                <w:sz w:val="24"/>
                <w:szCs w:val="24"/>
                <w:highlight w:val="none"/>
                <w:lang w:eastAsia="zh-CN"/>
              </w:rPr>
              <w:t>/h；</w:t>
            </w:r>
          </w:p>
          <w:p w14:paraId="075257A2">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D---分管直径，m，</w:t>
            </w:r>
            <w:r>
              <w:rPr>
                <w:rFonts w:hint="default" w:ascii="Times New Roman" w:hAnsi="Times New Roman" w:cs="Times New Roman"/>
                <w:color w:val="auto"/>
                <w:sz w:val="24"/>
                <w:szCs w:val="24"/>
                <w:highlight w:val="none"/>
                <w:lang w:val="en-US" w:eastAsia="zh-CN"/>
              </w:rPr>
              <w:t>本项目分管直径取0.15m</w:t>
            </w:r>
            <w:r>
              <w:rPr>
                <w:rFonts w:hint="default" w:ascii="Times New Roman" w:hAnsi="Times New Roman" w:cs="Times New Roman"/>
                <w:color w:val="auto"/>
                <w:sz w:val="24"/>
                <w:szCs w:val="24"/>
                <w:highlight w:val="none"/>
                <w:lang w:eastAsia="zh-CN"/>
              </w:rPr>
              <w:t>；</w:t>
            </w:r>
          </w:p>
          <w:p w14:paraId="62A7F1A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V---断面平均风速，m/s，根据《简明通风设计手册》中表6-10一般通风系统风管内的风速，项目采用钢板及塑料风管，项目干管采用风速为14m/s，本项目断面平均风速取</w:t>
            </w:r>
            <w:r>
              <w:rPr>
                <w:rFonts w:hint="default" w:ascii="Times New Roman" w:hAnsi="Times New Roman" w:cs="Times New Roman"/>
                <w:color w:val="auto"/>
                <w:sz w:val="24"/>
                <w:szCs w:val="24"/>
                <w:highlight w:val="none"/>
                <w:lang w:val="en-US" w:eastAsia="zh-CN"/>
              </w:rPr>
              <w:t>14</w:t>
            </w:r>
            <w:r>
              <w:rPr>
                <w:rFonts w:hint="default" w:ascii="Times New Roman" w:hAnsi="Times New Roman" w:cs="Times New Roman"/>
                <w:color w:val="auto"/>
                <w:sz w:val="24"/>
                <w:szCs w:val="24"/>
                <w:highlight w:val="none"/>
                <w:lang w:eastAsia="zh-CN"/>
              </w:rPr>
              <w:t>m/s。</w:t>
            </w:r>
          </w:p>
          <w:p w14:paraId="116972C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cs="Times New Roman"/>
                <w:b w:val="0"/>
                <w:bCs w:val="0"/>
                <w:color w:val="auto"/>
                <w:sz w:val="24"/>
                <w:szCs w:val="24"/>
                <w:highlight w:val="none"/>
                <w:lang w:val="en-US" w:eastAsia="zh-CN"/>
              </w:rPr>
              <w:t>单条直连排风管风量=3600s×3.14÷4×0.15</w:t>
            </w:r>
            <w:r>
              <w:rPr>
                <w:rFonts w:hint="default" w:ascii="Times New Roman" w:hAnsi="Times New Roman" w:cs="Times New Roman"/>
                <w:b w:val="0"/>
                <w:bCs w:val="0"/>
                <w:color w:val="auto"/>
                <w:sz w:val="24"/>
                <w:szCs w:val="24"/>
                <w:highlight w:val="none"/>
                <w:vertAlign w:val="superscript"/>
                <w:lang w:val="en-US" w:eastAsia="zh-CN"/>
              </w:rPr>
              <w:t>2</w:t>
            </w:r>
            <w:r>
              <w:rPr>
                <w:rFonts w:hint="default" w:ascii="Times New Roman" w:hAnsi="Times New Roman" w:cs="Times New Roman"/>
                <w:b w:val="0"/>
                <w:bCs w:val="0"/>
                <w:color w:val="auto"/>
                <w:sz w:val="24"/>
                <w:szCs w:val="24"/>
                <w:highlight w:val="none"/>
                <w:vertAlign w:val="baseline"/>
                <w:lang w:val="en-US" w:eastAsia="zh-CN"/>
              </w:rPr>
              <w:t>m</w:t>
            </w:r>
            <w:r>
              <w:rPr>
                <w:rFonts w:hint="default" w:ascii="Times New Roman" w:hAnsi="Times New Roman" w:cs="Times New Roman"/>
                <w:b w:val="0"/>
                <w:bCs w:val="0"/>
                <w:color w:val="auto"/>
                <w:sz w:val="24"/>
                <w:szCs w:val="24"/>
                <w:highlight w:val="none"/>
                <w:vertAlign w:val="superscript"/>
                <w:lang w:val="en-US" w:eastAsia="zh-CN"/>
              </w:rPr>
              <w:t>2</w:t>
            </w:r>
            <w:r>
              <w:rPr>
                <w:rFonts w:hint="default" w:ascii="Times New Roman" w:hAnsi="Times New Roman" w:cs="Times New Roman"/>
                <w:b w:val="0"/>
                <w:bCs w:val="0"/>
                <w:color w:val="auto"/>
                <w:sz w:val="24"/>
                <w:szCs w:val="24"/>
                <w:highlight w:val="none"/>
                <w:vertAlign w:val="baseline"/>
                <w:lang w:val="en-US" w:eastAsia="zh-CN"/>
              </w:rPr>
              <w:t>×14m/s=890.2m</w:t>
            </w:r>
            <w:r>
              <w:rPr>
                <w:rFonts w:hint="default" w:ascii="Times New Roman" w:hAnsi="Times New Roman" w:cs="Times New Roman"/>
                <w:b w:val="0"/>
                <w:bCs w:val="0"/>
                <w:color w:val="auto"/>
                <w:sz w:val="24"/>
                <w:szCs w:val="24"/>
                <w:highlight w:val="none"/>
                <w:vertAlign w:val="superscript"/>
                <w:lang w:val="en-US" w:eastAsia="zh-CN"/>
              </w:rPr>
              <w:t>3</w:t>
            </w:r>
            <w:r>
              <w:rPr>
                <w:rFonts w:hint="default" w:ascii="Times New Roman" w:hAnsi="Times New Roman" w:cs="Times New Roman"/>
                <w:b w:val="0"/>
                <w:bCs w:val="0"/>
                <w:color w:val="auto"/>
                <w:sz w:val="24"/>
                <w:szCs w:val="24"/>
                <w:highlight w:val="none"/>
                <w:vertAlign w:val="baseline"/>
                <w:lang w:val="en-US" w:eastAsia="zh-CN"/>
              </w:rPr>
              <w:t>/h</w:t>
            </w:r>
          </w:p>
          <w:p w14:paraId="0E1F0376">
            <w:pPr>
              <w:keepNext w:val="0"/>
              <w:keepLines w:val="0"/>
              <w:suppressLineNumbers w:val="0"/>
              <w:spacing w:before="0" w:beforeAutospacing="0" w:after="0" w:afterAutospacing="0" w:line="360" w:lineRule="auto"/>
              <w:ind w:left="420" w:leftChars="200" w:right="0"/>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本项目天然气燃烧废气收集风量统计如下表所示。</w:t>
            </w:r>
          </w:p>
          <w:p w14:paraId="32DFC56B">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color w:val="auto"/>
              </w:rPr>
            </w:pPr>
            <w:r>
              <w:rPr>
                <w:rFonts w:hint="default" w:ascii="Times New Roman" w:hAnsi="Times New Roman" w:eastAsia="宋体" w:cs="Times New Roman"/>
                <w:b/>
                <w:bCs/>
                <w:color w:val="auto"/>
                <w:kern w:val="2"/>
                <w:sz w:val="21"/>
                <w:szCs w:val="21"/>
                <w:lang w:val="en-US" w:eastAsia="zh-CN" w:bidi="ar"/>
              </w:rPr>
              <w:t>表4-1</w:t>
            </w:r>
            <w:r>
              <w:rPr>
                <w:rFonts w:hint="eastAsia" w:cs="Times New Roman"/>
                <w:b/>
                <w:bCs/>
                <w:color w:val="auto"/>
                <w:kern w:val="2"/>
                <w:sz w:val="21"/>
                <w:szCs w:val="21"/>
                <w:lang w:val="en-US" w:eastAsia="zh-CN" w:bidi="ar"/>
              </w:rPr>
              <w:t>2</w:t>
            </w:r>
            <w:r>
              <w:rPr>
                <w:rFonts w:hint="eastAsia" w:cs="Times New Roman"/>
                <w:b/>
                <w:bCs/>
                <w:color w:val="auto"/>
                <w:sz w:val="21"/>
                <w:szCs w:val="21"/>
                <w:highlight w:val="none"/>
                <w:lang w:val="en-US" w:eastAsia="zh-CN" w:bidi="ar"/>
              </w:rPr>
              <w:t>固化</w:t>
            </w:r>
            <w:r>
              <w:rPr>
                <w:rFonts w:hint="default" w:ascii="Times New Roman" w:hAnsi="Times New Roman" w:eastAsia="宋体" w:cs="Times New Roman"/>
                <w:b/>
                <w:bCs/>
                <w:color w:val="auto"/>
                <w:sz w:val="21"/>
                <w:szCs w:val="21"/>
                <w:highlight w:val="none"/>
                <w:lang w:val="en-US" w:eastAsia="zh-CN" w:bidi="ar"/>
              </w:rPr>
              <w:t>通道天然气燃烧废气合计收集风量一览表</w:t>
            </w:r>
          </w:p>
          <w:p w14:paraId="5FE740EE">
            <w:pPr>
              <w:pStyle w:val="2"/>
              <w:rPr>
                <w:rFonts w:hint="default"/>
                <w:color w:val="auto"/>
                <w:lang w:val="en-US" w:eastAsia="zh-CN"/>
              </w:rPr>
            </w:pPr>
          </w:p>
          <w:tbl>
            <w:tblPr>
              <w:tblStyle w:val="48"/>
              <w:tblW w:w="84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82"/>
              <w:gridCol w:w="2407"/>
              <w:gridCol w:w="1796"/>
              <w:gridCol w:w="2116"/>
            </w:tblGrid>
            <w:tr w14:paraId="3A9C3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tcBorders>
                    <w:top w:val="single" w:color="000000" w:sz="4" w:space="0"/>
                    <w:left w:val="single" w:color="000000" w:sz="4" w:space="0"/>
                    <w:bottom w:val="single" w:color="000000" w:sz="4" w:space="0"/>
                    <w:right w:val="single" w:color="000000" w:sz="4" w:space="0"/>
                  </w:tcBorders>
                  <w:noWrap w:val="0"/>
                  <w:vAlign w:val="center"/>
                </w:tcPr>
                <w:p w14:paraId="026860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产污类别</w:t>
                  </w:r>
                </w:p>
              </w:tc>
              <w:tc>
                <w:tcPr>
                  <w:tcW w:w="2407" w:type="dxa"/>
                  <w:tcBorders>
                    <w:top w:val="single" w:color="000000" w:sz="4" w:space="0"/>
                    <w:left w:val="single" w:color="000000" w:sz="4" w:space="0"/>
                    <w:bottom w:val="single" w:color="000000" w:sz="4" w:space="0"/>
                    <w:right w:val="single" w:color="000000" w:sz="4" w:space="0"/>
                  </w:tcBorders>
                  <w:noWrap w:val="0"/>
                  <w:vAlign w:val="center"/>
                </w:tcPr>
                <w:p w14:paraId="3E1214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产污设备</w:t>
                  </w:r>
                </w:p>
              </w:tc>
              <w:tc>
                <w:tcPr>
                  <w:tcW w:w="1796" w:type="dxa"/>
                  <w:tcBorders>
                    <w:top w:val="single" w:color="000000" w:sz="4" w:space="0"/>
                    <w:left w:val="single" w:color="000000" w:sz="4" w:space="0"/>
                    <w:bottom w:val="single" w:color="000000" w:sz="4" w:space="0"/>
                    <w:right w:val="single" w:color="000000" w:sz="4" w:space="0"/>
                  </w:tcBorders>
                  <w:noWrap w:val="0"/>
                  <w:vAlign w:val="center"/>
                </w:tcPr>
                <w:p w14:paraId="1EFF27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集气方式</w:t>
                  </w:r>
                </w:p>
              </w:tc>
              <w:tc>
                <w:tcPr>
                  <w:tcW w:w="2116" w:type="dxa"/>
                  <w:tcBorders>
                    <w:top w:val="single" w:color="000000" w:sz="4" w:space="0"/>
                    <w:left w:val="single" w:color="000000" w:sz="4" w:space="0"/>
                    <w:bottom w:val="single" w:color="000000" w:sz="4" w:space="0"/>
                    <w:right w:val="single" w:color="000000" w:sz="4" w:space="0"/>
                  </w:tcBorders>
                  <w:noWrap w:val="0"/>
                  <w:vAlign w:val="center"/>
                </w:tcPr>
                <w:p w14:paraId="0D122C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sz w:val="21"/>
                      <w:szCs w:val="21"/>
                      <w:highlight w:val="none"/>
                      <w:u w:val="none"/>
                      <w:lang w:val="en-US"/>
                    </w:rPr>
                  </w:pPr>
                  <w:r>
                    <w:rPr>
                      <w:rFonts w:hint="default" w:ascii="Times New Roman" w:hAnsi="Times New Roman" w:eastAsia="宋体" w:cs="Times New Roman"/>
                      <w:b/>
                      <w:bCs/>
                      <w:i w:val="0"/>
                      <w:iCs w:val="0"/>
                      <w:color w:val="auto"/>
                      <w:kern w:val="0"/>
                      <w:sz w:val="21"/>
                      <w:szCs w:val="21"/>
                      <w:highlight w:val="none"/>
                      <w:u w:val="none"/>
                      <w:lang w:val="en-US" w:eastAsia="zh-CN" w:bidi="ar"/>
                    </w:rPr>
                    <w:t>计算风量（m</w:t>
                  </w:r>
                  <w:r>
                    <w:rPr>
                      <w:rFonts w:hint="default" w:ascii="Times New Roman" w:hAnsi="Times New Roman" w:eastAsia="宋体" w:cs="Times New Roman"/>
                      <w:b/>
                      <w:bCs/>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highlight w:val="none"/>
                      <w:u w:val="none"/>
                      <w:lang w:val="en-US" w:eastAsia="zh-CN" w:bidi="ar"/>
                    </w:rPr>
                    <w:t>/h）</w:t>
                  </w:r>
                  <w:r>
                    <w:rPr>
                      <w:rFonts w:hint="eastAsia" w:cs="Times New Roman"/>
                      <w:b/>
                      <w:bCs/>
                      <w:i w:val="0"/>
                      <w:iCs w:val="0"/>
                      <w:color w:val="auto"/>
                      <w:kern w:val="0"/>
                      <w:sz w:val="21"/>
                      <w:szCs w:val="21"/>
                      <w:highlight w:val="none"/>
                      <w:u w:val="none"/>
                      <w:vertAlign w:val="superscript"/>
                      <w:lang w:val="en-US" w:eastAsia="zh-CN" w:bidi="ar"/>
                    </w:rPr>
                    <w:t>①</w:t>
                  </w:r>
                </w:p>
              </w:tc>
            </w:tr>
            <w:tr w14:paraId="269EA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vMerge w:val="restart"/>
                  <w:tcBorders>
                    <w:top w:val="single" w:color="000000" w:sz="4" w:space="0"/>
                    <w:left w:val="single" w:color="000000" w:sz="4" w:space="0"/>
                    <w:bottom w:val="single" w:color="000000" w:sz="4" w:space="0"/>
                    <w:right w:val="single" w:color="000000" w:sz="4" w:space="0"/>
                  </w:tcBorders>
                  <w:noWrap w:val="0"/>
                  <w:vAlign w:val="center"/>
                </w:tcPr>
                <w:p w14:paraId="167037BC">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天然气燃烧废气</w:t>
                  </w:r>
                  <w:r>
                    <w:rPr>
                      <w:rFonts w:hint="eastAsia" w:ascii="Times New Roman" w:hAnsi="Times New Roman" w:eastAsia="宋体" w:cs="Times New Roman"/>
                      <w:i w:val="0"/>
                      <w:iCs w:val="0"/>
                      <w:color w:val="auto"/>
                      <w:kern w:val="0"/>
                      <w:sz w:val="21"/>
                      <w:szCs w:val="21"/>
                      <w:highlight w:val="none"/>
                      <w:u w:val="none"/>
                      <w:lang w:val="en-US" w:eastAsia="zh-CN" w:bidi="ar"/>
                    </w:rPr>
                    <w:t>DA00</w:t>
                  </w:r>
                  <w:r>
                    <w:rPr>
                      <w:rFonts w:hint="eastAsia" w:cs="Times New Roman"/>
                      <w:i w:val="0"/>
                      <w:iCs w:val="0"/>
                      <w:color w:val="auto"/>
                      <w:kern w:val="0"/>
                      <w:sz w:val="21"/>
                      <w:szCs w:val="21"/>
                      <w:highlight w:val="none"/>
                      <w:u w:val="none"/>
                      <w:lang w:val="en-US" w:eastAsia="zh-CN" w:bidi="ar"/>
                    </w:rPr>
                    <w:t>3</w:t>
                  </w:r>
                </w:p>
              </w:tc>
              <w:tc>
                <w:tcPr>
                  <w:tcW w:w="2407" w:type="dxa"/>
                  <w:tcBorders>
                    <w:top w:val="single" w:color="000000" w:sz="4" w:space="0"/>
                    <w:left w:val="single" w:color="000000" w:sz="4" w:space="0"/>
                    <w:bottom w:val="single" w:color="000000" w:sz="4" w:space="0"/>
                    <w:right w:val="single" w:color="000000" w:sz="4" w:space="0"/>
                  </w:tcBorders>
                  <w:noWrap w:val="0"/>
                  <w:vAlign w:val="center"/>
                </w:tcPr>
                <w:p w14:paraId="6FCB04E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eastAsia" w:cs="Times New Roman"/>
                      <w:i w:val="0"/>
                      <w:iCs w:val="0"/>
                      <w:color w:val="auto"/>
                      <w:kern w:val="0"/>
                      <w:sz w:val="21"/>
                      <w:szCs w:val="21"/>
                      <w:highlight w:val="none"/>
                      <w:u w:val="none"/>
                      <w:vertAlign w:val="superscript"/>
                      <w:lang w:val="en-US" w:eastAsia="zh-CN" w:bidi="ar"/>
                    </w:rPr>
                    <w:t>②</w:t>
                  </w:r>
                  <w:r>
                    <w:rPr>
                      <w:rFonts w:hint="default" w:ascii="Times New Roman" w:hAnsi="Times New Roman" w:eastAsia="宋体" w:cs="Times New Roman"/>
                      <w:i w:val="0"/>
                      <w:iCs w:val="0"/>
                      <w:color w:val="auto"/>
                      <w:kern w:val="0"/>
                      <w:sz w:val="21"/>
                      <w:szCs w:val="21"/>
                      <w:highlight w:val="none"/>
                      <w:u w:val="none"/>
                      <w:lang w:val="en-US" w:eastAsia="zh-CN" w:bidi="ar"/>
                    </w:rPr>
                    <w:t>烘水通道首尾两端</w:t>
                  </w:r>
                </w:p>
              </w:tc>
              <w:tc>
                <w:tcPr>
                  <w:tcW w:w="1796" w:type="dxa"/>
                  <w:tcBorders>
                    <w:top w:val="single" w:color="000000" w:sz="4" w:space="0"/>
                    <w:left w:val="single" w:color="000000" w:sz="4" w:space="0"/>
                    <w:bottom w:val="single" w:color="000000" w:sz="4" w:space="0"/>
                    <w:right w:val="single" w:color="000000" w:sz="4" w:space="0"/>
                  </w:tcBorders>
                  <w:noWrap w:val="0"/>
                  <w:vAlign w:val="center"/>
                </w:tcPr>
                <w:p w14:paraId="3CDD6F5D">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集气罩</w:t>
                  </w:r>
                </w:p>
              </w:tc>
              <w:tc>
                <w:tcPr>
                  <w:tcW w:w="2116" w:type="dxa"/>
                  <w:tcBorders>
                    <w:top w:val="single" w:color="000000" w:sz="4" w:space="0"/>
                    <w:left w:val="single" w:color="000000" w:sz="4" w:space="0"/>
                    <w:bottom w:val="single" w:color="000000" w:sz="4" w:space="0"/>
                    <w:right w:val="single" w:color="000000" w:sz="4" w:space="0"/>
                  </w:tcBorders>
                  <w:noWrap w:val="0"/>
                  <w:vAlign w:val="center"/>
                </w:tcPr>
                <w:p w14:paraId="68F58636">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u w:val="none"/>
                      <w:lang w:val="en-US" w:eastAsia="zh-CN" w:bidi="ar"/>
                    </w:rPr>
                    <w:t>9676.8</w:t>
                  </w:r>
                </w:p>
              </w:tc>
            </w:tr>
            <w:tr w14:paraId="4DCA8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vMerge w:val="continue"/>
                  <w:tcBorders>
                    <w:left w:val="single" w:color="000000" w:sz="4" w:space="0"/>
                    <w:right w:val="single" w:color="000000" w:sz="4" w:space="0"/>
                  </w:tcBorders>
                  <w:noWrap w:val="0"/>
                  <w:vAlign w:val="center"/>
                </w:tcPr>
                <w:p w14:paraId="2EE60EF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2407" w:type="dxa"/>
                  <w:tcBorders>
                    <w:top w:val="single" w:color="000000" w:sz="4" w:space="0"/>
                    <w:left w:val="single" w:color="000000" w:sz="4" w:space="0"/>
                    <w:bottom w:val="single" w:color="000000" w:sz="4" w:space="0"/>
                    <w:right w:val="single" w:color="000000" w:sz="4" w:space="0"/>
                  </w:tcBorders>
                  <w:noWrap w:val="0"/>
                  <w:vAlign w:val="center"/>
                </w:tcPr>
                <w:p w14:paraId="0AFDE41E">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烘水通道</w:t>
                  </w:r>
                </w:p>
              </w:tc>
              <w:tc>
                <w:tcPr>
                  <w:tcW w:w="1796" w:type="dxa"/>
                  <w:tcBorders>
                    <w:top w:val="single" w:color="000000" w:sz="4" w:space="0"/>
                    <w:left w:val="single" w:color="000000" w:sz="4" w:space="0"/>
                    <w:bottom w:val="single" w:color="000000" w:sz="4" w:space="0"/>
                    <w:right w:val="single" w:color="000000" w:sz="4" w:space="0"/>
                  </w:tcBorders>
                  <w:noWrap w:val="0"/>
                  <w:vAlign w:val="center"/>
                </w:tcPr>
                <w:p w14:paraId="1CB2C64A">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直连管道</w:t>
                  </w:r>
                </w:p>
              </w:tc>
              <w:tc>
                <w:tcPr>
                  <w:tcW w:w="2116" w:type="dxa"/>
                  <w:tcBorders>
                    <w:top w:val="single" w:color="000000" w:sz="4" w:space="0"/>
                    <w:left w:val="single" w:color="000000" w:sz="4" w:space="0"/>
                    <w:bottom w:val="single" w:color="000000" w:sz="4" w:space="0"/>
                    <w:right w:val="single" w:color="000000" w:sz="4" w:space="0"/>
                  </w:tcBorders>
                  <w:noWrap w:val="0"/>
                  <w:vAlign w:val="center"/>
                </w:tcPr>
                <w:p w14:paraId="4C3073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890.2</w:t>
                  </w:r>
                </w:p>
              </w:tc>
            </w:tr>
            <w:tr w14:paraId="212AA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vMerge w:val="restart"/>
                  <w:tcBorders>
                    <w:top w:val="single" w:color="000000" w:sz="4" w:space="0"/>
                    <w:left w:val="single" w:color="000000" w:sz="4" w:space="0"/>
                    <w:bottom w:val="single" w:color="000000" w:sz="4" w:space="0"/>
                    <w:right w:val="single" w:color="000000" w:sz="4" w:space="0"/>
                  </w:tcBorders>
                  <w:noWrap w:val="0"/>
                  <w:vAlign w:val="center"/>
                </w:tcPr>
                <w:p w14:paraId="4310648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天然气燃烧废气</w:t>
                  </w:r>
                  <w:r>
                    <w:rPr>
                      <w:rFonts w:hint="eastAsia" w:ascii="Times New Roman" w:hAnsi="Times New Roman" w:eastAsia="宋体" w:cs="Times New Roman"/>
                      <w:i w:val="0"/>
                      <w:iCs w:val="0"/>
                      <w:color w:val="auto"/>
                      <w:kern w:val="0"/>
                      <w:sz w:val="21"/>
                      <w:szCs w:val="21"/>
                      <w:highlight w:val="none"/>
                      <w:u w:val="none"/>
                      <w:lang w:val="en-US" w:eastAsia="zh-CN" w:bidi="ar"/>
                    </w:rPr>
                    <w:t>DA00</w:t>
                  </w:r>
                  <w:r>
                    <w:rPr>
                      <w:rFonts w:hint="eastAsia" w:cs="Times New Roman"/>
                      <w:i w:val="0"/>
                      <w:iCs w:val="0"/>
                      <w:color w:val="auto"/>
                      <w:kern w:val="0"/>
                      <w:sz w:val="21"/>
                      <w:szCs w:val="21"/>
                      <w:highlight w:val="none"/>
                      <w:u w:val="none"/>
                      <w:lang w:val="en-US" w:eastAsia="zh-CN" w:bidi="ar"/>
                    </w:rPr>
                    <w:t>2</w:t>
                  </w:r>
                </w:p>
              </w:tc>
              <w:tc>
                <w:tcPr>
                  <w:tcW w:w="2407" w:type="dxa"/>
                  <w:tcBorders>
                    <w:top w:val="single" w:color="000000" w:sz="4" w:space="0"/>
                    <w:left w:val="single" w:color="000000" w:sz="4" w:space="0"/>
                    <w:bottom w:val="single" w:color="000000" w:sz="4" w:space="0"/>
                    <w:right w:val="single" w:color="000000" w:sz="4" w:space="0"/>
                  </w:tcBorders>
                  <w:noWrap w:val="0"/>
                  <w:vAlign w:val="center"/>
                </w:tcPr>
                <w:p w14:paraId="58BFBB17">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eastAsia" w:ascii="Times New Roman" w:hAnsi="Times New Roman" w:eastAsia="宋体" w:cs="Times New Roman"/>
                      <w:i w:val="0"/>
                      <w:iCs w:val="0"/>
                      <w:color w:val="auto"/>
                      <w:kern w:val="0"/>
                      <w:sz w:val="21"/>
                      <w:szCs w:val="21"/>
                      <w:highlight w:val="none"/>
                      <w:u w:val="none"/>
                      <w:lang w:val="en-US" w:eastAsia="zh-CN" w:bidi="ar"/>
                    </w:rPr>
                    <w:t>固化炉</w:t>
                  </w:r>
                  <w:r>
                    <w:rPr>
                      <w:rFonts w:hint="default" w:ascii="Times New Roman" w:hAnsi="Times New Roman" w:eastAsia="宋体" w:cs="Times New Roman"/>
                      <w:i w:val="0"/>
                      <w:iCs w:val="0"/>
                      <w:color w:val="auto"/>
                      <w:kern w:val="0"/>
                      <w:sz w:val="21"/>
                      <w:szCs w:val="21"/>
                      <w:highlight w:val="none"/>
                      <w:u w:val="none"/>
                      <w:lang w:val="en-US" w:eastAsia="zh-CN" w:bidi="ar"/>
                    </w:rPr>
                    <w:t>首尾两端</w:t>
                  </w:r>
                </w:p>
              </w:tc>
              <w:tc>
                <w:tcPr>
                  <w:tcW w:w="1796" w:type="dxa"/>
                  <w:tcBorders>
                    <w:top w:val="single" w:color="000000" w:sz="4" w:space="0"/>
                    <w:left w:val="single" w:color="000000" w:sz="4" w:space="0"/>
                    <w:bottom w:val="single" w:color="000000" w:sz="4" w:space="0"/>
                    <w:right w:val="single" w:color="000000" w:sz="4" w:space="0"/>
                  </w:tcBorders>
                  <w:noWrap w:val="0"/>
                  <w:vAlign w:val="center"/>
                </w:tcPr>
                <w:p w14:paraId="04A1520F">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集气罩</w:t>
                  </w:r>
                </w:p>
              </w:tc>
              <w:tc>
                <w:tcPr>
                  <w:tcW w:w="2116" w:type="dxa"/>
                  <w:tcBorders>
                    <w:top w:val="single" w:color="000000" w:sz="4" w:space="0"/>
                    <w:left w:val="single" w:color="000000" w:sz="4" w:space="0"/>
                    <w:bottom w:val="single" w:color="000000" w:sz="4" w:space="0"/>
                    <w:right w:val="single" w:color="000000" w:sz="4" w:space="0"/>
                  </w:tcBorders>
                  <w:noWrap w:val="0"/>
                  <w:vAlign w:val="center"/>
                </w:tcPr>
                <w:p w14:paraId="15CCCDE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eastAsia" w:cs="Times New Roman"/>
                      <w:i w:val="0"/>
                      <w:iCs w:val="0"/>
                      <w:color w:val="auto"/>
                      <w:kern w:val="0"/>
                      <w:sz w:val="21"/>
                      <w:szCs w:val="21"/>
                      <w:u w:val="none"/>
                      <w:lang w:val="en-US" w:eastAsia="zh-CN" w:bidi="ar"/>
                    </w:rPr>
                    <w:t>36288</w:t>
                  </w:r>
                </w:p>
              </w:tc>
            </w:tr>
            <w:tr w14:paraId="30E2C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2082" w:type="dxa"/>
                  <w:vMerge w:val="continue"/>
                  <w:tcBorders>
                    <w:top w:val="single" w:color="000000" w:sz="4" w:space="0"/>
                    <w:left w:val="single" w:color="000000" w:sz="4" w:space="0"/>
                    <w:bottom w:val="single" w:color="000000" w:sz="4" w:space="0"/>
                    <w:right w:val="single" w:color="000000" w:sz="4" w:space="0"/>
                  </w:tcBorders>
                  <w:noWrap/>
                  <w:vAlign w:val="center"/>
                </w:tcPr>
                <w:p w14:paraId="48BBDE2E">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b w:val="0"/>
                      <w:bCs w:val="0"/>
                      <w:i w:val="0"/>
                      <w:iCs w:val="0"/>
                      <w:color w:val="auto"/>
                      <w:sz w:val="21"/>
                      <w:szCs w:val="21"/>
                      <w:highlight w:val="none"/>
                      <w:u w:val="none"/>
                    </w:rPr>
                  </w:pPr>
                </w:p>
              </w:tc>
              <w:tc>
                <w:tcPr>
                  <w:tcW w:w="2407" w:type="dxa"/>
                  <w:tcBorders>
                    <w:top w:val="single" w:color="000000" w:sz="4" w:space="0"/>
                    <w:left w:val="single" w:color="000000" w:sz="4" w:space="0"/>
                    <w:bottom w:val="single" w:color="000000" w:sz="4" w:space="0"/>
                    <w:right w:val="single" w:color="000000" w:sz="4" w:space="0"/>
                  </w:tcBorders>
                  <w:noWrap/>
                  <w:vAlign w:val="center"/>
                </w:tcPr>
                <w:p w14:paraId="6C526C33">
                  <w:pPr>
                    <w:keepNext w:val="0"/>
                    <w:keepLines w:val="0"/>
                    <w:widowControl/>
                    <w:suppressLineNumbers w:val="0"/>
                    <w:spacing w:before="0" w:beforeAutospacing="0" w:after="0" w:afterAutospacing="0" w:line="240" w:lineRule="auto"/>
                    <w:ind w:left="0" w:leftChars="0" w:right="0" w:rightChars="0"/>
                    <w:jc w:val="center"/>
                    <w:textAlignment w:val="center"/>
                    <w:rPr>
                      <w:color w:val="auto"/>
                    </w:rPr>
                  </w:pPr>
                  <w:r>
                    <w:rPr>
                      <w:rFonts w:hint="eastAsia" w:ascii="Times New Roman" w:hAnsi="Times New Roman" w:eastAsia="宋体" w:cs="Times New Roman"/>
                      <w:i w:val="0"/>
                      <w:iCs w:val="0"/>
                      <w:color w:val="auto"/>
                      <w:kern w:val="0"/>
                      <w:sz w:val="21"/>
                      <w:szCs w:val="21"/>
                      <w:highlight w:val="none"/>
                      <w:u w:val="none"/>
                      <w:lang w:val="en-US" w:eastAsia="zh-CN" w:bidi="ar"/>
                    </w:rPr>
                    <w:t>固化</w:t>
                  </w:r>
                  <w:r>
                    <w:rPr>
                      <w:rFonts w:hint="eastAsia" w:cs="Times New Roman"/>
                      <w:i w:val="0"/>
                      <w:iCs w:val="0"/>
                      <w:color w:val="auto"/>
                      <w:kern w:val="0"/>
                      <w:sz w:val="21"/>
                      <w:szCs w:val="21"/>
                      <w:highlight w:val="none"/>
                      <w:u w:val="none"/>
                      <w:lang w:val="en-US" w:eastAsia="zh-CN" w:bidi="ar"/>
                    </w:rPr>
                    <w:t>通道</w:t>
                  </w:r>
                </w:p>
              </w:tc>
              <w:tc>
                <w:tcPr>
                  <w:tcW w:w="1796" w:type="dxa"/>
                  <w:tcBorders>
                    <w:top w:val="single" w:color="000000" w:sz="4" w:space="0"/>
                    <w:left w:val="single" w:color="000000" w:sz="4" w:space="0"/>
                    <w:bottom w:val="single" w:color="000000" w:sz="4" w:space="0"/>
                    <w:right w:val="single" w:color="000000" w:sz="4" w:space="0"/>
                  </w:tcBorders>
                  <w:noWrap/>
                  <w:vAlign w:val="center"/>
                </w:tcPr>
                <w:p w14:paraId="1737B1F6">
                  <w:pPr>
                    <w:keepNext w:val="0"/>
                    <w:keepLines w:val="0"/>
                    <w:widowControl/>
                    <w:suppressLineNumbers w:val="0"/>
                    <w:spacing w:before="0" w:beforeAutospacing="0" w:after="0" w:afterAutospacing="0" w:line="240" w:lineRule="auto"/>
                    <w:ind w:left="0" w:leftChars="0" w:right="0" w:rightChars="0"/>
                    <w:jc w:val="center"/>
                    <w:textAlignment w:val="center"/>
                    <w:rPr>
                      <w:color w:val="auto"/>
                    </w:rPr>
                  </w:pPr>
                  <w:r>
                    <w:rPr>
                      <w:rFonts w:hint="default" w:ascii="Times New Roman" w:hAnsi="Times New Roman" w:eastAsia="宋体" w:cs="Times New Roman"/>
                      <w:i w:val="0"/>
                      <w:iCs w:val="0"/>
                      <w:color w:val="auto"/>
                      <w:kern w:val="0"/>
                      <w:sz w:val="21"/>
                      <w:szCs w:val="21"/>
                      <w:highlight w:val="none"/>
                      <w:u w:val="none"/>
                      <w:lang w:val="en-US" w:eastAsia="zh-CN" w:bidi="ar"/>
                    </w:rPr>
                    <w:t>直连管道</w:t>
                  </w:r>
                </w:p>
              </w:tc>
              <w:tc>
                <w:tcPr>
                  <w:tcW w:w="2116" w:type="dxa"/>
                  <w:tcBorders>
                    <w:top w:val="single" w:color="000000" w:sz="4" w:space="0"/>
                    <w:left w:val="single" w:color="000000" w:sz="4" w:space="0"/>
                    <w:bottom w:val="single" w:color="000000" w:sz="4" w:space="0"/>
                    <w:right w:val="single" w:color="000000" w:sz="4" w:space="0"/>
                  </w:tcBorders>
                  <w:noWrap/>
                  <w:vAlign w:val="center"/>
                </w:tcPr>
                <w:p w14:paraId="7415322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eastAsia" w:cs="Times New Roman"/>
                      <w:i w:val="0"/>
                      <w:iCs w:val="0"/>
                      <w:color w:val="auto"/>
                      <w:kern w:val="0"/>
                      <w:sz w:val="21"/>
                      <w:szCs w:val="21"/>
                      <w:u w:val="none"/>
                      <w:lang w:val="en-US" w:eastAsia="zh-CN" w:bidi="ar"/>
                    </w:rPr>
                    <w:t>1780.4</w:t>
                  </w:r>
                </w:p>
              </w:tc>
            </w:tr>
            <w:tr w14:paraId="37513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401" w:type="dxa"/>
                  <w:gridSpan w:val="4"/>
                  <w:tcBorders>
                    <w:top w:val="single" w:color="000000" w:sz="4" w:space="0"/>
                    <w:left w:val="single" w:color="000000" w:sz="4" w:space="0"/>
                    <w:bottom w:val="single" w:color="000000" w:sz="4" w:space="0"/>
                    <w:right w:val="single" w:color="000000" w:sz="4" w:space="0"/>
                  </w:tcBorders>
                  <w:noWrap/>
                  <w:vAlign w:val="center"/>
                </w:tcPr>
                <w:p w14:paraId="5C721E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both"/>
                    <w:textAlignment w:val="center"/>
                    <w:rPr>
                      <w:rFonts w:hint="eastAsia"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备注：</w:t>
                  </w:r>
                  <w:r>
                    <w:rPr>
                      <w:rFonts w:hint="eastAsia" w:cs="Times New Roman"/>
                      <w:b w:val="0"/>
                      <w:bCs w:val="0"/>
                      <w:i w:val="0"/>
                      <w:iCs w:val="0"/>
                      <w:color w:val="auto"/>
                      <w:kern w:val="0"/>
                      <w:sz w:val="21"/>
                      <w:szCs w:val="21"/>
                      <w:highlight w:val="none"/>
                      <w:u w:val="none"/>
                      <w:lang w:val="en-US" w:eastAsia="zh-CN" w:bidi="ar"/>
                    </w:rPr>
                    <w:t>①</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本环评考虑到风阻损失等，</w:t>
                  </w:r>
                  <w:r>
                    <w:rPr>
                      <w:rFonts w:hint="eastAsia" w:cs="Times New Roman"/>
                      <w:b w:val="0"/>
                      <w:bCs w:val="0"/>
                      <w:i w:val="0"/>
                      <w:iCs w:val="0"/>
                      <w:color w:val="auto"/>
                      <w:kern w:val="0"/>
                      <w:sz w:val="21"/>
                      <w:szCs w:val="21"/>
                      <w:highlight w:val="none"/>
                      <w:u w:val="none"/>
                      <w:lang w:val="en-US" w:eastAsia="zh-CN" w:bidi="ar"/>
                    </w:rPr>
                    <w:t>DA003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保守设计风量取11000m</w:t>
                  </w:r>
                  <w:r>
                    <w:rPr>
                      <w:rFonts w:hint="default" w:ascii="Times New Roman" w:hAnsi="Times New Roman" w:eastAsia="宋体" w:cs="Times New Roman"/>
                      <w:b w:val="0"/>
                      <w:bCs w:val="0"/>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/h</w:t>
                  </w:r>
                  <w:r>
                    <w:rPr>
                      <w:rFonts w:hint="default" w:ascii="Times New Roman" w:hAnsi="Times New Roman" w:cs="Times New Roman"/>
                      <w:b w:val="0"/>
                      <w:bCs w:val="0"/>
                      <w:i w:val="0"/>
                      <w:iCs w:val="0"/>
                      <w:color w:val="auto"/>
                      <w:kern w:val="0"/>
                      <w:sz w:val="21"/>
                      <w:szCs w:val="21"/>
                      <w:highlight w:val="none"/>
                      <w:u w:val="none"/>
                      <w:lang w:val="en-US" w:eastAsia="zh-CN" w:bidi="ar"/>
                    </w:rPr>
                    <w:t>，</w:t>
                  </w:r>
                  <w:r>
                    <w:rPr>
                      <w:rFonts w:hint="eastAsia" w:cs="Times New Roman"/>
                      <w:b w:val="0"/>
                      <w:bCs w:val="0"/>
                      <w:i w:val="0"/>
                      <w:iCs w:val="0"/>
                      <w:color w:val="auto"/>
                      <w:kern w:val="0"/>
                      <w:sz w:val="21"/>
                      <w:szCs w:val="21"/>
                      <w:highlight w:val="none"/>
                      <w:u w:val="none"/>
                      <w:lang w:val="en-US" w:eastAsia="zh-CN" w:bidi="ar"/>
                    </w:rPr>
                    <w:t>DA002</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保守设计风量取</w:t>
                  </w:r>
                  <w:r>
                    <w:rPr>
                      <w:rFonts w:hint="eastAsia" w:cs="Times New Roman"/>
                      <w:b w:val="0"/>
                      <w:bCs w:val="0"/>
                      <w:i w:val="0"/>
                      <w:iCs w:val="0"/>
                      <w:color w:val="auto"/>
                      <w:kern w:val="0"/>
                      <w:sz w:val="21"/>
                      <w:szCs w:val="21"/>
                      <w:highlight w:val="none"/>
                      <w:u w:val="none"/>
                      <w:lang w:val="en-US" w:eastAsia="zh-CN" w:bidi="ar"/>
                    </w:rPr>
                    <w:t>400</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00m</w:t>
                  </w:r>
                  <w:r>
                    <w:rPr>
                      <w:rFonts w:hint="default" w:ascii="Times New Roman" w:hAnsi="Times New Roman" w:eastAsia="宋体" w:cs="Times New Roman"/>
                      <w:b w:val="0"/>
                      <w:bCs w:val="0"/>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/h</w:t>
                  </w:r>
                  <w:r>
                    <w:rPr>
                      <w:rFonts w:hint="default" w:ascii="Times New Roman" w:hAnsi="Times New Roman" w:cs="Times New Roman"/>
                      <w:b w:val="0"/>
                      <w:bCs w:val="0"/>
                      <w:i w:val="0"/>
                      <w:iCs w:val="0"/>
                      <w:color w:val="auto"/>
                      <w:kern w:val="0"/>
                      <w:sz w:val="21"/>
                      <w:szCs w:val="21"/>
                      <w:highlight w:val="none"/>
                      <w:u w:val="none"/>
                      <w:lang w:val="en-US" w:eastAsia="zh-CN" w:bidi="ar"/>
                    </w:rPr>
                    <w:t>，且已包含天然气自身产生的工业废气量</w:t>
                  </w:r>
                  <w:r>
                    <w:rPr>
                      <w:rFonts w:hint="eastAsia" w:cs="Times New Roman"/>
                      <w:b w:val="0"/>
                      <w:bCs w:val="0"/>
                      <w:i w:val="0"/>
                      <w:iCs w:val="0"/>
                      <w:color w:val="auto"/>
                      <w:kern w:val="0"/>
                      <w:sz w:val="21"/>
                      <w:szCs w:val="21"/>
                      <w:highlight w:val="none"/>
                      <w:u w:val="none"/>
                      <w:lang w:val="en-US" w:eastAsia="zh-CN" w:bidi="ar"/>
                    </w:rPr>
                    <w:t>；</w:t>
                  </w:r>
                </w:p>
                <w:p w14:paraId="2F6412D7">
                  <w:pPr>
                    <w:pStyle w:val="2"/>
                    <w:rPr>
                      <w:rFonts w:hint="default"/>
                      <w:color w:val="auto"/>
                      <w:lang w:val="en-US" w:eastAsia="zh-CN"/>
                    </w:rPr>
                  </w:pPr>
                  <w:r>
                    <w:rPr>
                      <w:rFonts w:hint="eastAsia" w:cs="Times New Roman"/>
                      <w:b w:val="0"/>
                      <w:bCs w:val="0"/>
                      <w:i w:val="0"/>
                      <w:iCs w:val="0"/>
                      <w:color w:val="auto"/>
                      <w:kern w:val="0"/>
                      <w:sz w:val="21"/>
                      <w:szCs w:val="21"/>
                      <w:highlight w:val="none"/>
                      <w:u w:val="none"/>
                      <w:lang w:val="en-US" w:eastAsia="zh-CN" w:bidi="ar"/>
                    </w:rPr>
                    <w:t>②预处理线采用隧道式挂具输送系统，该隧道与烘水通道相连，构成密闭通道。</w:t>
                  </w:r>
                </w:p>
              </w:tc>
            </w:tr>
          </w:tbl>
          <w:p w14:paraId="31B65BA6">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p>
          <w:p w14:paraId="2A0725B5">
            <w:pPr>
              <w:pStyle w:val="158"/>
              <w:keepNext w:val="0"/>
              <w:keepLines w:val="0"/>
              <w:suppressLineNumbers w:val="0"/>
              <w:snapToGrid/>
              <w:spacing w:before="0" w:beforeAutospacing="0" w:after="0" w:afterAutospacing="0"/>
              <w:ind w:left="0" w:right="0" w:firstLine="480"/>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color w:val="auto"/>
                <w:highlight w:val="none"/>
                <w:lang w:val="en-US" w:eastAsia="zh-CN"/>
              </w:rPr>
              <w:t>根据前文废气产生量和风量计算，本项目燃烧废气产排情况如下表所示。</w:t>
            </w:r>
          </w:p>
          <w:p w14:paraId="4FEBE8F6">
            <w:pPr>
              <w:pStyle w:val="158"/>
              <w:keepNext w:val="0"/>
              <w:keepLines w:val="0"/>
              <w:numPr>
                <w:ilvl w:val="0"/>
                <w:numId w:val="0"/>
              </w:numPr>
              <w:suppressLineNumbers w:val="0"/>
              <w:tabs>
                <w:tab w:val="left" w:pos="0"/>
              </w:tabs>
              <w:snapToGrid/>
              <w:spacing w:before="0" w:beforeAutospacing="0" w:after="0" w:afterAutospacing="0"/>
              <w:ind w:left="0" w:leftChars="0" w:right="0" w:rightChars="0" w:firstLine="40" w:firstLineChars="0"/>
              <w:jc w:val="center"/>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pacing w:val="0"/>
                <w:kern w:val="2"/>
                <w:sz w:val="21"/>
                <w:szCs w:val="21"/>
                <w:lang w:val="en-US" w:eastAsia="zh-CN" w:bidi="ar-SA"/>
              </w:rPr>
              <w:t>表4-1</w:t>
            </w:r>
            <w:r>
              <w:rPr>
                <w:rFonts w:hint="eastAsia" w:cs="Times New Roman"/>
                <w:b/>
                <w:bCs/>
                <w:color w:val="auto"/>
                <w:spacing w:val="0"/>
                <w:kern w:val="2"/>
                <w:sz w:val="21"/>
                <w:szCs w:val="21"/>
                <w:lang w:val="en-US" w:eastAsia="zh-CN" w:bidi="ar-SA"/>
              </w:rPr>
              <w:t>3</w:t>
            </w:r>
            <w:r>
              <w:rPr>
                <w:rFonts w:hint="default" w:ascii="Times New Roman" w:hAnsi="Times New Roman" w:eastAsia="宋体" w:cs="Times New Roman"/>
                <w:b/>
                <w:bCs/>
                <w:color w:val="auto"/>
                <w:sz w:val="21"/>
                <w:szCs w:val="21"/>
                <w:highlight w:val="none"/>
                <w:lang w:val="en-US" w:eastAsia="zh-CN"/>
              </w:rPr>
              <w:t>本项目燃烧废气产排情况一览表</w:t>
            </w:r>
          </w:p>
          <w:tbl>
            <w:tblPr>
              <w:tblStyle w:val="48"/>
              <w:tblW w:w="834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29"/>
              <w:gridCol w:w="1344"/>
              <w:gridCol w:w="1329"/>
              <w:gridCol w:w="1076"/>
              <w:gridCol w:w="1076"/>
              <w:gridCol w:w="1076"/>
              <w:gridCol w:w="1076"/>
            </w:tblGrid>
            <w:tr w14:paraId="0CBEA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81E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5B90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颗粒物</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9DC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SO</w:t>
                  </w:r>
                  <w:r>
                    <w:rPr>
                      <w:rFonts w:hint="default" w:ascii="Times New Roman" w:hAnsi="Times New Roman" w:eastAsia="宋体" w:cs="Times New Roman"/>
                      <w:b/>
                      <w:bCs/>
                      <w:i w:val="0"/>
                      <w:iCs w:val="0"/>
                      <w:color w:val="auto"/>
                      <w:kern w:val="0"/>
                      <w:sz w:val="21"/>
                      <w:szCs w:val="21"/>
                      <w:u w:val="none"/>
                      <w:vertAlign w:val="sub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1827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NO</w:t>
                  </w:r>
                  <w:r>
                    <w:rPr>
                      <w:rFonts w:hint="default" w:ascii="Times New Roman" w:hAnsi="Times New Roman" w:eastAsia="宋体" w:cs="Times New Roman"/>
                      <w:b/>
                      <w:bCs/>
                      <w:i w:val="0"/>
                      <w:iCs w:val="0"/>
                      <w:color w:val="auto"/>
                      <w:kern w:val="0"/>
                      <w:sz w:val="21"/>
                      <w:szCs w:val="21"/>
                      <w:u w:val="none"/>
                      <w:vertAlign w:val="subscript"/>
                      <w:lang w:val="en-US" w:eastAsia="zh-CN" w:bidi="ar"/>
                    </w:rPr>
                    <w:t>X</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0DB1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颗粒物</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C03B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SO</w:t>
                  </w:r>
                  <w:r>
                    <w:rPr>
                      <w:rFonts w:hint="default" w:ascii="Times New Roman" w:hAnsi="Times New Roman" w:eastAsia="宋体" w:cs="Times New Roman"/>
                      <w:b/>
                      <w:bCs/>
                      <w:i w:val="0"/>
                      <w:iCs w:val="0"/>
                      <w:color w:val="auto"/>
                      <w:kern w:val="0"/>
                      <w:sz w:val="21"/>
                      <w:szCs w:val="21"/>
                      <w:u w:val="none"/>
                      <w:vertAlign w:val="sub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D100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NO</w:t>
                  </w:r>
                  <w:r>
                    <w:rPr>
                      <w:rFonts w:hint="default" w:ascii="Times New Roman" w:hAnsi="Times New Roman" w:eastAsia="宋体" w:cs="Times New Roman"/>
                      <w:b/>
                      <w:bCs/>
                      <w:i w:val="0"/>
                      <w:iCs w:val="0"/>
                      <w:color w:val="auto"/>
                      <w:kern w:val="0"/>
                      <w:sz w:val="21"/>
                      <w:szCs w:val="21"/>
                      <w:u w:val="none"/>
                      <w:vertAlign w:val="subscript"/>
                      <w:lang w:val="en-US" w:eastAsia="zh-CN" w:bidi="ar"/>
                    </w:rPr>
                    <w:t>X</w:t>
                  </w:r>
                </w:p>
              </w:tc>
            </w:tr>
            <w:tr w14:paraId="4394A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31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产生总量（</w:t>
                  </w:r>
                  <w:r>
                    <w:rPr>
                      <w:rFonts w:hint="default" w:ascii="Times New Roman" w:hAnsi="Times New Roman" w:eastAsia="宋体" w:cs="Times New Roman"/>
                      <w:i w:val="0"/>
                      <w:iCs w:val="0"/>
                      <w:color w:val="auto"/>
                      <w:kern w:val="0"/>
                      <w:sz w:val="21"/>
                      <w:szCs w:val="21"/>
                      <w:u w:val="none"/>
                      <w:lang w:val="en-US" w:eastAsia="zh-CN" w:bidi="ar"/>
                    </w:rPr>
                    <w:t>t/a</w:t>
                  </w:r>
                  <w:r>
                    <w:rPr>
                      <w:rFonts w:hint="eastAsia" w:ascii="宋体" w:hAnsi="宋体" w:eastAsia="宋体" w:cs="宋体"/>
                      <w:i w:val="0"/>
                      <w:iCs w:val="0"/>
                      <w:color w:val="auto"/>
                      <w:kern w:val="0"/>
                      <w:sz w:val="21"/>
                      <w:szCs w:val="21"/>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F4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D8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DDD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B8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0.039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813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E9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r>
            <w:tr w14:paraId="3CD22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35C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产生速率（</w:t>
                  </w:r>
                  <w:r>
                    <w:rPr>
                      <w:rFonts w:hint="default" w:ascii="Times New Roman" w:hAnsi="Times New Roman" w:eastAsia="宋体" w:cs="Times New Roman"/>
                      <w:i w:val="0"/>
                      <w:iCs w:val="0"/>
                      <w:color w:val="auto"/>
                      <w:kern w:val="0"/>
                      <w:sz w:val="21"/>
                      <w:szCs w:val="21"/>
                      <w:u w:val="none"/>
                      <w:lang w:val="en-US" w:eastAsia="zh-CN" w:bidi="ar"/>
                    </w:rPr>
                    <w:t>kg/h</w:t>
                  </w:r>
                  <w:r>
                    <w:rPr>
                      <w:rFonts w:hint="eastAsia" w:ascii="宋体" w:hAnsi="宋体" w:eastAsia="宋体" w:cs="宋体"/>
                      <w:i w:val="0"/>
                      <w:iCs w:val="0"/>
                      <w:color w:val="auto"/>
                      <w:kern w:val="0"/>
                      <w:sz w:val="21"/>
                      <w:szCs w:val="21"/>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14D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3B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682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017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0.020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88C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810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0.133 </w:t>
                  </w:r>
                </w:p>
              </w:tc>
            </w:tr>
            <w:tr w14:paraId="21CF1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47B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废气量</w:t>
                  </w:r>
                </w:p>
              </w:tc>
              <w:tc>
                <w:tcPr>
                  <w:tcW w:w="37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ADD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11000m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/h</w:t>
                  </w:r>
                </w:p>
              </w:tc>
              <w:tc>
                <w:tcPr>
                  <w:tcW w:w="324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0EA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40000m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/h</w:t>
                  </w:r>
                </w:p>
              </w:tc>
            </w:tr>
            <w:tr w14:paraId="4DE4A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616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排气筒编号</w:t>
                  </w:r>
                </w:p>
              </w:tc>
              <w:tc>
                <w:tcPr>
                  <w:tcW w:w="2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E0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DA003</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1C4A6">
                  <w:pPr>
                    <w:jc w:val="center"/>
                    <w:rPr>
                      <w:rFonts w:hint="default" w:ascii="Times New Roman" w:hAnsi="Times New Roman" w:eastAsia="宋体" w:cs="Times New Roman"/>
                      <w:i w:val="0"/>
                      <w:iCs w:val="0"/>
                      <w:color w:val="auto"/>
                      <w:sz w:val="21"/>
                      <w:szCs w:val="21"/>
                      <w:u w:val="none"/>
                    </w:rPr>
                  </w:pPr>
                </w:p>
              </w:tc>
              <w:tc>
                <w:tcPr>
                  <w:tcW w:w="324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27A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DA002</w:t>
                  </w:r>
                </w:p>
              </w:tc>
            </w:tr>
            <w:tr w14:paraId="6AF11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E510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AAF0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颗粒物</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6899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SO</w:t>
                  </w:r>
                  <w:r>
                    <w:rPr>
                      <w:rFonts w:hint="default" w:ascii="Times New Roman" w:hAnsi="Times New Roman" w:eastAsia="宋体" w:cs="Times New Roman"/>
                      <w:b/>
                      <w:bCs/>
                      <w:i w:val="0"/>
                      <w:iCs w:val="0"/>
                      <w:color w:val="auto"/>
                      <w:kern w:val="0"/>
                      <w:sz w:val="21"/>
                      <w:szCs w:val="21"/>
                      <w:u w:val="none"/>
                      <w:vertAlign w:val="sub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7C3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NO</w:t>
                  </w:r>
                  <w:r>
                    <w:rPr>
                      <w:rFonts w:hint="default" w:ascii="Times New Roman" w:hAnsi="Times New Roman" w:eastAsia="宋体" w:cs="Times New Roman"/>
                      <w:b/>
                      <w:bCs/>
                      <w:i w:val="0"/>
                      <w:iCs w:val="0"/>
                      <w:color w:val="auto"/>
                      <w:kern w:val="0"/>
                      <w:sz w:val="21"/>
                      <w:szCs w:val="21"/>
                      <w:u w:val="none"/>
                      <w:vertAlign w:val="subscript"/>
                      <w:lang w:val="en-US" w:eastAsia="zh-CN" w:bidi="ar"/>
                    </w:rPr>
                    <w:t>X</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5562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颗粒物</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641A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SO</w:t>
                  </w:r>
                  <w:r>
                    <w:rPr>
                      <w:rFonts w:hint="default" w:ascii="Times New Roman" w:hAnsi="Times New Roman" w:eastAsia="宋体" w:cs="Times New Roman"/>
                      <w:b/>
                      <w:bCs/>
                      <w:i w:val="0"/>
                      <w:iCs w:val="0"/>
                      <w:color w:val="auto"/>
                      <w:kern w:val="0"/>
                      <w:sz w:val="21"/>
                      <w:szCs w:val="21"/>
                      <w:u w:val="none"/>
                      <w:vertAlign w:val="subscript"/>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B6F1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NO</w:t>
                  </w:r>
                  <w:r>
                    <w:rPr>
                      <w:rFonts w:hint="default" w:ascii="Times New Roman" w:hAnsi="Times New Roman" w:eastAsia="宋体" w:cs="Times New Roman"/>
                      <w:b/>
                      <w:bCs/>
                      <w:i w:val="0"/>
                      <w:iCs w:val="0"/>
                      <w:color w:val="auto"/>
                      <w:kern w:val="0"/>
                      <w:sz w:val="21"/>
                      <w:szCs w:val="21"/>
                      <w:u w:val="none"/>
                      <w:vertAlign w:val="subscript"/>
                      <w:lang w:val="en-US" w:eastAsia="zh-CN" w:bidi="ar"/>
                    </w:rPr>
                    <w:t>X</w:t>
                  </w:r>
                </w:p>
              </w:tc>
            </w:tr>
            <w:tr w14:paraId="10F51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B0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排放量（</w:t>
                  </w:r>
                  <w:r>
                    <w:rPr>
                      <w:rFonts w:hint="default" w:ascii="Times New Roman" w:hAnsi="Times New Roman" w:eastAsia="宋体" w:cs="Times New Roman"/>
                      <w:i w:val="0"/>
                      <w:iCs w:val="0"/>
                      <w:color w:val="auto"/>
                      <w:kern w:val="0"/>
                      <w:sz w:val="21"/>
                      <w:szCs w:val="21"/>
                      <w:u w:val="none"/>
                      <w:lang w:val="en-US" w:eastAsia="zh-CN" w:bidi="ar"/>
                    </w:rPr>
                    <w:t>t/a</w:t>
                  </w:r>
                  <w:r>
                    <w:rPr>
                      <w:rFonts w:hint="eastAsia" w:ascii="宋体" w:hAnsi="宋体" w:eastAsia="宋体" w:cs="宋体"/>
                      <w:i w:val="0"/>
                      <w:iCs w:val="0"/>
                      <w:color w:val="auto"/>
                      <w:kern w:val="0"/>
                      <w:sz w:val="21"/>
                      <w:szCs w:val="21"/>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9BC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0.013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3D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10C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A4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0.039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F0D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0.027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C6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r>
            <w:tr w14:paraId="71A48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4D51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排放速率（</w:t>
                  </w:r>
                  <w:r>
                    <w:rPr>
                      <w:rFonts w:hint="default" w:ascii="Times New Roman" w:hAnsi="Times New Roman" w:eastAsia="宋体" w:cs="Times New Roman"/>
                      <w:i w:val="0"/>
                      <w:iCs w:val="0"/>
                      <w:color w:val="auto"/>
                      <w:kern w:val="0"/>
                      <w:sz w:val="21"/>
                      <w:szCs w:val="21"/>
                      <w:u w:val="none"/>
                      <w:lang w:val="en-US" w:eastAsia="zh-CN" w:bidi="ar"/>
                    </w:rPr>
                    <w:t>kg/h</w:t>
                  </w:r>
                  <w:r>
                    <w:rPr>
                      <w:rFonts w:hint="eastAsia" w:ascii="宋体" w:hAnsi="宋体" w:eastAsia="宋体" w:cs="宋体"/>
                      <w:i w:val="0"/>
                      <w:iCs w:val="0"/>
                      <w:color w:val="auto"/>
                      <w:kern w:val="0"/>
                      <w:sz w:val="21"/>
                      <w:szCs w:val="21"/>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B5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0.007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7F97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0.005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C2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D97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0.020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76B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2ED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0.133 </w:t>
                  </w:r>
                </w:p>
              </w:tc>
            </w:tr>
            <w:tr w14:paraId="2A780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215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排放浓度（</w:t>
                  </w:r>
                  <w:r>
                    <w:rPr>
                      <w:rFonts w:hint="default" w:ascii="Times New Roman" w:hAnsi="Times New Roman" w:eastAsia="宋体" w:cs="Times New Roman"/>
                      <w:i w:val="0"/>
                      <w:iCs w:val="0"/>
                      <w:color w:val="auto"/>
                      <w:kern w:val="0"/>
                      <w:sz w:val="21"/>
                      <w:szCs w:val="21"/>
                      <w:u w:val="none"/>
                      <w:lang w:val="en-US" w:eastAsia="zh-CN" w:bidi="ar"/>
                    </w:rPr>
                    <w:t>mg/m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eastAsia" w:ascii="宋体" w:hAnsi="宋体" w:eastAsia="宋体" w:cs="宋体"/>
                      <w:i w:val="0"/>
                      <w:iCs w:val="0"/>
                      <w:color w:val="auto"/>
                      <w:kern w:val="0"/>
                      <w:sz w:val="21"/>
                      <w:szCs w:val="21"/>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3D9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0.6 </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C1C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868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3.9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A4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0.5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FED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 </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48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3.3 </w:t>
                  </w:r>
                </w:p>
              </w:tc>
            </w:tr>
          </w:tbl>
          <w:p w14:paraId="4041A44C">
            <w:pPr>
              <w:keepNext w:val="0"/>
              <w:keepLines w:val="0"/>
              <w:pageBreakBefore w:val="0"/>
              <w:widowControl w:val="0"/>
              <w:kinsoku/>
              <w:wordWrap/>
              <w:overflowPunct/>
              <w:topLinePunct w:val="0"/>
              <w:autoSpaceDE/>
              <w:autoSpaceDN/>
              <w:bidi w:val="0"/>
              <w:adjustRightInd/>
              <w:snapToGrid/>
              <w:spacing w:line="10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p>
          <w:p w14:paraId="6A1DBAB3">
            <w:pPr>
              <w:keepNext w:val="0"/>
              <w:keepLines w:val="0"/>
              <w:suppressLineNumbers w:val="0"/>
              <w:spacing w:before="0" w:beforeAutospacing="0" w:after="0" w:afterAutospacing="0" w:line="360" w:lineRule="auto"/>
              <w:ind w:left="0" w:right="0" w:firstLine="470" w:firstLineChars="200"/>
              <w:rPr>
                <w:b/>
                <w:bCs/>
                <w:color w:val="auto"/>
                <w:sz w:val="24"/>
                <w:szCs w:val="24"/>
                <w:highlight w:val="none"/>
              </w:rPr>
            </w:pPr>
            <w:r>
              <w:rPr>
                <w:rFonts w:hint="eastAsia" w:cs="Times New Roman"/>
                <w:b/>
                <w:bCs/>
                <w:color w:val="auto"/>
                <w:spacing w:val="-3"/>
                <w:sz w:val="24"/>
                <w:szCs w:val="24"/>
                <w:highlight w:val="none"/>
                <w:lang w:val="en-US" w:eastAsia="zh-CN"/>
              </w:rPr>
              <w:t>1</w:t>
            </w:r>
            <w:r>
              <w:rPr>
                <w:rFonts w:hint="default" w:ascii="Times New Roman" w:hAnsi="Times New Roman" w:cs="Times New Roman"/>
                <w:b/>
                <w:bCs/>
                <w:color w:val="auto"/>
                <w:spacing w:val="-3"/>
                <w:sz w:val="24"/>
                <w:szCs w:val="24"/>
                <w:highlight w:val="none"/>
                <w:lang w:val="en-US" w:eastAsia="zh-CN"/>
              </w:rPr>
              <w:t>.</w:t>
            </w:r>
            <w:r>
              <w:rPr>
                <w:rFonts w:hint="eastAsia" w:cs="Times New Roman"/>
                <w:b/>
                <w:bCs/>
                <w:color w:val="auto"/>
                <w:spacing w:val="-3"/>
                <w:sz w:val="24"/>
                <w:szCs w:val="24"/>
                <w:highlight w:val="none"/>
                <w:lang w:val="en-US" w:eastAsia="zh-CN"/>
              </w:rPr>
              <w:t>2</w:t>
            </w:r>
            <w:r>
              <w:rPr>
                <w:rFonts w:hint="default" w:ascii="Times New Roman" w:hAnsi="Times New Roman" w:cs="Times New Roman"/>
                <w:b/>
                <w:bCs/>
                <w:color w:val="auto"/>
                <w:spacing w:val="-3"/>
                <w:sz w:val="24"/>
                <w:szCs w:val="24"/>
                <w:highlight w:val="none"/>
                <w:lang w:val="en-US" w:eastAsia="zh-CN"/>
              </w:rPr>
              <w:t>.4</w:t>
            </w:r>
            <w:r>
              <w:rPr>
                <w:b/>
                <w:bCs/>
                <w:color w:val="auto"/>
                <w:sz w:val="24"/>
                <w:szCs w:val="24"/>
                <w:highlight w:val="none"/>
              </w:rPr>
              <w:t>静电喷粉粉尘</w:t>
            </w:r>
          </w:p>
          <w:p w14:paraId="22D76E13">
            <w:pPr>
              <w:pageBreakBefore w:val="0"/>
              <w:wordWrap w:val="0"/>
              <w:topLinePunct/>
              <w:bidi w:val="0"/>
              <w:spacing w:beforeAutospacing="0" w:afterAutospacing="0" w:line="360" w:lineRule="auto"/>
              <w:ind w:firstLine="480" w:firstLineChars="200"/>
              <w:rPr>
                <w:color w:val="auto"/>
                <w:sz w:val="24"/>
                <w:szCs w:val="24"/>
                <w:highlight w:val="none"/>
              </w:rPr>
            </w:pPr>
            <w:r>
              <w:rPr>
                <w:color w:val="auto"/>
                <w:sz w:val="24"/>
                <w:szCs w:val="24"/>
                <w:highlight w:val="none"/>
              </w:rPr>
              <w:t>项目使用喷枪在密闭喷粉房对工件进行喷粉处理，喷粉过程中未附着的环氧/聚酯粉末涂料粉末会形成粉尘，其主要污染物为颗粒物。</w:t>
            </w:r>
          </w:p>
          <w:p w14:paraId="7D43ABE6">
            <w:pPr>
              <w:pageBreakBefore w:val="0"/>
              <w:wordWrap w:val="0"/>
              <w:topLinePunct/>
              <w:bidi w:val="0"/>
              <w:spacing w:beforeAutospacing="0" w:afterAutospacing="0" w:line="360" w:lineRule="auto"/>
              <w:ind w:firstLine="480" w:firstLineChars="200"/>
              <w:rPr>
                <w:color w:val="auto"/>
                <w:sz w:val="24"/>
                <w:szCs w:val="24"/>
                <w:highlight w:val="none"/>
              </w:rPr>
            </w:pPr>
            <w:r>
              <w:rPr>
                <w:color w:val="auto"/>
                <w:sz w:val="24"/>
                <w:szCs w:val="24"/>
                <w:highlight w:val="none"/>
              </w:rPr>
              <w:t>喷粉房本身可视作集尘室，喷粉过程中保持密闭，同样采用“密闭工作台（集尘室）+大旋风+滤芯式二级回收系统”系统处理，即静电喷粉粉尘收集效率为90%，收集后可回用于静电喷粉工序，考虑到少量粉末附着在滤芯内，收集回用率取99%；静电喷粉粉尘未收集部分沉降在喷粉房内，沉降率取80%，最终处理后的静电喷粉粉尘于车间内无组织排放。</w:t>
            </w:r>
          </w:p>
          <w:p w14:paraId="11AFD1C6">
            <w:pPr>
              <w:pageBreakBefore w:val="0"/>
              <w:wordWrap w:val="0"/>
              <w:topLinePunct/>
              <w:bidi w:val="0"/>
              <w:spacing w:beforeAutospacing="0" w:afterAutospacing="0" w:line="360" w:lineRule="auto"/>
              <w:ind w:firstLine="480" w:firstLineChars="200"/>
              <w:rPr>
                <w:color w:val="auto"/>
                <w:sz w:val="24"/>
                <w:szCs w:val="24"/>
                <w:highlight w:val="none"/>
              </w:rPr>
            </w:pPr>
            <w:r>
              <w:rPr>
                <w:color w:val="auto"/>
                <w:sz w:val="24"/>
                <w:szCs w:val="24"/>
                <w:highlight w:val="none"/>
              </w:rPr>
              <w:t>本项目的喷粉粉末</w:t>
            </w:r>
            <w:r>
              <w:rPr>
                <w:rFonts w:hint="eastAsia"/>
                <w:color w:val="auto"/>
                <w:sz w:val="24"/>
                <w:szCs w:val="24"/>
                <w:highlight w:val="none"/>
                <w:lang w:val="en-US" w:eastAsia="zh-CN"/>
              </w:rPr>
              <w:t>一次</w:t>
            </w:r>
            <w:r>
              <w:rPr>
                <w:color w:val="auto"/>
                <w:sz w:val="24"/>
                <w:szCs w:val="24"/>
                <w:highlight w:val="none"/>
              </w:rPr>
              <w:t>上粉率为70%，综合利用率为95.54%，使用的环氧粉末涂料粉总量为</w:t>
            </w:r>
            <w:r>
              <w:rPr>
                <w:rFonts w:hint="eastAsia"/>
                <w:color w:val="auto"/>
                <w:sz w:val="24"/>
                <w:szCs w:val="24"/>
                <w:highlight w:val="none"/>
                <w:lang w:val="en-US" w:eastAsia="zh-CN"/>
              </w:rPr>
              <w:t>105.857</w:t>
            </w:r>
            <w:r>
              <w:rPr>
                <w:color w:val="auto"/>
                <w:sz w:val="24"/>
                <w:szCs w:val="24"/>
                <w:highlight w:val="none"/>
              </w:rPr>
              <w:t>t/a，粉末喷涂工件附着量为：</w:t>
            </w:r>
            <w:r>
              <w:rPr>
                <w:rFonts w:hint="eastAsia"/>
                <w:color w:val="auto"/>
                <w:sz w:val="24"/>
                <w:szCs w:val="24"/>
                <w:highlight w:val="none"/>
                <w:lang w:val="en-US" w:eastAsia="zh-CN"/>
              </w:rPr>
              <w:t>105.857</w:t>
            </w:r>
            <w:r>
              <w:rPr>
                <w:color w:val="auto"/>
                <w:sz w:val="24"/>
                <w:szCs w:val="24"/>
                <w:highlight w:val="none"/>
              </w:rPr>
              <w:t>/a×95.54%=</w:t>
            </w:r>
            <w:r>
              <w:rPr>
                <w:rFonts w:hint="eastAsia"/>
                <w:color w:val="auto"/>
                <w:sz w:val="24"/>
                <w:szCs w:val="24"/>
                <w:highlight w:val="none"/>
                <w:lang w:val="en-US" w:eastAsia="zh-CN"/>
              </w:rPr>
              <w:t>101.136</w:t>
            </w:r>
            <w:r>
              <w:rPr>
                <w:color w:val="auto"/>
                <w:sz w:val="24"/>
                <w:szCs w:val="24"/>
                <w:highlight w:val="none"/>
              </w:rPr>
              <w:t>t/a。</w:t>
            </w:r>
          </w:p>
          <w:p w14:paraId="61F27B1F">
            <w:pPr>
              <w:pageBreakBefore w:val="0"/>
              <w:wordWrap w:val="0"/>
              <w:topLinePunct/>
              <w:bidi w:val="0"/>
              <w:spacing w:beforeAutospacing="0" w:afterAutospacing="0" w:line="360" w:lineRule="auto"/>
              <w:ind w:firstLine="480" w:firstLineChars="200"/>
              <w:rPr>
                <w:rFonts w:hint="eastAsia" w:eastAsia="宋体"/>
                <w:color w:val="auto"/>
                <w:sz w:val="24"/>
                <w:szCs w:val="24"/>
                <w:highlight w:val="none"/>
                <w:lang w:eastAsia="zh-CN"/>
              </w:rPr>
            </w:pPr>
            <w:r>
              <w:rPr>
                <w:rFonts w:hint="eastAsia"/>
                <w:color w:val="auto"/>
                <w:sz w:val="24"/>
                <w:szCs w:val="24"/>
                <w:highlight w:val="none"/>
              </w:rPr>
              <w:t>静电喷涂工位均接入“密闭工作台（集尘室）+大旋风+滤芯式二级回收系统”系统；该系统除尘效率参考《简明通风设计手册》（孙一坚主编）中“第三节 惯性及旋风除尘器”P361内容可知，高效旋风除尘器除尘效率可达90%以上，保守取值为90%；滤芯过滤器主要部件为转翼式滤芯筒，由“二 滤筒式除尘器”p407内容可知，其实测除尘效率为99.2%～99.9%（重量法），保守取值为99%。综上，“大旋风+滤芯式二级回收系统”总处理效率为：1-（1-90%）×（1-99%）×100%=99.9%，保守取值99%</w:t>
            </w:r>
            <w:r>
              <w:rPr>
                <w:rFonts w:hint="eastAsia"/>
                <w:color w:val="auto"/>
                <w:sz w:val="24"/>
                <w:szCs w:val="24"/>
                <w:highlight w:val="none"/>
                <w:lang w:eastAsia="zh-CN"/>
              </w:rPr>
              <w:t>。</w:t>
            </w:r>
          </w:p>
          <w:p w14:paraId="3E6BB551">
            <w:pPr>
              <w:pageBreakBefore w:val="0"/>
              <w:wordWrap w:val="0"/>
              <w:topLinePunct/>
              <w:bidi w:val="0"/>
              <w:spacing w:beforeAutospacing="0" w:afterAutospacing="0" w:line="360" w:lineRule="auto"/>
              <w:ind w:firstLine="480" w:firstLineChars="200"/>
              <w:rPr>
                <w:color w:val="auto"/>
                <w:sz w:val="24"/>
                <w:szCs w:val="24"/>
                <w:highlight w:val="none"/>
              </w:rPr>
            </w:pPr>
            <w:r>
              <w:rPr>
                <w:color w:val="auto"/>
                <w:sz w:val="24"/>
                <w:szCs w:val="24"/>
                <w:highlight w:val="none"/>
              </w:rPr>
              <w:t>在收集效率为90%、</w:t>
            </w:r>
            <w:r>
              <w:rPr>
                <w:rFonts w:hint="eastAsia"/>
                <w:color w:val="auto"/>
                <w:sz w:val="24"/>
                <w:szCs w:val="24"/>
                <w:highlight w:val="none"/>
                <w:lang w:eastAsia="zh-CN"/>
              </w:rPr>
              <w:t>收集回用效率为</w:t>
            </w:r>
            <w:r>
              <w:rPr>
                <w:color w:val="auto"/>
                <w:sz w:val="24"/>
                <w:szCs w:val="24"/>
                <w:highlight w:val="none"/>
              </w:rPr>
              <w:t>99%的情况下，设回收利用过程未附着量为Xt/a，则有</w:t>
            </w:r>
            <w:r>
              <w:rPr>
                <w:rFonts w:hint="eastAsia"/>
                <w:color w:val="auto"/>
                <w:sz w:val="24"/>
                <w:szCs w:val="24"/>
                <w:highlight w:val="none"/>
                <w:lang w:val="en-US" w:eastAsia="zh-CN"/>
              </w:rPr>
              <w:t>105.857</w:t>
            </w:r>
            <w:r>
              <w:rPr>
                <w:color w:val="auto"/>
                <w:sz w:val="24"/>
                <w:szCs w:val="24"/>
                <w:highlight w:val="none"/>
              </w:rPr>
              <w:t>t/a+（0.9×0.99）Xt/a=</w:t>
            </w:r>
            <w:r>
              <w:rPr>
                <w:rFonts w:hint="eastAsia"/>
                <w:color w:val="auto"/>
                <w:sz w:val="24"/>
                <w:szCs w:val="24"/>
                <w:highlight w:val="none"/>
                <w:lang w:val="en-US" w:eastAsia="zh-CN"/>
              </w:rPr>
              <w:t>101.136</w:t>
            </w:r>
            <w:r>
              <w:rPr>
                <w:color w:val="auto"/>
                <w:sz w:val="24"/>
                <w:szCs w:val="24"/>
                <w:highlight w:val="none"/>
              </w:rPr>
              <w:t>t/a+Xt/a，解得回收利用过程未附着量X=</w:t>
            </w:r>
            <w:r>
              <w:rPr>
                <w:rFonts w:hint="eastAsia"/>
                <w:color w:val="auto"/>
                <w:sz w:val="24"/>
                <w:szCs w:val="24"/>
                <w:highlight w:val="none"/>
                <w:lang w:val="en-US" w:eastAsia="zh-CN"/>
              </w:rPr>
              <w:t>43.314</w:t>
            </w:r>
            <w:r>
              <w:rPr>
                <w:color w:val="auto"/>
                <w:sz w:val="24"/>
                <w:szCs w:val="24"/>
                <w:highlight w:val="none"/>
              </w:rPr>
              <w:t>t/a。</w:t>
            </w:r>
          </w:p>
          <w:p w14:paraId="7C4BAEA4">
            <w:pPr>
              <w:pageBreakBefore w:val="0"/>
              <w:wordWrap w:val="0"/>
              <w:topLinePunct/>
              <w:bidi w:val="0"/>
              <w:spacing w:beforeAutospacing="0" w:afterAutospacing="0" w:line="360" w:lineRule="auto"/>
              <w:ind w:firstLine="480" w:firstLineChars="200"/>
              <w:rPr>
                <w:color w:val="auto"/>
                <w:sz w:val="24"/>
                <w:szCs w:val="24"/>
                <w:highlight w:val="none"/>
              </w:rPr>
            </w:pPr>
            <w:r>
              <w:rPr>
                <w:color w:val="auto"/>
                <w:sz w:val="24"/>
                <w:szCs w:val="24"/>
                <w:highlight w:val="none"/>
              </w:rPr>
              <w:t>对应收集量为：</w:t>
            </w:r>
            <w:r>
              <w:rPr>
                <w:rFonts w:hint="eastAsia"/>
                <w:color w:val="auto"/>
                <w:sz w:val="24"/>
                <w:szCs w:val="24"/>
                <w:highlight w:val="none"/>
                <w:lang w:val="en-US" w:eastAsia="zh-CN"/>
              </w:rPr>
              <w:t>43.314</w:t>
            </w:r>
            <w:r>
              <w:rPr>
                <w:color w:val="auto"/>
                <w:sz w:val="24"/>
                <w:szCs w:val="24"/>
                <w:highlight w:val="none"/>
              </w:rPr>
              <w:t>t/a×0.9=</w:t>
            </w:r>
            <w:r>
              <w:rPr>
                <w:rFonts w:hint="eastAsia"/>
                <w:color w:val="auto"/>
                <w:sz w:val="24"/>
                <w:szCs w:val="24"/>
                <w:highlight w:val="none"/>
                <w:lang w:val="en-US" w:eastAsia="zh-CN"/>
              </w:rPr>
              <w:t>38.983</w:t>
            </w:r>
            <w:r>
              <w:rPr>
                <w:color w:val="auto"/>
                <w:sz w:val="24"/>
                <w:szCs w:val="24"/>
                <w:highlight w:val="none"/>
              </w:rPr>
              <w:t>t/a；收集回用量为：</w:t>
            </w:r>
            <w:r>
              <w:rPr>
                <w:rFonts w:hint="eastAsia"/>
                <w:color w:val="auto"/>
                <w:sz w:val="24"/>
                <w:szCs w:val="24"/>
                <w:highlight w:val="none"/>
                <w:lang w:val="en-US" w:eastAsia="zh-CN"/>
              </w:rPr>
              <w:t>38.983</w:t>
            </w:r>
            <w:r>
              <w:rPr>
                <w:color w:val="auto"/>
                <w:sz w:val="24"/>
                <w:szCs w:val="24"/>
                <w:highlight w:val="none"/>
              </w:rPr>
              <w:t>t/a×0.99=</w:t>
            </w:r>
            <w:r>
              <w:rPr>
                <w:rFonts w:hint="eastAsia"/>
                <w:color w:val="auto"/>
                <w:sz w:val="24"/>
                <w:szCs w:val="24"/>
                <w:highlight w:val="none"/>
                <w:lang w:val="en-US" w:eastAsia="zh-CN"/>
              </w:rPr>
              <w:t>38.593</w:t>
            </w:r>
            <w:r>
              <w:rPr>
                <w:color w:val="auto"/>
                <w:sz w:val="24"/>
                <w:szCs w:val="24"/>
                <w:highlight w:val="none"/>
              </w:rPr>
              <w:t>t/a；未收集量为：</w:t>
            </w:r>
            <w:r>
              <w:rPr>
                <w:rFonts w:hint="eastAsia"/>
                <w:color w:val="auto"/>
                <w:sz w:val="24"/>
                <w:szCs w:val="24"/>
                <w:highlight w:val="none"/>
                <w:lang w:val="en-US" w:eastAsia="zh-CN"/>
              </w:rPr>
              <w:t>43.314</w:t>
            </w:r>
            <w:r>
              <w:rPr>
                <w:color w:val="auto"/>
                <w:sz w:val="24"/>
                <w:szCs w:val="24"/>
                <w:highlight w:val="none"/>
              </w:rPr>
              <w:t>t/a</w:t>
            </w:r>
            <w:r>
              <w:rPr>
                <w:rFonts w:hint="eastAsia"/>
                <w:color w:val="auto"/>
                <w:sz w:val="24"/>
                <w:szCs w:val="24"/>
                <w:highlight w:val="none"/>
                <w:lang w:val="en-US" w:eastAsia="zh-CN"/>
              </w:rPr>
              <w:t>-38.983</w:t>
            </w:r>
            <w:r>
              <w:rPr>
                <w:color w:val="auto"/>
                <w:sz w:val="24"/>
                <w:szCs w:val="24"/>
                <w:highlight w:val="none"/>
              </w:rPr>
              <w:t>t/a=</w:t>
            </w:r>
            <w:r>
              <w:rPr>
                <w:rFonts w:hint="eastAsia"/>
                <w:color w:val="auto"/>
                <w:sz w:val="24"/>
                <w:szCs w:val="24"/>
                <w:highlight w:val="none"/>
                <w:lang w:val="en-US" w:eastAsia="zh-CN"/>
              </w:rPr>
              <w:t>4.331</w:t>
            </w:r>
            <w:r>
              <w:rPr>
                <w:color w:val="auto"/>
                <w:sz w:val="24"/>
                <w:szCs w:val="24"/>
                <w:highlight w:val="none"/>
              </w:rPr>
              <w:t>t/a，地面沉降量为：</w:t>
            </w:r>
            <w:r>
              <w:rPr>
                <w:rFonts w:hint="eastAsia"/>
                <w:color w:val="auto"/>
                <w:sz w:val="24"/>
                <w:szCs w:val="24"/>
                <w:highlight w:val="none"/>
                <w:lang w:val="en-US" w:eastAsia="zh-CN"/>
              </w:rPr>
              <w:t>4.331</w:t>
            </w:r>
            <w:r>
              <w:rPr>
                <w:color w:val="auto"/>
                <w:sz w:val="24"/>
                <w:szCs w:val="24"/>
                <w:highlight w:val="none"/>
              </w:rPr>
              <w:t>t/a×80%=</w:t>
            </w:r>
            <w:r>
              <w:rPr>
                <w:rFonts w:hint="eastAsia"/>
                <w:color w:val="auto"/>
                <w:sz w:val="24"/>
                <w:szCs w:val="24"/>
                <w:highlight w:val="none"/>
                <w:lang w:val="en-US" w:eastAsia="zh-CN"/>
              </w:rPr>
              <w:t>3.465</w:t>
            </w:r>
            <w:r>
              <w:rPr>
                <w:color w:val="auto"/>
                <w:sz w:val="24"/>
                <w:szCs w:val="24"/>
                <w:highlight w:val="none"/>
              </w:rPr>
              <w:t>t/a。最终静电喷粉粉尘无组织排放量为：（</w:t>
            </w:r>
            <w:r>
              <w:rPr>
                <w:rFonts w:hint="eastAsia"/>
                <w:color w:val="auto"/>
                <w:sz w:val="24"/>
                <w:szCs w:val="24"/>
                <w:highlight w:val="none"/>
                <w:lang w:val="en-US" w:eastAsia="zh-CN"/>
              </w:rPr>
              <w:t>4.331</w:t>
            </w:r>
            <w:r>
              <w:rPr>
                <w:color w:val="auto"/>
                <w:sz w:val="24"/>
                <w:szCs w:val="24"/>
                <w:highlight w:val="none"/>
              </w:rPr>
              <w:t>-</w:t>
            </w:r>
            <w:r>
              <w:rPr>
                <w:rFonts w:hint="eastAsia"/>
                <w:color w:val="auto"/>
                <w:sz w:val="24"/>
                <w:szCs w:val="24"/>
                <w:highlight w:val="none"/>
                <w:lang w:val="en-US" w:eastAsia="zh-CN"/>
              </w:rPr>
              <w:t>3.465</w:t>
            </w:r>
            <w:r>
              <w:rPr>
                <w:color w:val="auto"/>
                <w:sz w:val="24"/>
                <w:szCs w:val="24"/>
                <w:highlight w:val="none"/>
              </w:rPr>
              <w:t>）t/a+（</w:t>
            </w:r>
            <w:r>
              <w:rPr>
                <w:rFonts w:hint="eastAsia"/>
                <w:color w:val="auto"/>
                <w:sz w:val="24"/>
                <w:szCs w:val="24"/>
                <w:highlight w:val="none"/>
                <w:lang w:val="en-US" w:eastAsia="zh-CN"/>
              </w:rPr>
              <w:t>38.983-38.593</w:t>
            </w:r>
            <w:r>
              <w:rPr>
                <w:color w:val="auto"/>
                <w:sz w:val="24"/>
                <w:szCs w:val="24"/>
                <w:highlight w:val="none"/>
              </w:rPr>
              <w:t>）t/a=</w:t>
            </w:r>
            <w:r>
              <w:rPr>
                <w:rFonts w:hint="eastAsia"/>
                <w:color w:val="auto"/>
                <w:sz w:val="24"/>
                <w:szCs w:val="24"/>
                <w:highlight w:val="none"/>
                <w:lang w:val="en-US" w:eastAsia="zh-CN"/>
              </w:rPr>
              <w:t>1.256</w:t>
            </w:r>
            <w:r>
              <w:rPr>
                <w:color w:val="auto"/>
                <w:sz w:val="24"/>
                <w:szCs w:val="24"/>
                <w:highlight w:val="none"/>
              </w:rPr>
              <w:t>t/a。</w:t>
            </w:r>
          </w:p>
          <w:p w14:paraId="0FA6C0FE">
            <w:pPr>
              <w:pageBreakBefore w:val="0"/>
              <w:wordWrap w:val="0"/>
              <w:topLinePunct/>
              <w:bidi w:val="0"/>
              <w:spacing w:beforeAutospacing="0" w:afterAutospacing="0" w:line="360" w:lineRule="auto"/>
              <w:ind w:firstLine="480" w:firstLineChars="200"/>
              <w:rPr>
                <w:color w:val="auto"/>
                <w:sz w:val="24"/>
                <w:szCs w:val="24"/>
                <w:highlight w:val="none"/>
              </w:rPr>
            </w:pPr>
            <w:r>
              <w:rPr>
                <w:color w:val="auto"/>
                <w:sz w:val="24"/>
                <w:szCs w:val="24"/>
                <w:highlight w:val="none"/>
              </w:rPr>
              <w:t>粉末涂料平衡详见下图。</w:t>
            </w:r>
          </w:p>
          <w:p w14:paraId="29C09DB8">
            <w:pPr>
              <w:pStyle w:val="56"/>
              <w:rPr>
                <w:rFonts w:hint="eastAsia" w:eastAsia="宋体"/>
                <w:color w:val="auto"/>
                <w:lang w:eastAsia="zh-CN"/>
              </w:rPr>
            </w:pPr>
            <w:r>
              <w:rPr>
                <w:color w:val="auto"/>
                <w:sz w:val="32"/>
              </w:rPr>
              <mc:AlternateContent>
                <mc:Choice Requires="wpc">
                  <w:drawing>
                    <wp:inline distT="0" distB="0" distL="114300" distR="114300">
                      <wp:extent cx="5336540" cy="3593465"/>
                      <wp:effectExtent l="0" t="0" r="0" b="0"/>
                      <wp:docPr id="169" name="画布 169"/>
                      <wp:cNvGraphicFramePr/>
                      <a:graphic xmlns:a="http://schemas.openxmlformats.org/drawingml/2006/main">
                        <a:graphicData uri="http://schemas.microsoft.com/office/word/2010/wordprocessingCanvas">
                          <wpc:wpc>
                            <wpc:bg/>
                            <wpc:whole/>
                            <wps:wsp>
                              <wps:cNvPr id="170" name="文本框 170"/>
                              <wps:cNvSpPr txBox="1"/>
                              <wps:spPr>
                                <a:xfrm>
                                  <a:off x="130175" y="989965"/>
                                  <a:ext cx="885825" cy="4953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2A97DA3">
                                    <w:pPr>
                                      <w:jc w:val="center"/>
                                      <w:rPr>
                                        <w:rFonts w:hint="default" w:ascii="Times New Roman" w:hAnsi="Times New Roman" w:cs="Times New Roman"/>
                                        <w:sz w:val="18"/>
                                        <w:szCs w:val="21"/>
                                        <w:lang w:val="en-US" w:eastAsia="zh-CN"/>
                                      </w:rPr>
                                    </w:pPr>
                                    <w:r>
                                      <w:rPr>
                                        <w:rFonts w:hint="default" w:ascii="Times New Roman" w:hAnsi="Times New Roman" w:cs="Times New Roman"/>
                                        <w:sz w:val="18"/>
                                        <w:szCs w:val="21"/>
                                        <w:lang w:val="en-US" w:eastAsia="zh-CN"/>
                                      </w:rPr>
                                      <w:t>静电喷涂粉末</w:t>
                                    </w:r>
                                  </w:p>
                                  <w:p w14:paraId="1DD0D127">
                                    <w:pPr>
                                      <w:pStyle w:val="2"/>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10</w:t>
                                    </w:r>
                                    <w:r>
                                      <w:rPr>
                                        <w:rFonts w:hint="eastAsia" w:ascii="Times New Roman" w:cs="Times New Roman"/>
                                        <w:sz w:val="21"/>
                                        <w:szCs w:val="21"/>
                                        <w:lang w:val="en-US" w:eastAsia="zh-CN"/>
                                      </w:rPr>
                                      <w:t>5.857</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5" name="文本框 295"/>
                              <wps:cNvSpPr txBox="1"/>
                              <wps:spPr>
                                <a:xfrm>
                                  <a:off x="1484630" y="65405"/>
                                  <a:ext cx="867410" cy="4953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FFE75E8">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工件附着量101.136</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6" name="文本框 296"/>
                              <wps:cNvSpPr txBox="1"/>
                              <wps:spPr>
                                <a:xfrm>
                                  <a:off x="1484630" y="1551305"/>
                                  <a:ext cx="924560" cy="6191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519FAB1">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回收利用过程未附着量43.314</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7" name="文本框 297"/>
                              <wps:cNvSpPr txBox="1"/>
                              <wps:spPr>
                                <a:xfrm>
                                  <a:off x="2955925" y="2475230"/>
                                  <a:ext cx="905510" cy="4953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748F79D">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收集量38.9827</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8" name="文本框 298"/>
                              <wps:cNvSpPr txBox="1"/>
                              <wps:spPr>
                                <a:xfrm>
                                  <a:off x="2956560" y="1370330"/>
                                  <a:ext cx="904240" cy="4191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F68E68C">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地面沉降量3.4651</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9" name="文本框 299"/>
                              <wps:cNvSpPr txBox="1"/>
                              <wps:spPr>
                                <a:xfrm>
                                  <a:off x="2961005" y="522605"/>
                                  <a:ext cx="895985" cy="3810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AF04419">
                                    <w:pPr>
                                      <w:jc w:val="center"/>
                                      <w:rPr>
                                        <w:rFonts w:hint="default" w:ascii="Times New Roman" w:hAnsi="Times New Roman" w:cs="Times New Roman"/>
                                        <w:sz w:val="18"/>
                                        <w:szCs w:val="21"/>
                                        <w:lang w:val="en-US" w:eastAsia="zh-CN"/>
                                      </w:rPr>
                                    </w:pPr>
                                    <w:r>
                                      <w:rPr>
                                        <w:rFonts w:hint="eastAsia" w:cs="Times New Roman"/>
                                        <w:sz w:val="18"/>
                                        <w:szCs w:val="21"/>
                                        <w:lang w:val="en-US" w:eastAsia="zh-CN"/>
                                      </w:rPr>
                                      <w:t>未收集量</w:t>
                                    </w:r>
                                  </w:p>
                                  <w:p w14:paraId="20840563">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4.3314</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0" name="文本框 300"/>
                              <wps:cNvSpPr txBox="1"/>
                              <wps:spPr>
                                <a:xfrm>
                                  <a:off x="4255135" y="1179830"/>
                                  <a:ext cx="877570" cy="4953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7A349DD">
                                    <w:pPr>
                                      <w:jc w:val="center"/>
                                      <w:rPr>
                                        <w:rFonts w:hint="default" w:ascii="Times New Roman" w:hAnsi="Times New Roman" w:cs="Times New Roman"/>
                                        <w:sz w:val="18"/>
                                        <w:szCs w:val="21"/>
                                        <w:lang w:val="en-US" w:eastAsia="zh-CN"/>
                                      </w:rPr>
                                    </w:pPr>
                                    <w:r>
                                      <w:rPr>
                                        <w:rFonts w:hint="eastAsia" w:cs="Times New Roman"/>
                                        <w:sz w:val="18"/>
                                        <w:szCs w:val="21"/>
                                        <w:lang w:val="en-US" w:eastAsia="zh-CN"/>
                                      </w:rPr>
                                      <w:t>无组织排放量</w:t>
                                    </w:r>
                                  </w:p>
                                  <w:p w14:paraId="295C4304">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1.256</w:t>
                                    </w:r>
                                    <w:r>
                                      <w:rPr>
                                        <w:rFonts w:hint="default" w:ascii="Times New Roman" w:hAnsi="Times New Roman" w:cs="Times New Roman"/>
                                        <w:sz w:val="21"/>
                                        <w:szCs w:val="21"/>
                                        <w:lang w:val="en-US" w:eastAsia="zh-CN"/>
                                      </w:rPr>
                                      <w:t>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1" name="肘形连接符 301"/>
                              <wps:cNvCnPr>
                                <a:stCxn id="170" idx="3"/>
                                <a:endCxn id="295" idx="1"/>
                              </wps:cNvCnPr>
                              <wps:spPr>
                                <a:xfrm flipV="1">
                                  <a:off x="1016000" y="313055"/>
                                  <a:ext cx="468630" cy="924560"/>
                                </a:xfrm>
                                <a:prstGeom prst="bentConnector3">
                                  <a:avLst>
                                    <a:gd name="adj1" fmla="val 5000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2" name="肘形连接符 302"/>
                              <wps:cNvCnPr>
                                <a:stCxn id="170" idx="3"/>
                                <a:endCxn id="296" idx="1"/>
                              </wps:cNvCnPr>
                              <wps:spPr>
                                <a:xfrm>
                                  <a:off x="1016000" y="1237615"/>
                                  <a:ext cx="468630" cy="623570"/>
                                </a:xfrm>
                                <a:prstGeom prst="bentConnector3">
                                  <a:avLst>
                                    <a:gd name="adj1" fmla="val 5000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3" name="肘形连接符 303"/>
                              <wps:cNvCnPr>
                                <a:stCxn id="296" idx="3"/>
                                <a:endCxn id="297" idx="1"/>
                              </wps:cNvCnPr>
                              <wps:spPr>
                                <a:xfrm>
                                  <a:off x="2409190" y="1861185"/>
                                  <a:ext cx="546735" cy="861695"/>
                                </a:xfrm>
                                <a:prstGeom prst="bentConnector3">
                                  <a:avLst>
                                    <a:gd name="adj1" fmla="val 50058"/>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4" name="肘形连接符 304"/>
                              <wps:cNvCnPr>
                                <a:stCxn id="296" idx="3"/>
                                <a:endCxn id="299" idx="1"/>
                              </wps:cNvCnPr>
                              <wps:spPr>
                                <a:xfrm flipV="1">
                                  <a:off x="2409190" y="713105"/>
                                  <a:ext cx="551815" cy="1148080"/>
                                </a:xfrm>
                                <a:prstGeom prst="bentConnector3">
                                  <a:avLst>
                                    <a:gd name="adj1" fmla="val 50058"/>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5" name="直接箭头连接符 305"/>
                              <wps:cNvCnPr>
                                <a:stCxn id="299" idx="2"/>
                                <a:endCxn id="298" idx="0"/>
                              </wps:cNvCnPr>
                              <wps:spPr>
                                <a:xfrm flipH="1">
                                  <a:off x="3408680" y="903605"/>
                                  <a:ext cx="635" cy="46672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6" name="肘形连接符 306"/>
                              <wps:cNvCnPr>
                                <a:stCxn id="299" idx="3"/>
                                <a:endCxn id="300" idx="1"/>
                              </wps:cNvCnPr>
                              <wps:spPr>
                                <a:xfrm>
                                  <a:off x="3856990" y="713105"/>
                                  <a:ext cx="398145" cy="714375"/>
                                </a:xfrm>
                                <a:prstGeom prst="bentConnector3">
                                  <a:avLst>
                                    <a:gd name="adj1" fmla="val 5008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7" name="肘形连接符 307"/>
                              <wps:cNvCnPr>
                                <a:stCxn id="297" idx="3"/>
                                <a:endCxn id="300" idx="1"/>
                              </wps:cNvCnPr>
                              <wps:spPr>
                                <a:xfrm flipV="1">
                                  <a:off x="3861435" y="1427480"/>
                                  <a:ext cx="393700" cy="1295400"/>
                                </a:xfrm>
                                <a:prstGeom prst="bentConnector3">
                                  <a:avLst>
                                    <a:gd name="adj1" fmla="val 5000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8" name="肘形连接符 308"/>
                              <wps:cNvCnPr/>
                              <wps:spPr>
                                <a:xfrm rot="5400000" flipH="1">
                                  <a:off x="1248410" y="796290"/>
                                  <a:ext cx="1485265" cy="2835275"/>
                                </a:xfrm>
                                <a:prstGeom prst="bentConnector3">
                                  <a:avLst>
                                    <a:gd name="adj1" fmla="val -16032"/>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9" name="文本框 309"/>
                              <wps:cNvSpPr txBox="1"/>
                              <wps:spPr>
                                <a:xfrm>
                                  <a:off x="4035425" y="2009140"/>
                                  <a:ext cx="80962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A6430">
                                    <w:pPr>
                                      <w:rPr>
                                        <w:rFonts w:hint="default" w:eastAsia="宋体"/>
                                        <w:lang w:val="en-US" w:eastAsia="zh-CN"/>
                                      </w:rPr>
                                    </w:pPr>
                                    <w:r>
                                      <w:rPr>
                                        <w:rFonts w:hint="eastAsia"/>
                                        <w:lang w:val="en-US" w:eastAsia="zh-CN"/>
                                      </w:rPr>
                                      <w:t>0.3898t/a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0" name="文本框 310"/>
                              <wps:cNvSpPr txBox="1"/>
                              <wps:spPr>
                                <a:xfrm>
                                  <a:off x="141605" y="255905"/>
                                  <a:ext cx="85280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FCEB21">
                                    <w:pPr>
                                      <w:rPr>
                                        <w:rFonts w:hint="default" w:eastAsia="宋体"/>
                                        <w:lang w:val="en-US" w:eastAsia="zh-CN"/>
                                      </w:rPr>
                                    </w:pPr>
                                    <w:r>
                                      <w:rPr>
                                        <w:rFonts w:hint="eastAsia"/>
                                        <w:lang w:val="en-US" w:eastAsia="zh-CN"/>
                                      </w:rPr>
                                      <w:t>105.857t/a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1" name="文本框 311"/>
                              <wps:cNvSpPr txBox="1"/>
                              <wps:spPr>
                                <a:xfrm>
                                  <a:off x="988060" y="2919730"/>
                                  <a:ext cx="1306195" cy="269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5042A">
                                    <w:pPr>
                                      <w:rPr>
                                        <w:rFonts w:hint="default" w:eastAsia="宋体"/>
                                        <w:lang w:val="en-US" w:eastAsia="zh-CN"/>
                                      </w:rPr>
                                    </w:pPr>
                                    <w:r>
                                      <w:rPr>
                                        <w:rFonts w:hint="eastAsia"/>
                                        <w:lang w:val="en-US" w:eastAsia="zh-CN"/>
                                      </w:rPr>
                                      <w:t>回用38.593t/a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2" name="文本框 312"/>
                              <wps:cNvSpPr txBox="1"/>
                              <wps:spPr>
                                <a:xfrm>
                                  <a:off x="3951605" y="779780"/>
                                  <a:ext cx="809625" cy="2381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E0E33D">
                                    <w:pPr>
                                      <w:rPr>
                                        <w:rFonts w:hint="default" w:eastAsia="宋体"/>
                                        <w:lang w:val="en-US" w:eastAsia="zh-CN"/>
                                      </w:rPr>
                                    </w:pPr>
                                    <w:r>
                                      <w:rPr>
                                        <w:rFonts w:hint="eastAsia"/>
                                        <w:lang w:val="en-US" w:eastAsia="zh-CN"/>
                                      </w:rPr>
                                      <w:t>0.8863t/a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13" name="直接箭头连接符 313"/>
                              <wps:cNvCnPr/>
                              <wps:spPr>
                                <a:xfrm flipH="1">
                                  <a:off x="513080" y="484505"/>
                                  <a:ext cx="635" cy="46672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c:wpc>
                        </a:graphicData>
                      </a:graphic>
                    </wp:inline>
                  </w:drawing>
                </mc:Choice>
                <mc:Fallback>
                  <w:pict>
                    <v:group id="_x0000_s1026" o:spid="_x0000_s1026" o:spt="203" style="height:282.95pt;width:420.2pt;" coordsize="5336540,3593465" editas="canvas" o:gfxdata="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">
                      <o:lock v:ext="edit" aspectratio="f"/>
                      <v:shape id="_x0000_s1026" o:spid="_x0000_s1026" style="position:absolute;left:0;top:0;height:3593465;width:5336540;" filled="f" stroked="f" coordsize="21600,21600" o:gfxdata="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">
                        <v:fill on="f" focussize="0,0"/>
                        <v:stroke on="f"/>
                        <v:imagedata o:title=""/>
                        <o:lock v:ext="edit" aspectratio="f"/>
                      </v:shape>
                      <v:shape id="_x0000_s1026" o:spid="_x0000_s1026" o:spt="202" type="#_x0000_t202" style="position:absolute;left:130175;top:989965;height:495300;width:885825;"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8ePpSdQAAAAFAQAADwAAAAAAAAABACAAAAAiAAAAZHJzL2Rvd25yZXYueG1sUEsBAhQAFAAA&#10;AAgAh07iQFs6YjllAgAAxAQAAA4AAAAAAAAAAQAgAAAAIwEAAGRycy9lMm9Eb2MueG1sUEsFBgAA&#10;AAAGAAYAWQEAAPoFAAAAAA==&#10;">
                        <v:fill on="t" focussize="0,0"/>
                        <v:stroke weight="0.5pt" color="#000000 [3204]" joinstyle="round"/>
                        <v:imagedata o:title=""/>
                        <o:lock v:ext="edit" aspectratio="f"/>
                        <v:textbox>
                          <w:txbxContent>
                            <w:p w14:paraId="52A97DA3">
                              <w:pPr>
                                <w:jc w:val="center"/>
                                <w:rPr>
                                  <w:rFonts w:hint="default" w:ascii="Times New Roman" w:hAnsi="Times New Roman" w:cs="Times New Roman"/>
                                  <w:sz w:val="18"/>
                                  <w:szCs w:val="21"/>
                                  <w:lang w:val="en-US" w:eastAsia="zh-CN"/>
                                </w:rPr>
                              </w:pPr>
                              <w:r>
                                <w:rPr>
                                  <w:rFonts w:hint="default" w:ascii="Times New Roman" w:hAnsi="Times New Roman" w:cs="Times New Roman"/>
                                  <w:sz w:val="18"/>
                                  <w:szCs w:val="21"/>
                                  <w:lang w:val="en-US" w:eastAsia="zh-CN"/>
                                </w:rPr>
                                <w:t>静电喷涂粉末</w:t>
                              </w:r>
                            </w:p>
                            <w:p w14:paraId="1DD0D127">
                              <w:pPr>
                                <w:pStyle w:val="2"/>
                                <w:jc w:val="cente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10</w:t>
                              </w:r>
                              <w:r>
                                <w:rPr>
                                  <w:rFonts w:hint="eastAsia" w:ascii="Times New Roman" w:cs="Times New Roman"/>
                                  <w:sz w:val="21"/>
                                  <w:szCs w:val="21"/>
                                  <w:lang w:val="en-US" w:eastAsia="zh-CN"/>
                                </w:rPr>
                                <w:t>5.857</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1484630;top:65405;height:495300;width:86741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Hj6UnUAAAABQEAAA8AAAAAAAAAAQAgAAAAIgAAAGRycy9kb3ducmV2LnhtbFBLAQIUABQA&#10;AAAIAIdO4kB/+0akZgIAAMQEAAAOAAAAAAAAAAEAIAAAACMBAABkcnMvZTJvRG9jLnhtbFBLBQYA&#10;AAAABgAGAFkBAAD7BQAAAAA=&#10;">
                        <v:fill on="t" focussize="0,0"/>
                        <v:stroke weight="0.5pt" color="#000000 [3204]" joinstyle="round"/>
                        <v:imagedata o:title=""/>
                        <o:lock v:ext="edit" aspectratio="f"/>
                        <v:textbox>
                          <w:txbxContent>
                            <w:p w14:paraId="2FFE75E8">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工件附着量101.136</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1484630;top:1551305;height:619125;width:92456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Hj6UnUAAAABQEAAA8AAAAAAAAAAQAgAAAAIgAAAGRycy9kb3ducmV2LnhtbFBLAQIUABQA&#10;AAAIAIdO4kD/v77HZgIAAMYEAAAOAAAAAAAAAAEAIAAAACMBAABkcnMvZTJvRG9jLnhtbFBLBQYA&#10;AAAABgAGAFkBAAD7BQAAAAA=&#10;">
                        <v:fill on="t" focussize="0,0"/>
                        <v:stroke weight="0.5pt" color="#000000 [3204]" joinstyle="round"/>
                        <v:imagedata o:title=""/>
                        <o:lock v:ext="edit" aspectratio="f"/>
                        <v:textbox>
                          <w:txbxContent>
                            <w:p w14:paraId="3519FAB1">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回收利用过程未附着量43.314</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2955925;top:2475230;height:495300;width:90551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x4+lJ1AAAAAUBAAAPAAAAAAAAAAEAIAAAACIAAABkcnMvZG93bnJldi54bWxQSwECFAAU&#10;AAAACACHTuJANTgXdGcCAADGBAAADgAAAAAAAAABACAAAAAjAQAAZHJzL2Uyb0RvYy54bWxQSwUG&#10;AAAAAAYABgBZAQAA/AUAAAAA&#10;">
                        <v:fill on="t" focussize="0,0"/>
                        <v:stroke weight="0.5pt" color="#000000 [3204]" joinstyle="round"/>
                        <v:imagedata o:title=""/>
                        <o:lock v:ext="edit" aspectratio="f"/>
                        <v:textbox>
                          <w:txbxContent>
                            <w:p w14:paraId="1748F79D">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收集量38.9827</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2956560;top:1370330;height:419100;width:90424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8ePpSdQAAAAFAQAADwAAAAAAAAABACAAAAAiAAAAZHJzL2Rvd25yZXYueG1sUEsBAhQAFAAA&#10;AAgAh07iQCnT3mxlAgAAxgQAAA4AAAAAAAAAAQAgAAAAIwEAAGRycy9lMm9Eb2MueG1sUEsFBgAA&#10;AAAGAAYAWQEAAPoFAAAAAA==&#10;">
                        <v:fill on="t" focussize="0,0"/>
                        <v:stroke weight="0.5pt" color="#000000 [3204]" joinstyle="round"/>
                        <v:imagedata o:title=""/>
                        <o:lock v:ext="edit" aspectratio="f"/>
                        <v:textbox>
                          <w:txbxContent>
                            <w:p w14:paraId="6F68E68C">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地面沉降量3.4651</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2961005;top:522605;height:381000;width:895985;"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Hj6UnUAAAABQEAAA8AAAAAAAAAAQAgAAAAIgAAAGRycy9kb3ducmV2LnhtbFBLAQIUABQA&#10;AAAIAIdO4kBV7uR6ZgIAAMUEAAAOAAAAAAAAAAEAIAAAACMBAABkcnMvZTJvRG9jLnhtbFBLBQYA&#10;AAAABgAGAFkBAAD7BQAAAAA=&#10;">
                        <v:fill on="t" focussize="0,0"/>
                        <v:stroke weight="0.5pt" color="#000000 [3204]" joinstyle="round"/>
                        <v:imagedata o:title=""/>
                        <o:lock v:ext="edit" aspectratio="f"/>
                        <v:textbox>
                          <w:txbxContent>
                            <w:p w14:paraId="2AF04419">
                              <w:pPr>
                                <w:jc w:val="center"/>
                                <w:rPr>
                                  <w:rFonts w:hint="default" w:ascii="Times New Roman" w:hAnsi="Times New Roman" w:cs="Times New Roman"/>
                                  <w:sz w:val="18"/>
                                  <w:szCs w:val="21"/>
                                  <w:lang w:val="en-US" w:eastAsia="zh-CN"/>
                                </w:rPr>
                              </w:pPr>
                              <w:r>
                                <w:rPr>
                                  <w:rFonts w:hint="eastAsia" w:cs="Times New Roman"/>
                                  <w:sz w:val="18"/>
                                  <w:szCs w:val="21"/>
                                  <w:lang w:val="en-US" w:eastAsia="zh-CN"/>
                                </w:rPr>
                                <w:t>未收集量</w:t>
                              </w:r>
                            </w:p>
                            <w:p w14:paraId="20840563">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4.3314</w:t>
                              </w:r>
                              <w:r>
                                <w:rPr>
                                  <w:rFonts w:hint="default" w:ascii="Times New Roman" w:hAnsi="Times New Roman" w:cs="Times New Roman"/>
                                  <w:sz w:val="21"/>
                                  <w:szCs w:val="21"/>
                                  <w:lang w:val="en-US" w:eastAsia="zh-CN"/>
                                </w:rPr>
                                <w:t>t/a</w:t>
                              </w:r>
                            </w:p>
                          </w:txbxContent>
                        </v:textbox>
                      </v:shape>
                      <v:shape id="_x0000_s1026" o:spid="_x0000_s1026" o:spt="202" type="#_x0000_t202" style="position:absolute;left:4255135;top:1179830;height:495300;width:877570;" fillcolor="#FFFFFF [3201]" filled="t" stroked="t" coordsize="21600,21600" o:gfxdata="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8ePpSdQAAAAFAQAADwAAAAAAAAABACAAAAAiAAAAZHJzL2Rvd25yZXYueG1sUEsBAhQAFAAA&#10;AAgAh07iQCYL0qtlAgAAxgQAAA4AAAAAAAAAAQAgAAAAIwEAAGRycy9lMm9Eb2MueG1sUEsFBgAA&#10;AAAGAAYAWQEAAPoFAAAAAA==&#10;">
                        <v:fill on="t" focussize="0,0"/>
                        <v:stroke weight="0.5pt" color="#000000 [3204]" joinstyle="round"/>
                        <v:imagedata o:title=""/>
                        <o:lock v:ext="edit" aspectratio="f"/>
                        <v:textbox>
                          <w:txbxContent>
                            <w:p w14:paraId="47A349DD">
                              <w:pPr>
                                <w:jc w:val="center"/>
                                <w:rPr>
                                  <w:rFonts w:hint="default" w:ascii="Times New Roman" w:hAnsi="Times New Roman" w:cs="Times New Roman"/>
                                  <w:sz w:val="18"/>
                                  <w:szCs w:val="21"/>
                                  <w:lang w:val="en-US" w:eastAsia="zh-CN"/>
                                </w:rPr>
                              </w:pPr>
                              <w:r>
                                <w:rPr>
                                  <w:rFonts w:hint="eastAsia" w:cs="Times New Roman"/>
                                  <w:sz w:val="18"/>
                                  <w:szCs w:val="21"/>
                                  <w:lang w:val="en-US" w:eastAsia="zh-CN"/>
                                </w:rPr>
                                <w:t>无组织排放量</w:t>
                              </w:r>
                            </w:p>
                            <w:p w14:paraId="295C4304">
                              <w:pPr>
                                <w:pStyle w:val="2"/>
                                <w:jc w:val="center"/>
                                <w:rPr>
                                  <w:rFonts w:hint="default" w:ascii="Times New Roman" w:hAnsi="Times New Roman" w:cs="Times New Roman"/>
                                  <w:sz w:val="21"/>
                                  <w:szCs w:val="21"/>
                                  <w:lang w:val="en-US" w:eastAsia="zh-CN"/>
                                </w:rPr>
                              </w:pPr>
                              <w:r>
                                <w:rPr>
                                  <w:rFonts w:hint="eastAsia" w:ascii="Times New Roman" w:cs="Times New Roman"/>
                                  <w:sz w:val="21"/>
                                  <w:szCs w:val="21"/>
                                  <w:lang w:val="en-US" w:eastAsia="zh-CN"/>
                                </w:rPr>
                                <w:t>1.256</w:t>
                              </w:r>
                              <w:r>
                                <w:rPr>
                                  <w:rFonts w:hint="default" w:ascii="Times New Roman" w:hAnsi="Times New Roman" w:cs="Times New Roman"/>
                                  <w:sz w:val="21"/>
                                  <w:szCs w:val="21"/>
                                  <w:lang w:val="en-US" w:eastAsia="zh-CN"/>
                                </w:rPr>
                                <w:t>t/a</w:t>
                              </w:r>
                            </w:p>
                          </w:txbxContent>
                        </v:textbox>
                      </v:shape>
                      <v:shape id="_x0000_s1026" o:spid="_x0000_s1026" o:spt="34" type="#_x0000_t34" style="position:absolute;left:1016000;top:313055;flip:y;height:924560;width:468630;" filled="f" stroked="t" coordsize="21600,21600" o:gfxdata="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Cr4ZA1gAAAAUBAAAPAAAAAAAAAAEAIAAAACIAAABkcnMv&#10;ZG93bnJldi54bWxQSwECFAAUAAAACACHTuJAzK9Urz4CAABLBAAADgAAAAAAAAABACAAAAAlAQAA&#10;ZHJzL2Uyb0RvYy54bWxQSwUGAAAAAAYABgBZAQAA1QUAAAAA&#10;" adj="10800">
                        <v:fill on="f" focussize="0,0"/>
                        <v:stroke color="#000000 [3213]" joinstyle="round" endarrow="open"/>
                        <v:imagedata o:title=""/>
                        <o:lock v:ext="edit" aspectratio="f"/>
                      </v:shape>
                      <v:shape id="_x0000_s1026" o:spid="_x0000_s1026" o:spt="34" type="#_x0000_t34" style="position:absolute;left:1016000;top:1237615;height:623570;width:468630;" filled="f" stroked="t" coordsize="21600,21600" o:gfxdata="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ygbnE1gAAAAUBAAAPAAAAAAAAAAEAIAAAACIAAABkcnMvZG93bnJldi54&#10;bWxQSwECFAAUAAAACACHTuJAsFg1KjUCAABCBAAADgAAAAAAAAABACAAAAAlAQAAZHJzL2Uyb0Rv&#10;Yy54bWxQSwUGAAAAAAYABgBZAQAAzAUAAAAA&#10;" adj="10800">
                        <v:fill on="f" focussize="0,0"/>
                        <v:stroke color="#000000 [3213]" joinstyle="round" endarrow="open"/>
                        <v:imagedata o:title=""/>
                        <o:lock v:ext="edit" aspectratio="f"/>
                      </v:shape>
                      <v:shape id="_x0000_s1026" o:spid="_x0000_s1026" o:spt="34" type="#_x0000_t34" style="position:absolute;left:2409190;top:1861185;height:861695;width:546735;" filled="f" stroked="t" coordsize="21600,21600" o:gfxdata="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AFZdvYAAAABQEAAA8AAAAAAAAAAQAgAAAAIgAAAGRycy9kb3ducmV2&#10;LnhtbFBLAQIUABQAAAAIAIdO4kAjeDecNQIAAEIEAAAOAAAAAAAAAAEAIAAAACcBAABkcnMvZTJv&#10;RG9jLnhtbFBLBQYAAAAABgAGAFkBAADOBQAAAAA=&#10;" adj="10813">
                        <v:fill on="f" focussize="0,0"/>
                        <v:stroke color="#000000 [3213]" joinstyle="round" endarrow="open"/>
                        <v:imagedata o:title=""/>
                        <o:lock v:ext="edit" aspectratio="f"/>
                      </v:shape>
                      <v:shape id="_x0000_s1026" o:spid="_x0000_s1026" o:spt="34" type="#_x0000_t34" style="position:absolute;left:2409190;top:713105;flip:y;height:1148080;width:551815;" filled="f" stroked="t" coordsize="21600,21600" o:gfxdata="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4UWqdQAAAAFAQAADwAAAAAAAAABACAAAAAiAAAAZHJzL2Rv&#10;d25yZXYueG1sUEsBAhQAFAAAAAgAh07iQGsaUHs+AgAATAQAAA4AAAAAAAAAAQAgAAAAIwEAAGRy&#10;cy9lMm9Eb2MueG1sUEsFBgAAAAAGAAYAWQEAANMFAAAAAA==&#10;" adj="10813">
                        <v:fill on="f" focussize="0,0"/>
                        <v:stroke color="#000000 [3213]" joinstyle="round" endarrow="open"/>
                        <v:imagedata o:title=""/>
                        <o:lock v:ext="edit" aspectratio="f"/>
                      </v:shape>
                      <v:shape id="_x0000_s1026" o:spid="_x0000_s1026" o:spt="32" type="#_x0000_t32" style="position:absolute;left:3408680;top:903605;flip:x;height:466725;width:635;" filled="f" stroked="t" coordsize="21600,21600" o:gfxdata="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fwrVHVAAAABQEAAA8AAAAAAAAAAQAgAAAAIgAAAGRycy9kb3ducmV2LnhtbFBLAQIUABQA&#10;AAAIAIdO4kAexL2ALAIAACUEAAAOAAAAAAAAAAEAIAAAACQBAABkcnMvZTJvRG9jLnhtbFBLBQYA&#10;AAAABgAGAFkBAADCBQAAAAA=&#10;">
                        <v:fill on="f" focussize="0,0"/>
                        <v:stroke color="#000000 [3213]" joinstyle="round" endarrow="open"/>
                        <v:imagedata o:title=""/>
                        <o:lock v:ext="edit" aspectratio="f"/>
                      </v:shape>
                      <v:shape id="_x0000_s1026" o:spid="_x0000_s1026" o:spt="34" type="#_x0000_t34" style="position:absolute;left:3856990;top:713105;height:714375;width:398145;" filled="f" stroked="t" coordsize="21600,21600" o:gfxdata="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YuavZNcAAAAFAQAADwAAAAAAAAABACAAAAAiAAAAZHJzL2Rvd25yZXYu&#10;eG1sUEsBAhQAFAAAAAgAh07iQCH71FU1AgAAQQQAAA4AAAAAAAAAAQAgAAAAJgEAAGRycy9lMm9E&#10;b2MueG1sUEsFBgAAAAAGAAYAWQEAAM0FAAAAAA==&#10;" adj="10817">
                        <v:fill on="f" focussize="0,0"/>
                        <v:stroke color="#000000 [3213]" joinstyle="round" endarrow="open"/>
                        <v:imagedata o:title=""/>
                        <o:lock v:ext="edit" aspectratio="f"/>
                      </v:shape>
                      <v:shape id="_x0000_s1026" o:spid="_x0000_s1026" o:spt="34" type="#_x0000_t34" style="position:absolute;left:3861435;top:1427480;flip:y;height:1295400;width:393700;" filled="f" stroked="t" coordsize="21600,21600" o:gfxdata="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gq+GQNYAAAAFAQAADwAAAAAAAAABACAAAAAiAAAAZHJz&#10;L2Rvd25yZXYueG1sUEsBAhQAFAAAAAgAh07iQInCl/k/AgAATQQAAA4AAAAAAAAAAQAgAAAAJQEA&#10;AGRycy9lMm9Eb2MueG1sUEsFBgAAAAAGAAYAWQEAANYFAAAAAA==&#10;" adj="10800">
                        <v:fill on="f" focussize="0,0"/>
                        <v:stroke color="#000000 [3213]" joinstyle="round" endarrow="open"/>
                        <v:imagedata o:title=""/>
                        <o:lock v:ext="edit" aspectratio="f"/>
                      </v:shape>
                      <v:shape id="_x0000_s1026" o:spid="_x0000_s1026" o:spt="34" type="#_x0000_t34" style="position:absolute;left:1248410;top:796290;flip:x;height:2835275;width:1485265;rotation:-5898240f;" filled="f" stroked="t" coordsize="21600,21600" o:gfxdata="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2PlaQ1gAAAAUBAAAPAAAAAAAAAAEAIAAAACIAAABkcnMvZG93bnJldi54bWxQSwEC&#10;FAAUAAAACACHTuJA/6aTCi8CAAAYBAAADgAAAAAAAAABACAAAAAlAQAAZHJzL2Uyb0RvYy54bWxQ&#10;SwUGAAAAAAYABgBZAQAAxgUAAAAA&#10;" adj="-3463">
                        <v:fill on="f" focussize="0,0"/>
                        <v:stroke color="#000000 [3213]" joinstyle="round" endarrow="open"/>
                        <v:imagedata o:title=""/>
                        <o:lock v:ext="edit" aspectratio="f"/>
                      </v:shape>
                      <v:shape id="_x0000_s1026" o:spid="_x0000_s1026" o:spt="202" type="#_x0000_t202" style="position:absolute;left:4035425;top:2009140;height:238125;width:809625;" filled="f" stroked="f" coordsize="21600,21600" o:gfxdata="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4vUAX9gAAAAFAQAADwAAAAAAAAABACAA&#10;AAAiAAAAZHJzL2Rvd25yZXYueG1sUEsBAhQAFAAAAAgAh07iQBmCn+dGAgAAdQQAAA4AAAAAAAAA&#10;AQAgAAAAJwEAAGRycy9lMm9Eb2MueG1sUEsFBgAAAAAGAAYAWQEAAN8FAAAAAA==&#10;">
                        <v:fill on="f" focussize="0,0"/>
                        <v:stroke on="f" weight="0.5pt"/>
                        <v:imagedata o:title=""/>
                        <o:lock v:ext="edit" aspectratio="f"/>
                        <v:textbox>
                          <w:txbxContent>
                            <w:p w14:paraId="617A6430">
                              <w:pPr>
                                <w:rPr>
                                  <w:rFonts w:hint="default" w:eastAsia="宋体"/>
                                  <w:lang w:val="en-US" w:eastAsia="zh-CN"/>
                                </w:rPr>
                              </w:pPr>
                              <w:r>
                                <w:rPr>
                                  <w:rFonts w:hint="eastAsia"/>
                                  <w:lang w:val="en-US" w:eastAsia="zh-CN"/>
                                </w:rPr>
                                <w:t>0.3898t/a</w:t>
                              </w:r>
                            </w:p>
                          </w:txbxContent>
                        </v:textbox>
                      </v:shape>
                      <v:shape id="_x0000_s1026" o:spid="_x0000_s1026" o:spt="202" type="#_x0000_t202" style="position:absolute;left:141605;top:255905;height:238125;width:852805;" filled="f" stroked="f" coordsize="21600,21600" o:gfxdata="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i9QBf2AAAAAUBAAAPAAAAAAAAAAEAIAAA&#10;ACIAAABkcnMvZG93bnJldi54bWxQSwECFAAUAAAACACHTuJAsXJha0UCAABzBAAADgAAAAAAAAAB&#10;ACAAAAAnAQAAZHJzL2Uyb0RvYy54bWxQSwUGAAAAAAYABgBZAQAA3gUAAAAA&#10;">
                        <v:fill on="f" focussize="0,0"/>
                        <v:stroke on="f" weight="0.5pt"/>
                        <v:imagedata o:title=""/>
                        <o:lock v:ext="edit" aspectratio="f"/>
                        <v:textbox>
                          <w:txbxContent>
                            <w:p w14:paraId="5FFCEB21">
                              <w:pPr>
                                <w:rPr>
                                  <w:rFonts w:hint="default" w:eastAsia="宋体"/>
                                  <w:lang w:val="en-US" w:eastAsia="zh-CN"/>
                                </w:rPr>
                              </w:pPr>
                              <w:r>
                                <w:rPr>
                                  <w:rFonts w:hint="eastAsia"/>
                                  <w:lang w:val="en-US" w:eastAsia="zh-CN"/>
                                </w:rPr>
                                <w:t>105.857t/a</w:t>
                              </w:r>
                            </w:p>
                          </w:txbxContent>
                        </v:textbox>
                      </v:shape>
                      <v:shape id="_x0000_s1026" o:spid="_x0000_s1026" o:spt="202" type="#_x0000_t202" style="position:absolute;left:988060;top:2919730;height:269875;width:1306195;" filled="f" stroked="f" coordsize="21600,21600" o:gfxdata="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4vUAX9gAAAAFAQAADwAAAAAAAAAB&#10;ACAAAAAiAAAAZHJzL2Rvd25yZXYueG1sUEsBAhQAFAAAAAgAh07iQPWwxYRJAgAAdQQAAA4AAAAA&#10;AAAAAQAgAAAAJwEAAGRycy9lMm9Eb2MueG1sUEsFBgAAAAAGAAYAWQEAAOIFAAAAAA==&#10;">
                        <v:fill on="f" focussize="0,0"/>
                        <v:stroke on="f" weight="0.5pt"/>
                        <v:imagedata o:title=""/>
                        <o:lock v:ext="edit" aspectratio="f"/>
                        <v:textbox>
                          <w:txbxContent>
                            <w:p w14:paraId="31E5042A">
                              <w:pPr>
                                <w:rPr>
                                  <w:rFonts w:hint="default" w:eastAsia="宋体"/>
                                  <w:lang w:val="en-US" w:eastAsia="zh-CN"/>
                                </w:rPr>
                              </w:pPr>
                              <w:r>
                                <w:rPr>
                                  <w:rFonts w:hint="eastAsia"/>
                                  <w:lang w:val="en-US" w:eastAsia="zh-CN"/>
                                </w:rPr>
                                <w:t>回用38.593t/a</w:t>
                              </w:r>
                            </w:p>
                          </w:txbxContent>
                        </v:textbox>
                      </v:shape>
                      <v:shape id="_x0000_s1026" o:spid="_x0000_s1026" o:spt="202" type="#_x0000_t202" style="position:absolute;left:3951605;top:779780;height:238125;width:809625;" filled="f" stroked="f" coordsize="21600,21600" o:gfxdata="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Di9QBf2AAAAAUBAAAPAAAAAAAAAAEA&#10;IAAAACIAAABkcnMvZG93bnJldi54bWxQSwECFAAUAAAACACHTuJA9Rn1PEgCAAB0BAAADgAAAAAA&#10;AAABACAAAAAnAQAAZHJzL2Uyb0RvYy54bWxQSwUGAAAAAAYABgBZAQAA4QUAAAAA&#10;">
                        <v:fill on="f" focussize="0,0"/>
                        <v:stroke on="f" weight="0.5pt"/>
                        <v:imagedata o:title=""/>
                        <o:lock v:ext="edit" aspectratio="f"/>
                        <v:textbox>
                          <w:txbxContent>
                            <w:p w14:paraId="78E0E33D">
                              <w:pPr>
                                <w:rPr>
                                  <w:rFonts w:hint="default" w:eastAsia="宋体"/>
                                  <w:lang w:val="en-US" w:eastAsia="zh-CN"/>
                                </w:rPr>
                              </w:pPr>
                              <w:r>
                                <w:rPr>
                                  <w:rFonts w:hint="eastAsia"/>
                                  <w:lang w:val="en-US" w:eastAsia="zh-CN"/>
                                </w:rPr>
                                <w:t>0.8863t/a</w:t>
                              </w:r>
                            </w:p>
                          </w:txbxContent>
                        </v:textbox>
                      </v:shape>
                      <v:shape id="_x0000_s1026" o:spid="_x0000_s1026" o:spt="32" type="#_x0000_t32" style="position:absolute;left:513080;top:484505;flip:x;height:466725;width:635;" filled="f" stroked="t" coordsize="21600,21600" o:gfxdata="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fwrVHVAAAABQEAAA8AAAAAAAAAAQAgAAAA&#10;IgAAAGRycy9kb3ducmV2LnhtbFBLAQIUABQAAAAIAIdO4kA0huzRDgIAAOADAAAOAAAAAAAAAAEA&#10;IAAAACQBAABkcnMvZTJvRG9jLnhtbFBLBQYAAAAABgAGAFkBAACkBQAAAAA=&#10;">
                        <v:fill on="f" focussize="0,0"/>
                        <v:stroke color="#000000 [3213]" joinstyle="round" endarrow="open"/>
                        <v:imagedata o:title=""/>
                        <o:lock v:ext="edit" aspectratio="f"/>
                      </v:shape>
                      <w10:wrap type="none"/>
                      <w10:anchorlock/>
                    </v:group>
                  </w:pict>
                </mc:Fallback>
              </mc:AlternateContent>
            </w:r>
          </w:p>
          <w:p w14:paraId="046C42DF">
            <w:pPr>
              <w:pageBreakBefore w:val="0"/>
              <w:widowControl/>
              <w:wordWrap w:val="0"/>
              <w:topLinePunct/>
              <w:bidi w:val="0"/>
              <w:spacing w:beforeAutospacing="0" w:afterAutospacing="0"/>
              <w:jc w:val="center"/>
              <w:rPr>
                <w:color w:val="auto"/>
                <w:sz w:val="21"/>
                <w:szCs w:val="21"/>
                <w:highlight w:val="none"/>
              </w:rPr>
            </w:pPr>
            <w:r>
              <w:rPr>
                <w:b/>
                <w:bCs/>
                <w:color w:val="auto"/>
                <w:sz w:val="21"/>
                <w:szCs w:val="21"/>
                <w:highlight w:val="none"/>
                <w:lang w:bidi="ar"/>
              </w:rPr>
              <w:t>图</w:t>
            </w:r>
            <w:r>
              <w:rPr>
                <w:rFonts w:hint="eastAsia"/>
                <w:b/>
                <w:bCs/>
                <w:color w:val="auto"/>
                <w:sz w:val="21"/>
                <w:szCs w:val="21"/>
                <w:highlight w:val="none"/>
                <w:lang w:val="en-US" w:eastAsia="zh-CN" w:bidi="ar"/>
              </w:rPr>
              <w:t xml:space="preserve">4-1 </w:t>
            </w:r>
            <w:r>
              <w:rPr>
                <w:b/>
                <w:bCs/>
                <w:color w:val="auto"/>
                <w:sz w:val="21"/>
                <w:szCs w:val="21"/>
                <w:highlight w:val="none"/>
                <w:lang w:bidi="ar"/>
              </w:rPr>
              <w:t>粉末涂料平衡图</w:t>
            </w:r>
          </w:p>
          <w:p w14:paraId="2DE70AC1">
            <w:pPr>
              <w:pStyle w:val="158"/>
              <w:pageBreakBefore w:val="0"/>
              <w:wordWrap w:val="0"/>
              <w:topLinePunct/>
              <w:bidi w:val="0"/>
              <w:snapToGrid/>
              <w:spacing w:beforeAutospacing="0" w:afterAutospacing="0"/>
              <w:ind w:firstLine="482"/>
              <w:outlineLvl w:val="9"/>
              <w:rPr>
                <w:b/>
                <w:bCs/>
                <w:color w:val="auto"/>
                <w:highlight w:val="none"/>
              </w:rPr>
            </w:pPr>
            <w:bookmarkStart w:id="23" w:name="_Toc15801"/>
            <w:bookmarkStart w:id="24" w:name="_Toc32051"/>
            <w:r>
              <w:rPr>
                <w:rFonts w:hint="eastAsia"/>
                <w:b/>
                <w:bCs/>
                <w:color w:val="auto"/>
                <w:highlight w:val="none"/>
                <w:lang w:val="en-US" w:eastAsia="zh-CN"/>
              </w:rPr>
              <w:t>1.2.5</w:t>
            </w:r>
            <w:r>
              <w:rPr>
                <w:b/>
                <w:bCs/>
                <w:color w:val="auto"/>
                <w:highlight w:val="none"/>
              </w:rPr>
              <w:t>有机废气</w:t>
            </w:r>
            <w:bookmarkEnd w:id="23"/>
            <w:bookmarkEnd w:id="24"/>
          </w:p>
          <w:p w14:paraId="0D31A8F7">
            <w:pPr>
              <w:pStyle w:val="158"/>
              <w:wordWrap w:val="0"/>
              <w:topLinePunct/>
              <w:snapToGrid/>
              <w:ind w:firstLine="480"/>
              <w:rPr>
                <w:color w:val="auto"/>
                <w:highlight w:val="none"/>
              </w:rPr>
            </w:pPr>
            <w:r>
              <w:rPr>
                <w:color w:val="auto"/>
                <w:highlight w:val="none"/>
              </w:rPr>
              <w:t>铝单板喷漆过程中</w:t>
            </w:r>
            <w:r>
              <w:rPr>
                <w:rFonts w:hint="eastAsia"/>
                <w:color w:val="auto"/>
                <w:highlight w:val="none"/>
              </w:rPr>
              <w:t>废气产生节点</w:t>
            </w:r>
            <w:r>
              <w:rPr>
                <w:color w:val="auto"/>
                <w:highlight w:val="none"/>
              </w:rPr>
              <w:t>包含调漆、喷漆、流平、烘干、固化工序</w:t>
            </w:r>
            <w:r>
              <w:rPr>
                <w:rFonts w:hint="eastAsia"/>
                <w:color w:val="auto"/>
                <w:highlight w:val="none"/>
              </w:rPr>
              <w:t>，产生的废气污染物为漆雾和有机废气。</w:t>
            </w:r>
          </w:p>
          <w:p w14:paraId="5461E9F8">
            <w:pPr>
              <w:pStyle w:val="158"/>
              <w:wordWrap w:val="0"/>
              <w:topLinePunct/>
              <w:snapToGrid/>
              <w:ind w:firstLine="480"/>
              <w:rPr>
                <w:color w:val="auto"/>
                <w:highlight w:val="none"/>
              </w:rPr>
            </w:pPr>
            <w:r>
              <w:rPr>
                <w:rFonts w:hint="eastAsia" w:ascii="宋体" w:hAnsi="宋体" w:cs="宋体"/>
                <w:color w:val="auto"/>
                <w:highlight w:val="none"/>
              </w:rPr>
              <w:t>①</w:t>
            </w:r>
            <w:r>
              <w:rPr>
                <w:rFonts w:hint="eastAsia"/>
                <w:color w:val="auto"/>
                <w:highlight w:val="none"/>
              </w:rPr>
              <w:t>漆雾</w:t>
            </w:r>
          </w:p>
          <w:p w14:paraId="6CF964E7">
            <w:pPr>
              <w:pStyle w:val="158"/>
              <w:pageBreakBefore w:val="0"/>
              <w:wordWrap w:val="0"/>
              <w:topLinePunct/>
              <w:bidi w:val="0"/>
              <w:snapToGrid/>
              <w:spacing w:beforeAutospacing="0" w:afterAutospacing="0"/>
              <w:ind w:firstLine="480"/>
              <w:rPr>
                <w:color w:val="auto"/>
                <w:highlight w:val="none"/>
              </w:rPr>
            </w:pPr>
            <w:r>
              <w:rPr>
                <w:color w:val="auto"/>
                <w:highlight w:val="none"/>
              </w:rPr>
              <w:t>本项目铝单板喷漆过程中会产生漆雾（颗粒物）。</w:t>
            </w:r>
          </w:p>
          <w:p w14:paraId="743D96A2">
            <w:pPr>
              <w:pStyle w:val="158"/>
              <w:pageBreakBefore w:val="0"/>
              <w:wordWrap w:val="0"/>
              <w:topLinePunct/>
              <w:bidi w:val="0"/>
              <w:snapToGrid/>
              <w:spacing w:beforeAutospacing="0" w:afterAutospacing="0"/>
              <w:ind w:firstLine="480"/>
              <w:rPr>
                <w:color w:val="auto"/>
                <w:highlight w:val="none"/>
              </w:rPr>
            </w:pPr>
            <w:r>
              <w:rPr>
                <w:color w:val="auto"/>
                <w:highlight w:val="none"/>
              </w:rPr>
              <w:t>根据《</w:t>
            </w:r>
            <w:r>
              <w:rPr>
                <w:rFonts w:hint="eastAsia"/>
                <w:color w:val="auto"/>
                <w:highlight w:val="none"/>
                <w:lang w:eastAsia="zh-CN"/>
              </w:rPr>
              <w:t>环境保护产品技术要求工业粉尘湿式除尘装置</w:t>
            </w:r>
            <w:r>
              <w:rPr>
                <w:color w:val="auto"/>
                <w:highlight w:val="none"/>
              </w:rPr>
              <w:t>》（HJ/T285-2006）的要求，</w:t>
            </w:r>
            <w:r>
              <w:rPr>
                <w:rFonts w:hint="eastAsia"/>
                <w:color w:val="auto"/>
                <w:highlight w:val="none"/>
                <w:lang w:eastAsia="zh-CN"/>
              </w:rPr>
              <w:t>水帘柜</w:t>
            </w:r>
            <w:r>
              <w:rPr>
                <w:color w:val="auto"/>
                <w:highlight w:val="none"/>
              </w:rPr>
              <w:t>、喷淋塔属于以喷淋、冲激、水膜为原理类的第Ⅰ类湿式除尘装置，处理效率应不低于80%，本次评价取80%。</w:t>
            </w:r>
            <w:r>
              <w:rPr>
                <w:color w:val="auto"/>
                <w:kern w:val="0"/>
                <w:highlight w:val="none"/>
              </w:rPr>
              <w:t>干式过滤</w:t>
            </w:r>
            <w:r>
              <w:rPr>
                <w:color w:val="auto"/>
                <w:highlight w:val="none"/>
              </w:rPr>
              <w:t>采用多层化学纤维过滤棉，去除漆雾，并进行气水分离。根据《广东省表面涂装（汽车制造业）挥发性有机废气治理技术指南》，干式漆雾捕集系统（过滤棉、无纺布、石灰石为滤料、静电漆雾捕集装置）对漆雾的处理效率可达95%以上，本次评价取95%。综上</w:t>
            </w:r>
            <w:r>
              <w:rPr>
                <w:color w:val="auto"/>
                <w:kern w:val="0"/>
                <w:highlight w:val="none"/>
              </w:rPr>
              <w:t>，</w:t>
            </w:r>
            <w:r>
              <w:rPr>
                <w:color w:val="auto"/>
                <w:highlight w:val="none"/>
              </w:rPr>
              <w:t>漆雾的</w:t>
            </w:r>
            <w:r>
              <w:rPr>
                <w:color w:val="auto"/>
                <w:kern w:val="0"/>
                <w:highlight w:val="none"/>
              </w:rPr>
              <w:t>综合治理效率η=1-（1-80%）</w:t>
            </w:r>
            <w:r>
              <w:rPr>
                <w:color w:val="auto"/>
                <w:highlight w:val="none"/>
              </w:rPr>
              <w:t>×</w:t>
            </w:r>
            <w:r>
              <w:rPr>
                <w:color w:val="auto"/>
                <w:kern w:val="0"/>
                <w:highlight w:val="none"/>
              </w:rPr>
              <w:t>（1-80%）</w:t>
            </w:r>
            <w:r>
              <w:rPr>
                <w:color w:val="auto"/>
                <w:highlight w:val="none"/>
              </w:rPr>
              <w:t>×</w:t>
            </w:r>
            <w:r>
              <w:rPr>
                <w:color w:val="auto"/>
                <w:kern w:val="0"/>
                <w:highlight w:val="none"/>
              </w:rPr>
              <w:t>（1-95%）×</w:t>
            </w:r>
            <w:r>
              <w:rPr>
                <w:color w:val="auto"/>
                <w:highlight w:val="none"/>
              </w:rPr>
              <w:t>100%</w:t>
            </w:r>
            <w:r>
              <w:rPr>
                <w:color w:val="auto"/>
                <w:kern w:val="0"/>
                <w:highlight w:val="none"/>
              </w:rPr>
              <w:t>=99.8%</w:t>
            </w:r>
            <w:r>
              <w:rPr>
                <w:rFonts w:hint="eastAsia"/>
                <w:color w:val="auto"/>
                <w:kern w:val="0"/>
                <w:highlight w:val="none"/>
                <w:lang w:eastAsia="zh-CN"/>
              </w:rPr>
              <w:t>，本环评保守取值</w:t>
            </w:r>
            <w:r>
              <w:rPr>
                <w:rFonts w:hint="eastAsia"/>
                <w:color w:val="auto"/>
                <w:kern w:val="0"/>
                <w:highlight w:val="none"/>
                <w:lang w:val="en-US" w:eastAsia="zh-CN"/>
              </w:rPr>
              <w:t>99%</w:t>
            </w:r>
            <w:r>
              <w:rPr>
                <w:color w:val="auto"/>
                <w:kern w:val="0"/>
                <w:highlight w:val="none"/>
              </w:rPr>
              <w:t>。</w:t>
            </w:r>
            <w:r>
              <w:rPr>
                <w:rFonts w:hint="eastAsia"/>
                <w:color w:val="auto"/>
                <w:highlight w:val="none"/>
              </w:rPr>
              <w:t>收集效率取90%</w:t>
            </w:r>
            <w:r>
              <w:rPr>
                <w:color w:val="auto"/>
                <w:highlight w:val="none"/>
              </w:rPr>
              <w:t>。漆雾经以上废气治理设施收集处理后形成漆渣，收集后作为危废处理。</w:t>
            </w:r>
          </w:p>
          <w:p w14:paraId="3AFC1ADD">
            <w:pPr>
              <w:pStyle w:val="158"/>
              <w:wordWrap w:val="0"/>
              <w:topLinePunct/>
              <w:snapToGrid/>
              <w:spacing w:line="240" w:lineRule="auto"/>
              <w:ind w:firstLine="0" w:firstLineChars="0"/>
              <w:jc w:val="center"/>
              <w:rPr>
                <w:b/>
                <w:bCs/>
                <w:color w:val="auto"/>
                <w:sz w:val="21"/>
                <w:szCs w:val="21"/>
                <w:highlight w:val="none"/>
              </w:rPr>
            </w:pPr>
            <w:r>
              <w:rPr>
                <w:b/>
                <w:bCs/>
                <w:color w:val="auto"/>
                <w:sz w:val="21"/>
                <w:szCs w:val="21"/>
                <w:highlight w:val="none"/>
              </w:rPr>
              <w:t>表</w:t>
            </w:r>
            <w:r>
              <w:rPr>
                <w:rFonts w:hint="eastAsia"/>
                <w:b/>
                <w:bCs/>
                <w:color w:val="auto"/>
                <w:sz w:val="21"/>
                <w:szCs w:val="21"/>
                <w:highlight w:val="none"/>
                <w:lang w:val="en-US" w:eastAsia="zh-CN"/>
              </w:rPr>
              <w:t xml:space="preserve">4-14  </w:t>
            </w:r>
            <w:r>
              <w:rPr>
                <w:b/>
                <w:bCs/>
                <w:color w:val="auto"/>
                <w:sz w:val="21"/>
                <w:szCs w:val="21"/>
                <w:highlight w:val="none"/>
              </w:rPr>
              <w:t xml:space="preserve"> 项目漆雾</w:t>
            </w:r>
            <w:r>
              <w:rPr>
                <w:rFonts w:hint="eastAsia"/>
                <w:b/>
                <w:bCs/>
                <w:color w:val="auto"/>
                <w:sz w:val="21"/>
                <w:szCs w:val="21"/>
                <w:highlight w:val="none"/>
              </w:rPr>
              <w:t>产排</w:t>
            </w:r>
            <w:r>
              <w:rPr>
                <w:b/>
                <w:bCs/>
                <w:color w:val="auto"/>
                <w:sz w:val="21"/>
                <w:szCs w:val="21"/>
                <w:highlight w:val="none"/>
              </w:rPr>
              <w:t>核算表</w:t>
            </w:r>
          </w:p>
          <w:tbl>
            <w:tblPr>
              <w:tblStyle w:val="48"/>
              <w:tblW w:w="497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67"/>
              <w:gridCol w:w="844"/>
              <w:gridCol w:w="990"/>
              <w:gridCol w:w="700"/>
              <w:gridCol w:w="925"/>
              <w:gridCol w:w="747"/>
              <w:gridCol w:w="992"/>
              <w:gridCol w:w="880"/>
              <w:gridCol w:w="803"/>
              <w:gridCol w:w="727"/>
            </w:tblGrid>
            <w:tr w14:paraId="4471F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7" w:hRule="atLeast"/>
              </w:trPr>
              <w:tc>
                <w:tcPr>
                  <w:tcW w:w="466" w:type="pct"/>
                  <w:tcBorders>
                    <w:top w:val="single" w:color="000000" w:sz="4" w:space="0"/>
                    <w:left w:val="single" w:color="000000" w:sz="4" w:space="0"/>
                    <w:bottom w:val="single" w:color="000000" w:sz="4" w:space="0"/>
                    <w:right w:val="single" w:color="000000" w:sz="4" w:space="0"/>
                  </w:tcBorders>
                  <w:noWrap w:val="0"/>
                  <w:vAlign w:val="center"/>
                </w:tcPr>
                <w:p w14:paraId="0BD0776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原料名称</w:t>
                  </w:r>
                </w:p>
              </w:tc>
              <w:tc>
                <w:tcPr>
                  <w:tcW w:w="512" w:type="pct"/>
                  <w:tcBorders>
                    <w:top w:val="single" w:color="000000" w:sz="4" w:space="0"/>
                    <w:left w:val="single" w:color="000000" w:sz="4" w:space="0"/>
                    <w:bottom w:val="single" w:color="000000" w:sz="4" w:space="0"/>
                    <w:right w:val="single" w:color="000000" w:sz="4" w:space="0"/>
                  </w:tcBorders>
                  <w:noWrap w:val="0"/>
                  <w:vAlign w:val="center"/>
                </w:tcPr>
                <w:p w14:paraId="07DA2C5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年用量</w:t>
                  </w:r>
                  <w:r>
                    <w:rPr>
                      <w:rFonts w:hint="default" w:ascii="Times New Roman" w:hAnsi="Times New Roman" w:eastAsia="宋体" w:cs="Times New Roman"/>
                      <w:b/>
                      <w:bCs/>
                      <w:i w:val="0"/>
                      <w:iCs w:val="0"/>
                      <w:color w:val="auto"/>
                      <w:kern w:val="0"/>
                      <w:sz w:val="21"/>
                      <w:szCs w:val="21"/>
                      <w:u w:val="none"/>
                      <w:lang w:val="en-US" w:eastAsia="zh-CN" w:bidi="ar"/>
                    </w:rPr>
                    <w:t>t/a</w:t>
                  </w:r>
                </w:p>
              </w:tc>
              <w:tc>
                <w:tcPr>
                  <w:tcW w:w="599" w:type="pct"/>
                  <w:tcBorders>
                    <w:top w:val="single" w:color="000000" w:sz="4" w:space="0"/>
                    <w:left w:val="single" w:color="000000" w:sz="4" w:space="0"/>
                    <w:bottom w:val="single" w:color="000000" w:sz="4" w:space="0"/>
                    <w:right w:val="single" w:color="000000" w:sz="4" w:space="0"/>
                  </w:tcBorders>
                  <w:noWrap w:val="0"/>
                  <w:vAlign w:val="center"/>
                </w:tcPr>
                <w:p w14:paraId="2DD63E0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固含量</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426" w:type="pct"/>
                  <w:tcBorders>
                    <w:top w:val="single" w:color="000000" w:sz="4" w:space="0"/>
                    <w:left w:val="single" w:color="000000" w:sz="4" w:space="0"/>
                    <w:bottom w:val="single" w:color="000000" w:sz="4" w:space="0"/>
                    <w:right w:val="single" w:color="000000" w:sz="4" w:space="0"/>
                  </w:tcBorders>
                  <w:noWrap w:val="0"/>
                  <w:vAlign w:val="center"/>
                </w:tcPr>
                <w:p w14:paraId="7EB104B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漆料中固体份</w:t>
                  </w:r>
                  <w:r>
                    <w:rPr>
                      <w:rFonts w:hint="default" w:ascii="Times New Roman" w:hAnsi="Times New Roman" w:eastAsia="宋体" w:cs="Times New Roman"/>
                      <w:b/>
                      <w:bCs/>
                      <w:i w:val="0"/>
                      <w:iCs w:val="0"/>
                      <w:color w:val="auto"/>
                      <w:kern w:val="0"/>
                      <w:sz w:val="21"/>
                      <w:szCs w:val="21"/>
                      <w:u w:val="none"/>
                      <w:lang w:val="en-US" w:eastAsia="zh-CN" w:bidi="ar"/>
                    </w:rPr>
                    <w:t>t/a</w:t>
                  </w:r>
                </w:p>
              </w:tc>
              <w:tc>
                <w:tcPr>
                  <w:tcW w:w="560" w:type="pct"/>
                  <w:tcBorders>
                    <w:top w:val="single" w:color="000000" w:sz="4" w:space="0"/>
                    <w:left w:val="single" w:color="000000" w:sz="4" w:space="0"/>
                    <w:bottom w:val="single" w:color="000000" w:sz="4" w:space="0"/>
                    <w:right w:val="single" w:color="000000" w:sz="4" w:space="0"/>
                  </w:tcBorders>
                  <w:noWrap w:val="0"/>
                  <w:vAlign w:val="center"/>
                </w:tcPr>
                <w:p w14:paraId="4D6F0BF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漆雾占比</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FB18E27">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漆雾量</w:t>
                  </w:r>
                  <w:r>
                    <w:rPr>
                      <w:rFonts w:hint="default" w:ascii="Times New Roman" w:hAnsi="Times New Roman" w:eastAsia="宋体" w:cs="Times New Roman"/>
                      <w:b/>
                      <w:bCs/>
                      <w:i w:val="0"/>
                      <w:iCs w:val="0"/>
                      <w:color w:val="auto"/>
                      <w:kern w:val="0"/>
                      <w:sz w:val="21"/>
                      <w:szCs w:val="21"/>
                      <w:u w:val="none"/>
                      <w:lang w:val="en-US" w:eastAsia="zh-CN" w:bidi="ar"/>
                    </w:rPr>
                    <w:t>t/a</w:t>
                  </w:r>
                </w:p>
              </w:tc>
              <w:tc>
                <w:tcPr>
                  <w:tcW w:w="577" w:type="pct"/>
                  <w:tcBorders>
                    <w:top w:val="single" w:color="000000" w:sz="4" w:space="0"/>
                    <w:left w:val="single" w:color="000000" w:sz="4" w:space="0"/>
                    <w:bottom w:val="single" w:color="000000" w:sz="4" w:space="0"/>
                    <w:right w:val="single" w:color="000000" w:sz="4" w:space="0"/>
                  </w:tcBorders>
                  <w:noWrap w:val="0"/>
                  <w:vAlign w:val="center"/>
                </w:tcPr>
                <w:p w14:paraId="5F80AFE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有组织漆雾产生量t/a</w:t>
                  </w:r>
                </w:p>
              </w:tc>
              <w:tc>
                <w:tcPr>
                  <w:tcW w:w="512" w:type="pct"/>
                  <w:tcBorders>
                    <w:top w:val="single" w:color="000000" w:sz="4" w:space="0"/>
                    <w:left w:val="single" w:color="000000" w:sz="4" w:space="0"/>
                    <w:bottom w:val="single" w:color="000000" w:sz="4" w:space="0"/>
                    <w:right w:val="single" w:color="000000" w:sz="4" w:space="0"/>
                  </w:tcBorders>
                  <w:noWrap w:val="0"/>
                  <w:vAlign w:val="center"/>
                </w:tcPr>
                <w:p w14:paraId="2FC440B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有组织漆雾排放量</w:t>
                  </w:r>
                  <w:r>
                    <w:rPr>
                      <w:rFonts w:hint="default" w:ascii="Times New Roman" w:hAnsi="Times New Roman" w:eastAsia="宋体" w:cs="Times New Roman"/>
                      <w:b/>
                      <w:bCs/>
                      <w:i w:val="0"/>
                      <w:iCs w:val="0"/>
                      <w:color w:val="auto"/>
                      <w:kern w:val="0"/>
                      <w:sz w:val="21"/>
                      <w:szCs w:val="21"/>
                      <w:u w:val="none"/>
                      <w:lang w:val="en-US" w:eastAsia="zh-CN" w:bidi="ar"/>
                    </w:rPr>
                    <w:t>t/a</w:t>
                  </w:r>
                </w:p>
              </w:tc>
              <w:tc>
                <w:tcPr>
                  <w:tcW w:w="467" w:type="pct"/>
                  <w:tcBorders>
                    <w:top w:val="single" w:color="000000" w:sz="4" w:space="0"/>
                    <w:left w:val="single" w:color="000000" w:sz="4" w:space="0"/>
                    <w:bottom w:val="single" w:color="000000" w:sz="4" w:space="0"/>
                    <w:right w:val="single" w:color="000000" w:sz="4" w:space="0"/>
                  </w:tcBorders>
                  <w:noWrap w:val="0"/>
                  <w:vAlign w:val="center"/>
                </w:tcPr>
                <w:p w14:paraId="749254A9">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漆渣产生量</w:t>
                  </w:r>
                  <w:r>
                    <w:rPr>
                      <w:rFonts w:hint="default" w:ascii="Times New Roman" w:hAnsi="Times New Roman" w:eastAsia="宋体" w:cs="Times New Roman"/>
                      <w:b/>
                      <w:bCs/>
                      <w:i w:val="0"/>
                      <w:iCs w:val="0"/>
                      <w:color w:val="auto"/>
                      <w:kern w:val="0"/>
                      <w:sz w:val="21"/>
                      <w:szCs w:val="21"/>
                      <w:u w:val="none"/>
                      <w:lang w:val="en-US" w:eastAsia="zh-CN" w:bidi="ar"/>
                    </w:rPr>
                    <w:t>t/a</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14:paraId="6AF26A43">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无组织漆雾产生量</w:t>
                  </w:r>
                  <w:r>
                    <w:rPr>
                      <w:rFonts w:hint="default" w:ascii="Times New Roman" w:hAnsi="Times New Roman" w:eastAsia="宋体" w:cs="Times New Roman"/>
                      <w:b/>
                      <w:bCs/>
                      <w:i w:val="0"/>
                      <w:iCs w:val="0"/>
                      <w:color w:val="auto"/>
                      <w:kern w:val="0"/>
                      <w:sz w:val="21"/>
                      <w:szCs w:val="21"/>
                      <w:u w:val="none"/>
                      <w:lang w:val="en-US" w:eastAsia="zh-CN" w:bidi="ar"/>
                    </w:rPr>
                    <w:t>t/a</w:t>
                  </w:r>
                </w:p>
              </w:tc>
            </w:tr>
            <w:tr w14:paraId="58859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2" w:hRule="atLeast"/>
              </w:trPr>
              <w:tc>
                <w:tcPr>
                  <w:tcW w:w="800" w:type="dxa"/>
                  <w:tcBorders>
                    <w:top w:val="single" w:color="000000" w:sz="4" w:space="0"/>
                    <w:left w:val="single" w:color="000000" w:sz="4" w:space="0"/>
                    <w:bottom w:val="single" w:color="000000" w:sz="4" w:space="0"/>
                    <w:right w:val="single" w:color="000000" w:sz="4" w:space="0"/>
                  </w:tcBorders>
                  <w:noWrap w:val="0"/>
                  <w:vAlign w:val="center"/>
                </w:tcPr>
                <w:p w14:paraId="43A036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底漆</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602830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4.605 </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482C6F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69.29%</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0156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3.191 </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6583A2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564E8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1.2762 </w:t>
                  </w: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28A545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1.1486 </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6C5813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0.0115 </w:t>
                  </w:r>
                </w:p>
              </w:tc>
              <w:tc>
                <w:tcPr>
                  <w:tcW w:w="802" w:type="dxa"/>
                  <w:tcBorders>
                    <w:top w:val="single" w:color="000000" w:sz="4" w:space="0"/>
                    <w:left w:val="single" w:color="000000" w:sz="4" w:space="0"/>
                    <w:bottom w:val="single" w:color="000000" w:sz="4" w:space="0"/>
                    <w:right w:val="single" w:color="000000" w:sz="4" w:space="0"/>
                  </w:tcBorders>
                  <w:noWrap/>
                  <w:vAlign w:val="center"/>
                </w:tcPr>
                <w:p w14:paraId="214906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1.1371 </w:t>
                  </w:r>
                </w:p>
              </w:tc>
              <w:tc>
                <w:tcPr>
                  <w:tcW w:w="726" w:type="dxa"/>
                  <w:tcBorders>
                    <w:top w:val="single" w:color="000000" w:sz="4" w:space="0"/>
                    <w:left w:val="single" w:color="000000" w:sz="4" w:space="0"/>
                    <w:bottom w:val="single" w:color="000000" w:sz="4" w:space="0"/>
                    <w:right w:val="single" w:color="000000" w:sz="4" w:space="0"/>
                  </w:tcBorders>
                  <w:noWrap/>
                  <w:vAlign w:val="center"/>
                </w:tcPr>
                <w:p w14:paraId="759BB1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0.0128 </w:t>
                  </w:r>
                </w:p>
              </w:tc>
            </w:tr>
            <w:tr w14:paraId="78BF4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2" w:hRule="atLeast"/>
              </w:trPr>
              <w:tc>
                <w:tcPr>
                  <w:tcW w:w="800" w:type="dxa"/>
                  <w:tcBorders>
                    <w:top w:val="single" w:color="000000" w:sz="4" w:space="0"/>
                    <w:left w:val="single" w:color="000000" w:sz="4" w:space="0"/>
                    <w:bottom w:val="single" w:color="000000" w:sz="4" w:space="0"/>
                    <w:right w:val="single" w:color="000000" w:sz="4" w:space="0"/>
                  </w:tcBorders>
                  <w:noWrap w:val="0"/>
                  <w:vAlign w:val="center"/>
                </w:tcPr>
                <w:p w14:paraId="3D8007A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面漆</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699C8E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4.031 </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4DEAFD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57.81%</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3A7B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2.330 </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174773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FF18C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0.9322 </w:t>
                  </w: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122778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0.8390 </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165530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0.0084 </w:t>
                  </w:r>
                </w:p>
              </w:tc>
              <w:tc>
                <w:tcPr>
                  <w:tcW w:w="802" w:type="dxa"/>
                  <w:tcBorders>
                    <w:top w:val="single" w:color="000000" w:sz="4" w:space="0"/>
                    <w:left w:val="single" w:color="000000" w:sz="4" w:space="0"/>
                    <w:bottom w:val="single" w:color="000000" w:sz="4" w:space="0"/>
                    <w:right w:val="single" w:color="000000" w:sz="4" w:space="0"/>
                  </w:tcBorders>
                  <w:noWrap/>
                  <w:vAlign w:val="center"/>
                </w:tcPr>
                <w:p w14:paraId="657D12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0.8306 </w:t>
                  </w:r>
                </w:p>
              </w:tc>
              <w:tc>
                <w:tcPr>
                  <w:tcW w:w="726" w:type="dxa"/>
                  <w:tcBorders>
                    <w:top w:val="single" w:color="000000" w:sz="4" w:space="0"/>
                    <w:left w:val="single" w:color="000000" w:sz="4" w:space="0"/>
                    <w:bottom w:val="single" w:color="000000" w:sz="4" w:space="0"/>
                    <w:right w:val="single" w:color="000000" w:sz="4" w:space="0"/>
                  </w:tcBorders>
                  <w:noWrap/>
                  <w:vAlign w:val="center"/>
                </w:tcPr>
                <w:p w14:paraId="004795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0.0093 </w:t>
                  </w:r>
                </w:p>
              </w:tc>
            </w:tr>
            <w:tr w14:paraId="2982D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2" w:hRule="atLeast"/>
              </w:trPr>
              <w:tc>
                <w:tcPr>
                  <w:tcW w:w="800" w:type="dxa"/>
                  <w:tcBorders>
                    <w:top w:val="single" w:color="000000" w:sz="4" w:space="0"/>
                    <w:left w:val="single" w:color="000000" w:sz="4" w:space="0"/>
                    <w:bottom w:val="single" w:color="000000" w:sz="4" w:space="0"/>
                    <w:right w:val="single" w:color="000000" w:sz="4" w:space="0"/>
                  </w:tcBorders>
                  <w:noWrap w:val="0"/>
                  <w:vAlign w:val="center"/>
                </w:tcPr>
                <w:p w14:paraId="7C27E6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清漆</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1ECB9E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1.216 </w:t>
                  </w:r>
                </w:p>
              </w:tc>
              <w:tc>
                <w:tcPr>
                  <w:tcW w:w="1029" w:type="dxa"/>
                  <w:tcBorders>
                    <w:top w:val="single" w:color="000000" w:sz="4" w:space="0"/>
                    <w:left w:val="single" w:color="000000" w:sz="4" w:space="0"/>
                    <w:bottom w:val="single" w:color="000000" w:sz="4" w:space="0"/>
                    <w:right w:val="single" w:color="000000" w:sz="4" w:space="0"/>
                  </w:tcBorders>
                  <w:noWrap w:val="0"/>
                  <w:vAlign w:val="center"/>
                </w:tcPr>
                <w:p w14:paraId="2D09D1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65.61%</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D0C5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0.798 </w:t>
                  </w:r>
                </w:p>
              </w:tc>
              <w:tc>
                <w:tcPr>
                  <w:tcW w:w="965" w:type="dxa"/>
                  <w:tcBorders>
                    <w:top w:val="single" w:color="000000" w:sz="4" w:space="0"/>
                    <w:left w:val="single" w:color="000000" w:sz="4" w:space="0"/>
                    <w:bottom w:val="single" w:color="000000" w:sz="4" w:space="0"/>
                    <w:right w:val="single" w:color="000000" w:sz="4" w:space="0"/>
                  </w:tcBorders>
                  <w:noWrap w:val="0"/>
                  <w:vAlign w:val="center"/>
                </w:tcPr>
                <w:p w14:paraId="607376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514E1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0.3191 </w:t>
                  </w: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337484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0.2872 </w:t>
                  </w:r>
                </w:p>
              </w:tc>
              <w:tc>
                <w:tcPr>
                  <w:tcW w:w="879" w:type="dxa"/>
                  <w:tcBorders>
                    <w:top w:val="single" w:color="000000" w:sz="4" w:space="0"/>
                    <w:left w:val="single" w:color="000000" w:sz="4" w:space="0"/>
                    <w:bottom w:val="single" w:color="000000" w:sz="4" w:space="0"/>
                    <w:right w:val="single" w:color="000000" w:sz="4" w:space="0"/>
                  </w:tcBorders>
                  <w:noWrap/>
                  <w:vAlign w:val="center"/>
                </w:tcPr>
                <w:p w14:paraId="62317C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0.0029 </w:t>
                  </w:r>
                </w:p>
              </w:tc>
              <w:tc>
                <w:tcPr>
                  <w:tcW w:w="802" w:type="dxa"/>
                  <w:tcBorders>
                    <w:top w:val="single" w:color="000000" w:sz="4" w:space="0"/>
                    <w:left w:val="single" w:color="000000" w:sz="4" w:space="0"/>
                    <w:bottom w:val="single" w:color="000000" w:sz="4" w:space="0"/>
                    <w:right w:val="single" w:color="000000" w:sz="4" w:space="0"/>
                  </w:tcBorders>
                  <w:noWrap/>
                  <w:vAlign w:val="center"/>
                </w:tcPr>
                <w:p w14:paraId="1DEC2A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0.2843 </w:t>
                  </w:r>
                </w:p>
              </w:tc>
              <w:tc>
                <w:tcPr>
                  <w:tcW w:w="726" w:type="dxa"/>
                  <w:tcBorders>
                    <w:top w:val="single" w:color="000000" w:sz="4" w:space="0"/>
                    <w:left w:val="single" w:color="000000" w:sz="4" w:space="0"/>
                    <w:bottom w:val="single" w:color="000000" w:sz="4" w:space="0"/>
                    <w:right w:val="single" w:color="000000" w:sz="4" w:space="0"/>
                  </w:tcBorders>
                  <w:noWrap/>
                  <w:vAlign w:val="center"/>
                </w:tcPr>
                <w:p w14:paraId="7B4777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0.0032 </w:t>
                  </w:r>
                </w:p>
              </w:tc>
            </w:tr>
            <w:tr w14:paraId="32B2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5" w:hRule="atLeast"/>
              </w:trPr>
              <w:tc>
                <w:tcPr>
                  <w:tcW w:w="4405" w:type="dxa"/>
                  <w:gridSpan w:val="5"/>
                  <w:tcBorders>
                    <w:top w:val="single" w:color="000000" w:sz="4" w:space="0"/>
                    <w:left w:val="single" w:color="000000" w:sz="4" w:space="0"/>
                    <w:bottom w:val="single" w:color="000000" w:sz="4" w:space="0"/>
                    <w:right w:val="single" w:color="000000" w:sz="4" w:space="0"/>
                  </w:tcBorders>
                  <w:noWrap w:val="0"/>
                  <w:vAlign w:val="center"/>
                </w:tcPr>
                <w:p w14:paraId="47F01DB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497C3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2.527 </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14:paraId="2E5639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2.275 </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13907FA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0.023 </w:t>
                  </w:r>
                </w:p>
              </w:tc>
              <w:tc>
                <w:tcPr>
                  <w:tcW w:w="802" w:type="dxa"/>
                  <w:tcBorders>
                    <w:top w:val="single" w:color="000000" w:sz="4" w:space="0"/>
                    <w:left w:val="single" w:color="000000" w:sz="4" w:space="0"/>
                    <w:bottom w:val="single" w:color="000000" w:sz="4" w:space="0"/>
                    <w:right w:val="single" w:color="000000" w:sz="4" w:space="0"/>
                  </w:tcBorders>
                  <w:noWrap w:val="0"/>
                  <w:vAlign w:val="center"/>
                </w:tcPr>
                <w:p w14:paraId="74FFD94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2.252 </w:t>
                  </w:r>
                </w:p>
              </w:tc>
              <w:tc>
                <w:tcPr>
                  <w:tcW w:w="726" w:type="dxa"/>
                  <w:tcBorders>
                    <w:top w:val="single" w:color="000000" w:sz="4" w:space="0"/>
                    <w:left w:val="single" w:color="000000" w:sz="4" w:space="0"/>
                    <w:bottom w:val="single" w:color="000000" w:sz="4" w:space="0"/>
                    <w:right w:val="single" w:color="000000" w:sz="4" w:space="0"/>
                  </w:tcBorders>
                  <w:noWrap w:val="0"/>
                  <w:vAlign w:val="center"/>
                </w:tcPr>
                <w:p w14:paraId="2EBE66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0.025 </w:t>
                  </w:r>
                </w:p>
              </w:tc>
            </w:tr>
          </w:tbl>
          <w:p w14:paraId="2E31079F">
            <w:pPr>
              <w:pStyle w:val="158"/>
              <w:wordWrap w:val="0"/>
              <w:topLinePunct/>
              <w:snapToGrid/>
              <w:ind w:firstLine="480"/>
              <w:rPr>
                <w:color w:val="auto"/>
                <w:highlight w:val="none"/>
              </w:rPr>
            </w:pPr>
            <w:r>
              <w:rPr>
                <w:rFonts w:hint="eastAsia" w:ascii="宋体" w:hAnsi="宋体" w:cs="宋体"/>
                <w:color w:val="auto"/>
                <w:highlight w:val="none"/>
              </w:rPr>
              <w:t>②</w:t>
            </w:r>
            <w:r>
              <w:rPr>
                <w:rFonts w:hint="eastAsia"/>
                <w:color w:val="auto"/>
                <w:highlight w:val="none"/>
              </w:rPr>
              <w:t>有机废气</w:t>
            </w:r>
          </w:p>
          <w:p w14:paraId="444F5D41">
            <w:pPr>
              <w:pStyle w:val="158"/>
              <w:pageBreakBefore w:val="0"/>
              <w:wordWrap w:val="0"/>
              <w:topLinePunct/>
              <w:bidi w:val="0"/>
              <w:snapToGrid/>
              <w:spacing w:beforeAutospacing="0" w:afterAutospacing="0"/>
              <w:ind w:firstLine="480"/>
              <w:rPr>
                <w:rFonts w:hint="eastAsia" w:cs="Times New Roman"/>
                <w:color w:val="auto"/>
                <w:highlight w:val="none"/>
                <w:lang w:val="en-US" w:eastAsia="zh-CN"/>
              </w:rPr>
            </w:pPr>
            <w:r>
              <w:rPr>
                <w:rFonts w:hint="default" w:ascii="Times New Roman" w:hAnsi="Times New Roman" w:cs="Times New Roman"/>
                <w:color w:val="auto"/>
                <w:highlight w:val="none"/>
              </w:rPr>
              <w:t>本项目调配</w:t>
            </w:r>
            <w:r>
              <w:rPr>
                <w:rFonts w:hint="eastAsia" w:cs="Times New Roman"/>
                <w:color w:val="auto"/>
                <w:highlight w:val="none"/>
                <w:lang w:val="en-US" w:eastAsia="zh-CN"/>
              </w:rPr>
              <w:t>后</w:t>
            </w:r>
            <w:r>
              <w:rPr>
                <w:rFonts w:hint="eastAsia" w:ascii="Times New Roman" w:hAnsi="Times New Roman" w:cs="Times New Roman"/>
                <w:color w:val="auto"/>
                <w:highlight w:val="none"/>
                <w:lang w:val="en-US" w:eastAsia="zh-CN"/>
              </w:rPr>
              <w:t>漆</w:t>
            </w:r>
            <w:r>
              <w:rPr>
                <w:rFonts w:hint="eastAsia" w:cs="Times New Roman"/>
                <w:color w:val="auto"/>
                <w:highlight w:val="none"/>
                <w:lang w:val="en-US" w:eastAsia="zh-CN"/>
              </w:rPr>
              <w:t>料</w:t>
            </w:r>
            <w:r>
              <w:rPr>
                <w:rFonts w:hint="default" w:ascii="Times New Roman" w:hAnsi="Times New Roman" w:cs="Times New Roman"/>
                <w:color w:val="auto"/>
                <w:highlight w:val="none"/>
              </w:rPr>
              <w:t>涂料合计用量为</w:t>
            </w:r>
            <w:r>
              <w:rPr>
                <w:rFonts w:hint="eastAsia" w:cs="Times New Roman"/>
                <w:color w:val="auto"/>
                <w:highlight w:val="none"/>
                <w:lang w:val="en-US" w:eastAsia="zh-CN"/>
              </w:rPr>
              <w:t>9.648</w:t>
            </w:r>
            <w:r>
              <w:rPr>
                <w:rFonts w:hint="default" w:ascii="Times New Roman" w:hAnsi="Times New Roman" w:cs="Times New Roman"/>
                <w:color w:val="auto"/>
                <w:highlight w:val="none"/>
              </w:rPr>
              <w:t>t/a</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根据前文计算VOCs</w:t>
            </w:r>
            <w:r>
              <w:rPr>
                <w:rFonts w:hint="eastAsia" w:cs="Times New Roman"/>
                <w:color w:val="auto"/>
                <w:highlight w:val="none"/>
                <w:lang w:val="en-US" w:eastAsia="zh-CN"/>
              </w:rPr>
              <w:t>总</w:t>
            </w:r>
            <w:r>
              <w:rPr>
                <w:rFonts w:hint="eastAsia" w:ascii="Times New Roman" w:hAnsi="Times New Roman" w:cs="Times New Roman"/>
                <w:color w:val="auto"/>
                <w:highlight w:val="none"/>
                <w:lang w:val="en-US" w:eastAsia="zh-CN"/>
              </w:rPr>
              <w:t>产生量为</w:t>
            </w:r>
            <w:r>
              <w:rPr>
                <w:rFonts w:hint="eastAsia" w:cs="Times New Roman"/>
                <w:color w:val="auto"/>
                <w:highlight w:val="none"/>
                <w:lang w:val="en-US" w:eastAsia="zh-CN"/>
              </w:rPr>
              <w:t>0.9957+1.0288+0.2596+1.2491+0.0419+0.127=</w:t>
            </w:r>
            <w:r>
              <w:rPr>
                <w:rFonts w:hint="eastAsia" w:ascii="Times New Roman" w:hAnsi="Times New Roman" w:cs="Times New Roman"/>
                <w:color w:val="auto"/>
                <w:highlight w:val="none"/>
                <w:lang w:val="en-US" w:eastAsia="zh-CN"/>
              </w:rPr>
              <w:t>3</w:t>
            </w:r>
            <w:r>
              <w:rPr>
                <w:rFonts w:hint="eastAsia" w:cs="Times New Roman"/>
                <w:color w:val="auto"/>
                <w:highlight w:val="none"/>
                <w:lang w:val="en-US" w:eastAsia="zh-CN"/>
              </w:rPr>
              <w:t>.702</w:t>
            </w:r>
            <w:r>
              <w:rPr>
                <w:rFonts w:hint="eastAsia" w:ascii="Times New Roman" w:hAnsi="Times New Roman" w:cs="Times New Roman"/>
                <w:color w:val="auto"/>
                <w:highlight w:val="none"/>
                <w:lang w:val="en-US" w:eastAsia="zh-CN"/>
              </w:rPr>
              <w:t>t/a</w:t>
            </w:r>
            <w:r>
              <w:rPr>
                <w:rFonts w:hint="default" w:ascii="Times New Roman" w:hAnsi="Times New Roman" w:cs="Times New Roman"/>
                <w:color w:val="auto"/>
                <w:highlight w:val="none"/>
              </w:rPr>
              <w:t>。</w:t>
            </w:r>
            <w:r>
              <w:rPr>
                <w:rFonts w:hint="eastAsia" w:cs="Times New Roman"/>
                <w:color w:val="auto"/>
                <w:highlight w:val="none"/>
                <w:lang w:val="en-US" w:eastAsia="zh-CN"/>
              </w:rPr>
              <w:t>参照《污染源源强核算技术指南 汽车制造》（HJ 1097-2020）中附录E（资料性附录）-溶剂型涂料喷涂-空气喷涂-零部件喷涂-物料中挥发性有机物挥发量占比-喷涂75%、流平15%、烘干10%，本项目油漆喷漆和流平工序的挥发性有机物含量（合计为90%）进入喷漆废气设施处理，油漆中挥发性有机物含量10%进入固化废气处理设施处理。</w:t>
            </w:r>
            <w:r>
              <w:rPr>
                <w:rFonts w:hint="default" w:ascii="Times New Roman" w:hAnsi="Times New Roman" w:cs="Times New Roman"/>
                <w:color w:val="auto"/>
                <w:highlight w:val="none"/>
              </w:rPr>
              <w:t>根据</w:t>
            </w:r>
            <w:r>
              <w:rPr>
                <w:rFonts w:hint="eastAsia" w:ascii="Times New Roman" w:hAnsi="Times New Roman" w:cs="Times New Roman"/>
                <w:color w:val="auto"/>
                <w:highlight w:val="none"/>
                <w:lang w:val="en-US" w:eastAsia="zh-CN"/>
              </w:rPr>
              <w:t>物料</w:t>
            </w:r>
            <w:r>
              <w:rPr>
                <w:rFonts w:hint="default" w:ascii="Times New Roman" w:hAnsi="Times New Roman" w:cs="Times New Roman"/>
                <w:color w:val="auto"/>
                <w:highlight w:val="none"/>
              </w:rPr>
              <w:t>MSDS可知，</w:t>
            </w:r>
            <w:r>
              <w:rPr>
                <w:rFonts w:hint="eastAsia" w:cs="Times New Roman"/>
                <w:color w:val="auto"/>
                <w:highlight w:val="none"/>
                <w:lang w:val="en-US" w:eastAsia="zh-CN"/>
              </w:rPr>
              <w:t>稀释剂、</w:t>
            </w:r>
            <w:r>
              <w:rPr>
                <w:rFonts w:hint="eastAsia" w:ascii="Times New Roman" w:hAnsi="Times New Roman" w:cs="Times New Roman"/>
                <w:color w:val="auto"/>
                <w:highlight w:val="none"/>
                <w:lang w:val="en-US" w:eastAsia="zh-CN"/>
              </w:rPr>
              <w:t>底漆、面漆和清漆</w:t>
            </w:r>
            <w:r>
              <w:rPr>
                <w:rFonts w:hint="default" w:ascii="Times New Roman" w:hAnsi="Times New Roman" w:cs="Times New Roman"/>
                <w:color w:val="auto"/>
                <w:highlight w:val="none"/>
              </w:rPr>
              <w:t>包含二甲苯</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其中</w:t>
            </w:r>
            <w:r>
              <w:rPr>
                <w:rFonts w:hint="default" w:ascii="Times New Roman" w:hAnsi="Times New Roman" w:cs="Times New Roman"/>
                <w:color w:val="auto"/>
                <w:highlight w:val="none"/>
              </w:rPr>
              <w:t>二甲苯成分占比</w:t>
            </w:r>
            <w:r>
              <w:rPr>
                <w:rFonts w:hint="eastAsia" w:ascii="Times New Roman" w:hAnsi="Times New Roman" w:cs="Times New Roman"/>
                <w:color w:val="auto"/>
                <w:highlight w:val="none"/>
                <w:lang w:val="en-US" w:eastAsia="zh-CN"/>
              </w:rPr>
              <w:t>分别为</w:t>
            </w:r>
            <w:r>
              <w:rPr>
                <w:rFonts w:hint="eastAsia" w:cs="Times New Roman"/>
                <w:color w:val="auto"/>
                <w:highlight w:val="none"/>
                <w:lang w:val="en-US" w:eastAsia="zh-CN"/>
              </w:rPr>
              <w:t>70%、10</w:t>
            </w:r>
            <w:r>
              <w:rPr>
                <w:rFonts w:hint="eastAsia" w:ascii="Times New Roman" w:hAnsi="Times New Roman" w:cs="Times New Roman"/>
                <w:color w:val="auto"/>
                <w:highlight w:val="none"/>
                <w:lang w:val="en-US" w:eastAsia="zh-CN"/>
              </w:rPr>
              <w:t>%、</w:t>
            </w:r>
            <w:r>
              <w:rPr>
                <w:rFonts w:hint="eastAsia" w:cs="Times New Roman"/>
                <w:color w:val="auto"/>
                <w:highlight w:val="none"/>
                <w:lang w:val="en-US" w:eastAsia="zh-CN"/>
              </w:rPr>
              <w:t>11</w:t>
            </w:r>
            <w:r>
              <w:rPr>
                <w:rFonts w:hint="eastAsia" w:ascii="Times New Roman" w:hAnsi="Times New Roman" w:cs="Times New Roman"/>
                <w:color w:val="auto"/>
                <w:highlight w:val="none"/>
                <w:lang w:val="en-US" w:eastAsia="zh-CN"/>
              </w:rPr>
              <w:t>%、</w:t>
            </w:r>
            <w:r>
              <w:rPr>
                <w:rFonts w:hint="eastAsia" w:cs="Times New Roman"/>
                <w:color w:val="auto"/>
                <w:highlight w:val="none"/>
                <w:lang w:val="en-US" w:eastAsia="zh-CN"/>
              </w:rPr>
              <w:t>8.6</w:t>
            </w:r>
            <w:r>
              <w:rPr>
                <w:rFonts w:hint="eastAsia" w:ascii="Times New Roman" w:hAnsi="Times New Roman" w:cs="Times New Roman"/>
                <w:color w:val="auto"/>
                <w:highlight w:val="none"/>
                <w:lang w:val="en-US" w:eastAsia="zh-CN"/>
              </w:rPr>
              <w:t>%</w:t>
            </w:r>
            <w:r>
              <w:rPr>
                <w:rFonts w:hint="eastAsia" w:cs="Times New Roman"/>
                <w:color w:val="auto"/>
                <w:highlight w:val="none"/>
                <w:lang w:val="en-US" w:eastAsia="zh-CN"/>
              </w:rPr>
              <w:t>。</w:t>
            </w:r>
          </w:p>
          <w:p w14:paraId="1D92E740">
            <w:pPr>
              <w:pStyle w:val="158"/>
              <w:pageBreakBefore w:val="0"/>
              <w:wordWrap w:val="0"/>
              <w:topLinePunct/>
              <w:bidi w:val="0"/>
              <w:snapToGrid/>
              <w:spacing w:beforeAutospacing="0" w:afterAutospacing="0"/>
              <w:ind w:firstLine="480"/>
              <w:rPr>
                <w:rFonts w:hint="default" w:ascii="Times New Roman" w:hAnsi="Times New Roman" w:cs="Times New Roman"/>
                <w:color w:val="auto"/>
                <w:highlight w:val="none"/>
              </w:rPr>
            </w:pPr>
            <w:r>
              <w:rPr>
                <w:rFonts w:hint="eastAsia" w:cs="Times New Roman"/>
                <w:color w:val="auto"/>
                <w:highlight w:val="none"/>
                <w:lang w:val="en-US" w:eastAsia="zh-CN"/>
              </w:rPr>
              <w:t>油漆中VOCs90%在喷漆流平工序挥发，剩余10%在固化工序挥发，且该喷枪清洗剂以50%进入VOCs废气计，另50%进入喷枪废液。则喷漆房VOCs产生量为（0.9957+1.0288+0.2596）×0.9+1.2491+0.0419=3.3467t/a，喷漆房苯系物产生量为(0.4186+0.3695+0.0909)×0.9+0.8743=1.6655t</w:t>
            </w:r>
            <w:r>
              <w:rPr>
                <w:rFonts w:hint="default" w:ascii="Times New Roman" w:hAnsi="Times New Roman" w:cs="Times New Roman"/>
                <w:color w:val="auto"/>
                <w:highlight w:val="none"/>
              </w:rPr>
              <w:t>/a</w:t>
            </w:r>
            <w:r>
              <w:rPr>
                <w:rFonts w:hint="eastAsia" w:cs="Times New Roman"/>
                <w:color w:val="auto"/>
                <w:highlight w:val="none"/>
                <w:lang w:eastAsia="zh-CN"/>
              </w:rPr>
              <w:t>。</w:t>
            </w:r>
            <w:r>
              <w:rPr>
                <w:rFonts w:hint="eastAsia" w:cs="Times New Roman"/>
                <w:color w:val="auto"/>
                <w:highlight w:val="none"/>
                <w:lang w:val="en-US" w:eastAsia="zh-CN"/>
              </w:rPr>
              <w:t>固化工序：VOCs</w:t>
            </w:r>
            <w:r>
              <w:rPr>
                <w:rFonts w:hint="eastAsia" w:cs="Times New Roman"/>
                <w:color w:val="auto"/>
                <w:highlight w:val="none"/>
                <w:lang w:eastAsia="zh-CN"/>
              </w:rPr>
              <w:t>（</w:t>
            </w:r>
            <w:r>
              <w:rPr>
                <w:rFonts w:hint="eastAsia" w:cs="Times New Roman"/>
                <w:color w:val="auto"/>
                <w:highlight w:val="none"/>
                <w:lang w:val="en-US" w:eastAsia="zh-CN"/>
              </w:rPr>
              <w:t>0.9957+1.0288+0.2596）×0.1+0.127=0.3554t/a</w:t>
            </w:r>
            <w:r>
              <w:rPr>
                <w:rFonts w:hint="eastAsia" w:cs="Times New Roman"/>
                <w:color w:val="auto"/>
                <w:highlight w:val="none"/>
                <w:lang w:eastAsia="zh-CN"/>
              </w:rPr>
              <w:t>；</w:t>
            </w:r>
            <w:r>
              <w:rPr>
                <w:rFonts w:hint="eastAsia" w:cs="Times New Roman"/>
                <w:color w:val="auto"/>
                <w:highlight w:val="none"/>
                <w:lang w:val="en-US" w:eastAsia="zh-CN"/>
              </w:rPr>
              <w:t>苯系物(0.4186+0.3695+0.0909)×0.1=0.0879t/a。</w:t>
            </w:r>
          </w:p>
          <w:p w14:paraId="7D9FECE8">
            <w:pPr>
              <w:pStyle w:val="158"/>
              <w:wordWrap w:val="0"/>
              <w:topLinePunct/>
              <w:snapToGrid/>
              <w:spacing w:line="240" w:lineRule="auto"/>
              <w:ind w:firstLine="0" w:firstLineChars="0"/>
              <w:jc w:val="center"/>
              <w:rPr>
                <w:b/>
                <w:bCs/>
                <w:color w:val="auto"/>
                <w:sz w:val="21"/>
                <w:szCs w:val="21"/>
                <w:highlight w:val="none"/>
              </w:rPr>
            </w:pPr>
            <w:r>
              <w:rPr>
                <w:b/>
                <w:bCs/>
                <w:color w:val="auto"/>
                <w:sz w:val="21"/>
                <w:szCs w:val="21"/>
                <w:highlight w:val="none"/>
              </w:rPr>
              <w:t>表</w:t>
            </w:r>
            <w:r>
              <w:rPr>
                <w:rFonts w:hint="eastAsia"/>
                <w:b/>
                <w:bCs/>
                <w:color w:val="auto"/>
                <w:sz w:val="21"/>
                <w:szCs w:val="21"/>
                <w:highlight w:val="none"/>
                <w:lang w:val="en-US" w:eastAsia="zh-CN"/>
              </w:rPr>
              <w:t xml:space="preserve">4-15  </w:t>
            </w:r>
            <w:r>
              <w:rPr>
                <w:b/>
                <w:bCs/>
                <w:color w:val="auto"/>
                <w:sz w:val="21"/>
                <w:szCs w:val="21"/>
                <w:highlight w:val="none"/>
              </w:rPr>
              <w:t xml:space="preserve"> 项目</w:t>
            </w:r>
            <w:r>
              <w:rPr>
                <w:rFonts w:hint="eastAsia"/>
                <w:b/>
                <w:bCs/>
                <w:color w:val="auto"/>
                <w:sz w:val="21"/>
                <w:szCs w:val="21"/>
                <w:highlight w:val="none"/>
                <w:lang w:val="en-US" w:eastAsia="zh-CN"/>
              </w:rPr>
              <w:t>VOCs</w:t>
            </w:r>
            <w:r>
              <w:rPr>
                <w:rFonts w:hint="eastAsia"/>
                <w:b/>
                <w:bCs/>
                <w:color w:val="auto"/>
                <w:sz w:val="21"/>
                <w:szCs w:val="21"/>
                <w:highlight w:val="none"/>
              </w:rPr>
              <w:t>产</w:t>
            </w:r>
            <w:r>
              <w:rPr>
                <w:rFonts w:hint="eastAsia"/>
                <w:b/>
                <w:bCs/>
                <w:color w:val="auto"/>
                <w:sz w:val="21"/>
                <w:szCs w:val="21"/>
                <w:highlight w:val="none"/>
                <w:lang w:val="en-US" w:eastAsia="zh-CN"/>
              </w:rPr>
              <w:t>生情况一览表</w:t>
            </w:r>
          </w:p>
          <w:tbl>
            <w:tblPr>
              <w:tblStyle w:val="48"/>
              <w:tblW w:w="830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73"/>
              <w:gridCol w:w="959"/>
              <w:gridCol w:w="1227"/>
              <w:gridCol w:w="1244"/>
              <w:gridCol w:w="1201"/>
              <w:gridCol w:w="1201"/>
              <w:gridCol w:w="1201"/>
            </w:tblGrid>
            <w:tr w14:paraId="364BC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2C0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漆种类</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ADC0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底漆</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567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面漆</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55F0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清漆</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2654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配漆稀释剂</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2D12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喷枪清洗剂</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507A">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粉末涂料</w:t>
                  </w:r>
                </w:p>
              </w:tc>
            </w:tr>
            <w:tr w14:paraId="38914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3AC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用量</w:t>
                  </w:r>
                  <w:r>
                    <w:rPr>
                      <w:rFonts w:hint="default" w:ascii="Times New Roman" w:hAnsi="Times New Roman" w:eastAsia="宋体" w:cs="Times New Roman"/>
                      <w:i w:val="0"/>
                      <w:iCs w:val="0"/>
                      <w:color w:val="auto"/>
                      <w:kern w:val="0"/>
                      <w:sz w:val="21"/>
                      <w:szCs w:val="21"/>
                      <w:u w:val="none"/>
                      <w:lang w:val="en-US" w:eastAsia="zh-CN" w:bidi="ar"/>
                    </w:rPr>
                    <w:t>t/a</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7C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4.186 </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81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3.359 </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2E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1.057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F75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1.249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84D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B0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105.857 </w:t>
                  </w:r>
                </w:p>
              </w:tc>
            </w:tr>
            <w:tr w14:paraId="509C8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0FB7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密度</w:t>
                  </w:r>
                  <w:r>
                    <w:rPr>
                      <w:rFonts w:hint="default" w:ascii="Times New Roman" w:hAnsi="Times New Roman" w:eastAsia="宋体" w:cs="Times New Roman"/>
                      <w:i w:val="0"/>
                      <w:iCs w:val="0"/>
                      <w:color w:val="auto"/>
                      <w:kern w:val="0"/>
                      <w:sz w:val="21"/>
                      <w:szCs w:val="21"/>
                      <w:u w:val="none"/>
                      <w:lang w:val="en-US" w:eastAsia="zh-CN" w:bidi="ar"/>
                    </w:rPr>
                    <w:t>g/cm</w:t>
                  </w:r>
                  <w:r>
                    <w:rPr>
                      <w:rFonts w:hint="default" w:ascii="Times New Roman" w:hAnsi="Times New Roman" w:eastAsia="宋体" w:cs="Times New Roman"/>
                      <w:i w:val="0"/>
                      <w:iCs w:val="0"/>
                      <w:color w:val="auto"/>
                      <w:kern w:val="0"/>
                      <w:sz w:val="21"/>
                      <w:szCs w:val="21"/>
                      <w:u w:val="none"/>
                      <w:vertAlign w:val="superscript"/>
                      <w:lang w:val="en-US" w:eastAsia="zh-CN" w:bidi="ar"/>
                    </w:rPr>
                    <w:t>3</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89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1.173</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D9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1.071</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10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1.173</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52B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0.892</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BE48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0.828 </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06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5E811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28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VOCs</w:t>
                  </w:r>
                  <w:r>
                    <w:rPr>
                      <w:rFonts w:hint="eastAsia" w:ascii="宋体" w:hAnsi="宋体" w:eastAsia="宋体" w:cs="宋体"/>
                      <w:i w:val="0"/>
                      <w:iCs w:val="0"/>
                      <w:color w:val="auto"/>
                      <w:kern w:val="0"/>
                      <w:sz w:val="21"/>
                      <w:szCs w:val="21"/>
                      <w:u w:val="none"/>
                      <w:lang w:val="en-US" w:eastAsia="zh-CN" w:bidi="ar"/>
                    </w:rPr>
                    <w:t>含量</w:t>
                  </w:r>
                  <w:r>
                    <w:rPr>
                      <w:rFonts w:hint="default" w:ascii="Times New Roman" w:hAnsi="Times New Roman" w:eastAsia="宋体" w:cs="Times New Roman"/>
                      <w:i w:val="0"/>
                      <w:iCs w:val="0"/>
                      <w:color w:val="auto"/>
                      <w:kern w:val="0"/>
                      <w:sz w:val="21"/>
                      <w:szCs w:val="21"/>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FC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23.7852%</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D59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30.6256%</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3D9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24.5524%</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7AB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D60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1A5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1.2kg/t</w:t>
                  </w:r>
                  <w:r>
                    <w:rPr>
                      <w:rFonts w:hint="eastAsia" w:ascii="宋体" w:hAnsi="宋体" w:eastAsia="宋体" w:cs="宋体"/>
                      <w:i w:val="0"/>
                      <w:iCs w:val="0"/>
                      <w:color w:val="auto"/>
                      <w:kern w:val="0"/>
                      <w:sz w:val="21"/>
                      <w:szCs w:val="21"/>
                      <w:u w:val="none"/>
                      <w:lang w:val="en-US" w:eastAsia="zh-CN" w:bidi="ar"/>
                    </w:rPr>
                    <w:t>粉末涂料</w:t>
                  </w:r>
                </w:p>
              </w:tc>
            </w:tr>
            <w:tr w14:paraId="2F734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4B0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VOCs</w:t>
                  </w:r>
                  <w:r>
                    <w:rPr>
                      <w:rFonts w:hint="eastAsia" w:ascii="宋体" w:hAnsi="宋体" w:eastAsia="宋体" w:cs="宋体"/>
                      <w:i w:val="0"/>
                      <w:iCs w:val="0"/>
                      <w:color w:val="auto"/>
                      <w:kern w:val="0"/>
                      <w:sz w:val="21"/>
                      <w:szCs w:val="21"/>
                      <w:u w:val="none"/>
                      <w:lang w:val="en-US" w:eastAsia="zh-CN" w:bidi="ar"/>
                    </w:rPr>
                    <w:t>产生量</w:t>
                  </w:r>
                  <w:r>
                    <w:rPr>
                      <w:rFonts w:hint="default" w:ascii="Times New Roman" w:hAnsi="Times New Roman" w:eastAsia="宋体" w:cs="Times New Roman"/>
                      <w:i w:val="0"/>
                      <w:iCs w:val="0"/>
                      <w:color w:val="auto"/>
                      <w:kern w:val="0"/>
                      <w:sz w:val="21"/>
                      <w:szCs w:val="21"/>
                      <w:u w:val="none"/>
                      <w:lang w:val="en-US" w:eastAsia="zh-CN" w:bidi="ar"/>
                    </w:rPr>
                    <w:t>t/a</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8C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0.9957 </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70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1.0288 </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2E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0.2596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151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1.2491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130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0.0419 </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3DA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0.1270 </w:t>
                  </w:r>
                </w:p>
              </w:tc>
            </w:tr>
            <w:tr w14:paraId="2A0F5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8C6E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二甲苯含量</w:t>
                  </w:r>
                  <w:r>
                    <w:rPr>
                      <w:rFonts w:hint="default" w:ascii="Times New Roman" w:hAnsi="Times New Roman" w:eastAsia="宋体" w:cs="Times New Roman"/>
                      <w:i w:val="0"/>
                      <w:iCs w:val="0"/>
                      <w:color w:val="auto"/>
                      <w:kern w:val="0"/>
                      <w:sz w:val="21"/>
                      <w:szCs w:val="21"/>
                      <w:u w:val="none"/>
                      <w:lang w:val="en-US" w:eastAsia="zh-CN" w:bidi="ar"/>
                    </w:rPr>
                    <w:t>%</w:t>
                  </w:r>
                </w:p>
              </w:tc>
              <w:tc>
                <w:tcPr>
                  <w:tcW w:w="9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9F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11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C31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8.6%</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3CD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DE132">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DE9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1DEBE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471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二甲苯产生量合计</w:t>
                  </w:r>
                  <w:r>
                    <w:rPr>
                      <w:rFonts w:hint="default" w:ascii="Times New Roman" w:hAnsi="Times New Roman" w:eastAsia="宋体" w:cs="Times New Roman"/>
                      <w:i w:val="0"/>
                      <w:iCs w:val="0"/>
                      <w:color w:val="auto"/>
                      <w:kern w:val="0"/>
                      <w:sz w:val="21"/>
                      <w:szCs w:val="21"/>
                      <w:u w:val="none"/>
                      <w:lang w:val="en-US" w:eastAsia="zh-CN" w:bidi="ar"/>
                    </w:rPr>
                    <w:t>t/a</w:t>
                  </w:r>
                </w:p>
              </w:tc>
              <w:tc>
                <w:tcPr>
                  <w:tcW w:w="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B0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0.4186 </w:t>
                  </w:r>
                </w:p>
              </w:tc>
              <w:tc>
                <w:tcPr>
                  <w:tcW w:w="12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C5C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0.3695 </w:t>
                  </w:r>
                </w:p>
              </w:tc>
              <w:tc>
                <w:tcPr>
                  <w:tcW w:w="12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2AA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0.0909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CDF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0.8743 </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25666">
                  <w:pPr>
                    <w:keepNext w:val="0"/>
                    <w:keepLines w:val="0"/>
                    <w:widowControl/>
                    <w:suppressLineNumbers w:val="0"/>
                    <w:jc w:val="center"/>
                    <w:textAlignment w:val="center"/>
                    <w:rPr>
                      <w:rFonts w:hint="eastAsia" w:ascii="Times New Roman" w:hAnsi="Times New Roman" w:eastAsia="宋体"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w:t>
                  </w: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6C8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6812A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30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0AADE">
                  <w:pPr>
                    <w:keepNext w:val="0"/>
                    <w:keepLines w:val="0"/>
                    <w:widowControl/>
                    <w:suppressLineNumbers w:val="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喷枪清洗剂以</w:t>
                  </w:r>
                  <w:r>
                    <w:rPr>
                      <w:rFonts w:hint="default" w:ascii="Times New Roman" w:hAnsi="Times New Roman" w:eastAsia="宋体" w:cs="Times New Roman"/>
                      <w:i w:val="0"/>
                      <w:iCs w:val="0"/>
                      <w:color w:val="auto"/>
                      <w:kern w:val="0"/>
                      <w:sz w:val="21"/>
                      <w:szCs w:val="21"/>
                      <w:u w:val="none"/>
                      <w:lang w:val="en-US" w:eastAsia="zh-CN" w:bidi="ar"/>
                    </w:rPr>
                    <w:t>50%</w:t>
                  </w:r>
                  <w:r>
                    <w:rPr>
                      <w:rFonts w:hint="eastAsia" w:ascii="宋体" w:hAnsi="宋体" w:eastAsia="宋体" w:cs="宋体"/>
                      <w:i w:val="0"/>
                      <w:iCs w:val="0"/>
                      <w:color w:val="auto"/>
                      <w:kern w:val="0"/>
                      <w:sz w:val="21"/>
                      <w:szCs w:val="21"/>
                      <w:u w:val="none"/>
                      <w:lang w:val="en-US" w:eastAsia="zh-CN" w:bidi="ar"/>
                    </w:rPr>
                    <w:t>挥发计，其余</w:t>
                  </w:r>
                  <w:r>
                    <w:rPr>
                      <w:rFonts w:hint="default" w:ascii="Times New Roman" w:hAnsi="Times New Roman" w:eastAsia="宋体" w:cs="Times New Roman"/>
                      <w:i w:val="0"/>
                      <w:iCs w:val="0"/>
                      <w:color w:val="auto"/>
                      <w:kern w:val="0"/>
                      <w:sz w:val="21"/>
                      <w:szCs w:val="21"/>
                      <w:u w:val="none"/>
                      <w:lang w:val="en-US" w:eastAsia="zh-CN" w:bidi="ar"/>
                    </w:rPr>
                    <w:t>50%</w:t>
                  </w:r>
                  <w:r>
                    <w:rPr>
                      <w:rFonts w:hint="eastAsia" w:ascii="宋体" w:hAnsi="宋体" w:eastAsia="宋体" w:cs="宋体"/>
                      <w:i w:val="0"/>
                      <w:iCs w:val="0"/>
                      <w:color w:val="auto"/>
                      <w:kern w:val="0"/>
                      <w:sz w:val="21"/>
                      <w:szCs w:val="21"/>
                      <w:u w:val="none"/>
                      <w:lang w:val="en-US" w:eastAsia="zh-CN" w:bidi="ar"/>
                    </w:rPr>
                    <w:t>进入危险废物</w:t>
                  </w:r>
                </w:p>
              </w:tc>
            </w:tr>
          </w:tbl>
          <w:p w14:paraId="77DA27AD">
            <w:pPr>
              <w:pStyle w:val="158"/>
              <w:pageBreakBefore w:val="0"/>
              <w:numPr>
                <w:ilvl w:val="0"/>
                <w:numId w:val="0"/>
              </w:numPr>
              <w:wordWrap w:val="0"/>
              <w:topLinePunct/>
              <w:bidi w:val="0"/>
              <w:snapToGrid/>
              <w:spacing w:beforeAutospacing="0" w:afterAutospacing="0"/>
              <w:rPr>
                <w:rFonts w:hint="default" w:ascii="Times New Roman" w:hAnsi="Times New Roman" w:cs="Times New Roman"/>
                <w:color w:val="auto"/>
                <w:highlight w:val="none"/>
              </w:rPr>
            </w:pPr>
          </w:p>
          <w:p w14:paraId="3E0356E2">
            <w:pPr>
              <w:pStyle w:val="158"/>
              <w:pageBreakBefore w:val="0"/>
              <w:numPr>
                <w:ilvl w:val="0"/>
                <w:numId w:val="0"/>
              </w:numPr>
              <w:wordWrap w:val="0"/>
              <w:topLinePunct/>
              <w:bidi w:val="0"/>
              <w:snapToGrid/>
              <w:spacing w:beforeAutospacing="0" w:afterAutospacing="0"/>
              <w:ind w:firstLine="482"/>
              <w:rPr>
                <w:rFonts w:hint="default" w:ascii="Times New Roman" w:hAnsi="Times New Roman" w:cs="Times New Roman"/>
                <w:color w:val="auto"/>
                <w:highlight w:val="none"/>
              </w:rPr>
            </w:pPr>
            <w:r>
              <w:rPr>
                <w:rFonts w:hint="eastAsia"/>
                <w:color w:val="auto"/>
                <w:highlight w:val="none"/>
                <w:lang w:val="en-US" w:eastAsia="zh-CN"/>
              </w:rPr>
              <w:object>
                <v:shape id="_x0000_i1028" o:spt="75" type="#_x0000_t75" style="height:417.75pt;width:351.75pt;" o:ole="t" filled="f" o:preferrelative="t" stroked="f" coordsize="21600,21600">
                  <v:path/>
                  <v:fill on="f" focussize="0,0"/>
                  <v:stroke on="f"/>
                  <v:imagedata r:id="rId27" o:title=""/>
                  <o:lock v:ext="edit" aspectratio="f"/>
                  <w10:wrap type="none"/>
                  <w10:anchorlock/>
                </v:shape>
                <o:OLEObject Type="Embed" ProgID="Visio.Drawing.15" ShapeID="_x0000_i1028" DrawAspect="Content" ObjectID="_1468075728" r:id="rId26">
                  <o:LockedField>false</o:LockedField>
                </o:OLEObject>
              </w:object>
            </w:r>
          </w:p>
          <w:p w14:paraId="1B893E8E">
            <w:pPr>
              <w:pStyle w:val="158"/>
              <w:pageBreakBefore w:val="0"/>
              <w:numPr>
                <w:ilvl w:val="0"/>
                <w:numId w:val="0"/>
              </w:numPr>
              <w:wordWrap w:val="0"/>
              <w:topLinePunct/>
              <w:bidi w:val="0"/>
              <w:snapToGrid/>
              <w:spacing w:beforeAutospacing="0" w:afterAutospacing="0"/>
              <w:ind w:firstLine="482"/>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图4-2  VOCs产生排放平衡图</w:t>
            </w:r>
          </w:p>
          <w:p w14:paraId="4CF1BD5C">
            <w:pPr>
              <w:pStyle w:val="158"/>
              <w:pageBreakBefore w:val="0"/>
              <w:numPr>
                <w:ilvl w:val="0"/>
                <w:numId w:val="0"/>
              </w:numPr>
              <w:wordWrap w:val="0"/>
              <w:topLinePunct/>
              <w:bidi w:val="0"/>
              <w:snapToGrid/>
              <w:spacing w:beforeAutospacing="0" w:afterAutospacing="0"/>
              <w:ind w:firstLine="482"/>
              <w:rPr>
                <w:rFonts w:hint="default" w:ascii="Times New Roman" w:hAnsi="Times New Roman" w:eastAsia="宋体" w:cs="Times New Roman"/>
                <w:color w:val="auto"/>
                <w:highlight w:val="none"/>
                <w:lang w:val="en-US" w:eastAsia="zh-CN"/>
              </w:rPr>
            </w:pPr>
            <w:r>
              <w:rPr>
                <w:color w:val="auto"/>
                <w:highlight w:val="none"/>
              </w:rPr>
              <w:t>根据《广东省工业源挥发性有机物减排量核算方法（2023年修订版）》（粤环函〔2023〕538 号）中“表3.3-2 废气收集集气效率参考值”的说明</w:t>
            </w:r>
            <w:r>
              <w:rPr>
                <w:rFonts w:hint="eastAsia"/>
                <w:color w:val="auto"/>
                <w:highlight w:val="none"/>
                <w:lang w:eastAsia="zh-CN"/>
              </w:rPr>
              <w:t>，</w:t>
            </w:r>
            <w:r>
              <w:rPr>
                <w:rFonts w:hint="eastAsia"/>
                <w:color w:val="auto"/>
                <w:highlight w:val="none"/>
                <w:lang w:val="en-US" w:eastAsia="zh-CN"/>
              </w:rPr>
              <w:t>②</w:t>
            </w:r>
            <w:r>
              <w:rPr>
                <w:color w:val="auto"/>
                <w:highlight w:val="none"/>
              </w:rPr>
              <w:t>当废气收集类型为“全密封设备/空间”，废气收集方式为“单层密闭负压”，收集情况为“VOCs产生源设置在密闭车间、密闭设备（含反应釜）、密闭管道内，所有开口处，包括人员或物料进出口处呈负压”，此时收集效率可取90%</w:t>
            </w:r>
            <w:r>
              <w:rPr>
                <w:rFonts w:hint="eastAsia"/>
                <w:color w:val="auto"/>
                <w:highlight w:val="none"/>
                <w:lang w:eastAsia="zh-CN"/>
              </w:rPr>
              <w:t>。</w:t>
            </w:r>
            <w:r>
              <w:rPr>
                <w:rFonts w:hint="eastAsia" w:ascii="Times New Roman" w:hAnsi="Times New Roman" w:cs="Times New Roman"/>
                <w:color w:val="auto"/>
                <w:highlight w:val="none"/>
                <w:lang w:val="en-US" w:eastAsia="zh-CN"/>
              </w:rPr>
              <w:t>项目喷漆房、流平室、调漆间和危废间均为单层密闭负压空间，收集效率为90%。</w:t>
            </w:r>
          </w:p>
          <w:p w14:paraId="493CF764">
            <w:pPr>
              <w:pStyle w:val="158"/>
              <w:pageBreakBefore w:val="0"/>
              <w:wordWrap w:val="0"/>
              <w:topLinePunct/>
              <w:bidi w:val="0"/>
              <w:snapToGrid/>
              <w:spacing w:beforeAutospacing="0" w:afterAutospacing="0"/>
              <w:ind w:firstLine="480"/>
              <w:rPr>
                <w:color w:val="auto"/>
                <w:highlight w:val="none"/>
              </w:rPr>
            </w:pPr>
            <w:r>
              <w:rPr>
                <w:rFonts w:hint="eastAsia" w:ascii="Times New Roman" w:hAnsi="Times New Roman" w:cs="Times New Roman"/>
                <w:color w:val="auto"/>
                <w:highlight w:val="none"/>
                <w:lang w:val="en-US" w:eastAsia="zh-CN"/>
              </w:rPr>
              <w:t>项目喷房尺寸为</w:t>
            </w:r>
            <w:r>
              <w:rPr>
                <w:rFonts w:hint="eastAsia" w:ascii="Times New Roman" w:hAnsi="Times New Roman" w:eastAsia="宋体" w:cs="Times New Roman"/>
                <w:i w:val="0"/>
                <w:iCs w:val="0"/>
                <w:color w:val="auto"/>
                <w:kern w:val="0"/>
                <w:sz w:val="24"/>
                <w:szCs w:val="24"/>
                <w:u w:val="none"/>
                <w:lang w:val="en-US" w:eastAsia="zh-CN" w:bidi="ar"/>
              </w:rPr>
              <w:t>16m*5m*3.5m，流平室尺寸为13.5m*5m*3.5m，调漆间、危废间废气一同汇入喷漆废气处理设施处理。</w:t>
            </w:r>
            <w:r>
              <w:rPr>
                <w:rFonts w:hint="eastAsia" w:cs="Times New Roman"/>
                <w:i w:val="0"/>
                <w:iCs w:val="0"/>
                <w:color w:val="auto"/>
                <w:kern w:val="0"/>
                <w:sz w:val="24"/>
                <w:szCs w:val="24"/>
                <w:u w:val="none"/>
                <w:lang w:val="en-US" w:eastAsia="zh-CN" w:bidi="ar"/>
              </w:rPr>
              <w:t>参考</w:t>
            </w:r>
            <w:r>
              <w:rPr>
                <w:color w:val="auto"/>
                <w:kern w:val="0"/>
                <w:highlight w:val="none"/>
              </w:rPr>
              <w:t>《广东省表面涂装（汽车制造业）挥发性有机废气治理技术指南》，废气捕集率评价方法：按照车间空间体积和60次/小时换气次数计算新风量</w:t>
            </w:r>
            <w:r>
              <w:rPr>
                <w:rFonts w:hint="eastAsia"/>
                <w:color w:val="auto"/>
                <w:highlight w:val="none"/>
                <w:lang w:eastAsia="zh-CN"/>
              </w:rPr>
              <w:t>；</w:t>
            </w:r>
            <w:r>
              <w:rPr>
                <w:color w:val="auto"/>
                <w:highlight w:val="none"/>
              </w:rPr>
              <w:t>其余生产车间</w:t>
            </w:r>
            <w:r>
              <w:rPr>
                <w:rFonts w:hint="eastAsia"/>
                <w:color w:val="auto"/>
                <w:highlight w:val="none"/>
                <w:lang w:val="en-US" w:eastAsia="zh-CN"/>
              </w:rPr>
              <w:t>区域</w:t>
            </w:r>
            <w:r>
              <w:rPr>
                <w:color w:val="auto"/>
                <w:highlight w:val="none"/>
              </w:rPr>
              <w:t>按需设置集气罩，</w:t>
            </w:r>
            <w:r>
              <w:rPr>
                <w:rFonts w:hint="eastAsia"/>
                <w:color w:val="auto"/>
                <w:highlight w:val="none"/>
                <w:lang w:val="en-US" w:eastAsia="zh-CN"/>
              </w:rPr>
              <w:t>危险废物贮存间参考</w:t>
            </w:r>
            <w:r>
              <w:rPr>
                <w:rFonts w:hint="eastAsia"/>
                <w:color w:val="auto"/>
                <w:highlight w:val="none"/>
              </w:rPr>
              <w:t>《工业企业设计卫生标准》（GBZ 1-2010）：事故通风换气次数不宜低于12次/h</w:t>
            </w:r>
            <w:r>
              <w:rPr>
                <w:rFonts w:hint="eastAsia"/>
                <w:color w:val="auto"/>
                <w:highlight w:val="none"/>
                <w:lang w:eastAsia="zh-CN"/>
              </w:rPr>
              <w:t>。</w:t>
            </w:r>
            <w:r>
              <w:rPr>
                <w:color w:val="auto"/>
                <w:highlight w:val="none"/>
              </w:rPr>
              <w:t>①矩形集气罩风量计算</w:t>
            </w:r>
          </w:p>
          <w:p w14:paraId="00481ADA">
            <w:pPr>
              <w:pStyle w:val="158"/>
              <w:pageBreakBefore w:val="0"/>
              <w:wordWrap w:val="0"/>
              <w:topLinePunct/>
              <w:bidi w:val="0"/>
              <w:snapToGrid/>
              <w:spacing w:beforeAutospacing="0" w:afterAutospacing="0"/>
              <w:ind w:firstLine="480"/>
              <w:rPr>
                <w:color w:val="auto"/>
                <w:highlight w:val="none"/>
              </w:rPr>
            </w:pPr>
            <w:r>
              <w:rPr>
                <w:color w:val="auto"/>
                <w:highlight w:val="none"/>
              </w:rPr>
              <w:t>参考《简明通风设计手册》（主编：孙一坚）中矩形排风罩四周无边的排风量计算公式：</w:t>
            </w:r>
          </w:p>
          <w:p w14:paraId="12B0F900">
            <w:pPr>
              <w:pStyle w:val="158"/>
              <w:pageBreakBefore w:val="0"/>
              <w:wordWrap w:val="0"/>
              <w:topLinePunct/>
              <w:bidi w:val="0"/>
              <w:snapToGrid/>
              <w:spacing w:beforeAutospacing="0" w:afterAutospacing="0"/>
              <w:ind w:firstLine="0" w:firstLineChars="0"/>
              <w:jc w:val="center"/>
              <w:rPr>
                <w:color w:val="auto"/>
                <w:highlight w:val="none"/>
              </w:rPr>
            </w:pPr>
            <w:r>
              <w:rPr>
                <w:color w:val="auto"/>
                <w:highlight w:val="none"/>
              </w:rPr>
              <w:t>Q=KPHVx</w:t>
            </w:r>
          </w:p>
          <w:p w14:paraId="50C386CF">
            <w:pPr>
              <w:pStyle w:val="158"/>
              <w:pageBreakBefore w:val="0"/>
              <w:wordWrap w:val="0"/>
              <w:topLinePunct/>
              <w:bidi w:val="0"/>
              <w:snapToGrid/>
              <w:spacing w:beforeAutospacing="0" w:afterAutospacing="0"/>
              <w:ind w:firstLine="480"/>
              <w:rPr>
                <w:color w:val="auto"/>
                <w:highlight w:val="none"/>
              </w:rPr>
            </w:pPr>
            <w:r>
              <w:rPr>
                <w:color w:val="auto"/>
                <w:highlight w:val="none"/>
              </w:rPr>
              <w:t>式中：Q---集气罩排风量，m</w:t>
            </w:r>
            <w:r>
              <w:rPr>
                <w:color w:val="auto"/>
                <w:highlight w:val="none"/>
                <w:vertAlign w:val="superscript"/>
              </w:rPr>
              <w:t>3</w:t>
            </w:r>
            <w:r>
              <w:rPr>
                <w:color w:val="auto"/>
                <w:highlight w:val="none"/>
              </w:rPr>
              <w:t>/s；</w:t>
            </w:r>
          </w:p>
          <w:p w14:paraId="14BD8C7D">
            <w:pPr>
              <w:pStyle w:val="158"/>
              <w:pageBreakBefore w:val="0"/>
              <w:wordWrap w:val="0"/>
              <w:topLinePunct/>
              <w:bidi w:val="0"/>
              <w:snapToGrid/>
              <w:spacing w:beforeAutospacing="0" w:afterAutospacing="0"/>
              <w:ind w:firstLine="1200" w:firstLineChars="500"/>
              <w:rPr>
                <w:color w:val="auto"/>
                <w:highlight w:val="none"/>
              </w:rPr>
            </w:pPr>
            <w:r>
              <w:rPr>
                <w:color w:val="auto"/>
                <w:highlight w:val="none"/>
              </w:rPr>
              <w:t>P---罩口的周长，m；</w:t>
            </w:r>
          </w:p>
          <w:p w14:paraId="44B6A6BB">
            <w:pPr>
              <w:pStyle w:val="158"/>
              <w:pageBreakBefore w:val="0"/>
              <w:wordWrap w:val="0"/>
              <w:topLinePunct/>
              <w:bidi w:val="0"/>
              <w:snapToGrid/>
              <w:spacing w:beforeAutospacing="0" w:afterAutospacing="0"/>
              <w:ind w:firstLine="1200" w:firstLineChars="500"/>
              <w:rPr>
                <w:color w:val="auto"/>
                <w:highlight w:val="none"/>
              </w:rPr>
            </w:pPr>
            <w:r>
              <w:rPr>
                <w:color w:val="auto"/>
                <w:highlight w:val="none"/>
              </w:rPr>
              <w:t>H---控制点至吸气口的距离，取0.5m；</w:t>
            </w:r>
          </w:p>
          <w:p w14:paraId="1F6DAA42">
            <w:pPr>
              <w:pStyle w:val="158"/>
              <w:pageBreakBefore w:val="0"/>
              <w:wordWrap w:val="0"/>
              <w:topLinePunct/>
              <w:bidi w:val="0"/>
              <w:snapToGrid/>
              <w:spacing w:beforeAutospacing="0" w:afterAutospacing="0"/>
              <w:ind w:firstLine="1200" w:firstLineChars="500"/>
              <w:rPr>
                <w:color w:val="auto"/>
                <w:highlight w:val="none"/>
              </w:rPr>
            </w:pPr>
            <w:r>
              <w:rPr>
                <w:color w:val="auto"/>
                <w:highlight w:val="none"/>
              </w:rPr>
              <w:t>V</w:t>
            </w:r>
            <w:r>
              <w:rPr>
                <w:color w:val="auto"/>
                <w:highlight w:val="none"/>
                <w:vertAlign w:val="subscript"/>
              </w:rPr>
              <w:t>x</w:t>
            </w:r>
            <w:r>
              <w:rPr>
                <w:color w:val="auto"/>
                <w:highlight w:val="none"/>
              </w:rPr>
              <w:t>---最小控制风速，m/s（项目污染物放散情况以缓慢的速度放散至平静的空气中，一般取0.25～0.5m/s，为保证收集效率，本项目最小控制风速取0.5m/s）；</w:t>
            </w:r>
          </w:p>
          <w:p w14:paraId="7D0922DB">
            <w:pPr>
              <w:pStyle w:val="158"/>
              <w:pageBreakBefore w:val="0"/>
              <w:wordWrap w:val="0"/>
              <w:topLinePunct/>
              <w:bidi w:val="0"/>
              <w:snapToGrid/>
              <w:spacing w:beforeAutospacing="0" w:afterAutospacing="0"/>
              <w:ind w:firstLine="1200" w:firstLineChars="500"/>
              <w:rPr>
                <w:color w:val="auto"/>
                <w:highlight w:val="none"/>
              </w:rPr>
            </w:pPr>
            <w:r>
              <w:rPr>
                <w:color w:val="auto"/>
                <w:highlight w:val="none"/>
              </w:rPr>
              <w:t>K---考虑沿高度分布不均匀的安全系数，通常取K=1.4。</w:t>
            </w:r>
          </w:p>
          <w:p w14:paraId="46B3335C">
            <w:pPr>
              <w:pStyle w:val="158"/>
              <w:pageBreakBefore w:val="0"/>
              <w:wordWrap w:val="0"/>
              <w:topLinePunct/>
              <w:bidi w:val="0"/>
              <w:snapToGrid/>
              <w:spacing w:beforeAutospacing="0" w:afterAutospacing="0"/>
              <w:ind w:firstLine="480"/>
              <w:rPr>
                <w:color w:val="auto"/>
                <w:highlight w:val="none"/>
              </w:rPr>
            </w:pPr>
            <w:r>
              <w:rPr>
                <w:color w:val="auto"/>
                <w:highlight w:val="none"/>
              </w:rPr>
              <w:t>②圆形排风管风量计算</w:t>
            </w:r>
          </w:p>
          <w:p w14:paraId="4ACF8624">
            <w:pPr>
              <w:pStyle w:val="158"/>
              <w:pageBreakBefore w:val="0"/>
              <w:wordWrap w:val="0"/>
              <w:topLinePunct/>
              <w:bidi w:val="0"/>
              <w:snapToGrid/>
              <w:spacing w:beforeAutospacing="0" w:afterAutospacing="0"/>
              <w:ind w:firstLine="480"/>
              <w:rPr>
                <w:color w:val="auto"/>
                <w:highlight w:val="none"/>
              </w:rPr>
            </w:pPr>
            <w:r>
              <w:rPr>
                <w:color w:val="auto"/>
                <w:highlight w:val="none"/>
              </w:rPr>
              <w:t>参考《环境工程设计手册》中圆形分管的风量计算公式：</w:t>
            </w:r>
          </w:p>
          <w:p w14:paraId="36942420">
            <w:pPr>
              <w:pStyle w:val="158"/>
              <w:pageBreakBefore w:val="0"/>
              <w:wordWrap w:val="0"/>
              <w:topLinePunct/>
              <w:bidi w:val="0"/>
              <w:snapToGrid/>
              <w:spacing w:beforeAutospacing="0" w:afterAutospacing="0"/>
              <w:ind w:firstLine="480"/>
              <w:jc w:val="center"/>
              <w:rPr>
                <w:color w:val="auto"/>
                <w:highlight w:val="none"/>
              </w:rPr>
            </w:pPr>
            <w:r>
              <w:rPr>
                <w:color w:val="auto"/>
                <w:highlight w:val="none"/>
              </w:rPr>
              <w:drawing>
                <wp:inline distT="0" distB="0" distL="114300" distR="114300">
                  <wp:extent cx="1827530" cy="391795"/>
                  <wp:effectExtent l="0" t="0" r="1270" b="8255"/>
                  <wp:docPr id="213"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50"/>
                          <pic:cNvPicPr>
                            <a:picLocks noChangeAspect="1"/>
                          </pic:cNvPicPr>
                        </pic:nvPicPr>
                        <pic:blipFill>
                          <a:blip r:embed="rId28"/>
                          <a:stretch>
                            <a:fillRect/>
                          </a:stretch>
                        </pic:blipFill>
                        <pic:spPr>
                          <a:xfrm>
                            <a:off x="0" y="0"/>
                            <a:ext cx="1827530" cy="391795"/>
                          </a:xfrm>
                          <a:prstGeom prst="rect">
                            <a:avLst/>
                          </a:prstGeom>
                          <a:noFill/>
                          <a:ln>
                            <a:noFill/>
                          </a:ln>
                        </pic:spPr>
                      </pic:pic>
                    </a:graphicData>
                  </a:graphic>
                </wp:inline>
              </w:drawing>
            </w:r>
          </w:p>
          <w:p w14:paraId="6879FEBD">
            <w:pPr>
              <w:pStyle w:val="158"/>
              <w:pageBreakBefore w:val="0"/>
              <w:wordWrap w:val="0"/>
              <w:topLinePunct/>
              <w:bidi w:val="0"/>
              <w:snapToGrid/>
              <w:spacing w:beforeAutospacing="0" w:afterAutospacing="0"/>
              <w:ind w:firstLine="480"/>
              <w:rPr>
                <w:color w:val="auto"/>
                <w:highlight w:val="none"/>
              </w:rPr>
            </w:pPr>
            <w:r>
              <w:rPr>
                <w:color w:val="auto"/>
                <w:highlight w:val="none"/>
              </w:rPr>
              <w:t>式中：L---集气罩排风量，m</w:t>
            </w:r>
            <w:r>
              <w:rPr>
                <w:color w:val="auto"/>
                <w:highlight w:val="none"/>
                <w:vertAlign w:val="superscript"/>
              </w:rPr>
              <w:t>3</w:t>
            </w:r>
            <w:r>
              <w:rPr>
                <w:color w:val="auto"/>
                <w:highlight w:val="none"/>
              </w:rPr>
              <w:t>/h；</w:t>
            </w:r>
          </w:p>
          <w:p w14:paraId="62F8E2C0">
            <w:pPr>
              <w:pStyle w:val="158"/>
              <w:pageBreakBefore w:val="0"/>
              <w:wordWrap w:val="0"/>
              <w:topLinePunct/>
              <w:bidi w:val="0"/>
              <w:snapToGrid/>
              <w:spacing w:beforeAutospacing="0" w:afterAutospacing="0"/>
              <w:ind w:firstLine="1200" w:firstLineChars="500"/>
              <w:rPr>
                <w:color w:val="auto"/>
                <w:highlight w:val="none"/>
              </w:rPr>
            </w:pPr>
            <w:r>
              <w:rPr>
                <w:color w:val="auto"/>
                <w:highlight w:val="none"/>
              </w:rPr>
              <w:t>D---分管直径，m；</w:t>
            </w:r>
          </w:p>
          <w:p w14:paraId="3917097B">
            <w:pPr>
              <w:pStyle w:val="158"/>
              <w:pageBreakBefore w:val="0"/>
              <w:wordWrap w:val="0"/>
              <w:topLinePunct/>
              <w:bidi w:val="0"/>
              <w:snapToGrid/>
              <w:spacing w:beforeAutospacing="0" w:afterAutospacing="0"/>
              <w:ind w:firstLine="1200" w:firstLineChars="500"/>
              <w:rPr>
                <w:color w:val="auto"/>
                <w:highlight w:val="none"/>
              </w:rPr>
            </w:pPr>
            <w:r>
              <w:rPr>
                <w:color w:val="auto"/>
                <w:highlight w:val="none"/>
              </w:rPr>
              <w:t>V---断面平均风速，m/s，本项目断面平均风速取5.34m/s。</w:t>
            </w:r>
          </w:p>
          <w:p w14:paraId="5F22A0D0">
            <w:pPr>
              <w:pStyle w:val="158"/>
              <w:pageBreakBefore w:val="0"/>
              <w:numPr>
                <w:ilvl w:val="0"/>
                <w:numId w:val="0"/>
              </w:numPr>
              <w:wordWrap w:val="0"/>
              <w:topLinePunct/>
              <w:bidi w:val="0"/>
              <w:snapToGrid/>
              <w:spacing w:beforeAutospacing="0" w:afterAutospacing="0"/>
              <w:ind w:firstLine="482"/>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i w:val="0"/>
                <w:iCs w:val="0"/>
                <w:color w:val="auto"/>
                <w:kern w:val="0"/>
                <w:sz w:val="24"/>
                <w:szCs w:val="24"/>
                <w:u w:val="none"/>
                <w:lang w:val="en-US" w:eastAsia="zh-CN" w:bidi="ar"/>
              </w:rPr>
              <w:t>喷漆废气集气设备设计参数见下表。</w:t>
            </w:r>
          </w:p>
          <w:p w14:paraId="38285315">
            <w:pPr>
              <w:pStyle w:val="158"/>
              <w:pageBreakBefore w:val="0"/>
              <w:numPr>
                <w:ilvl w:val="0"/>
                <w:numId w:val="0"/>
              </w:numPr>
              <w:wordWrap w:val="0"/>
              <w:topLinePunct/>
              <w:bidi w:val="0"/>
              <w:snapToGrid/>
              <w:spacing w:beforeAutospacing="0" w:afterAutospacing="0"/>
              <w:ind w:firstLine="482"/>
              <w:jc w:val="center"/>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cs="Times New Roman"/>
                <w:b/>
                <w:bCs/>
                <w:color w:val="auto"/>
                <w:sz w:val="21"/>
                <w:szCs w:val="21"/>
                <w:highlight w:val="none"/>
                <w:lang w:val="en-US" w:eastAsia="zh-CN"/>
              </w:rPr>
              <w:t>表4-1</w:t>
            </w:r>
            <w:r>
              <w:rPr>
                <w:rFonts w:hint="eastAsia" w:cs="Times New Roman"/>
                <w:b/>
                <w:bCs/>
                <w:color w:val="auto"/>
                <w:sz w:val="21"/>
                <w:szCs w:val="21"/>
                <w:highlight w:val="none"/>
                <w:lang w:val="en-US" w:eastAsia="zh-CN"/>
              </w:rPr>
              <w:t>6</w:t>
            </w:r>
            <w:r>
              <w:rPr>
                <w:rFonts w:hint="eastAsia" w:ascii="Times New Roman" w:hAnsi="Times New Roman" w:cs="Times New Roman"/>
                <w:b/>
                <w:bCs/>
                <w:color w:val="auto"/>
                <w:sz w:val="21"/>
                <w:szCs w:val="21"/>
                <w:highlight w:val="none"/>
                <w:lang w:val="en-US" w:eastAsia="zh-CN"/>
              </w:rPr>
              <w:t xml:space="preserve"> 集气设备设计参数</w:t>
            </w:r>
          </w:p>
          <w:tbl>
            <w:tblPr>
              <w:tblStyle w:val="48"/>
              <w:tblW w:w="830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83"/>
              <w:gridCol w:w="1756"/>
              <w:gridCol w:w="856"/>
              <w:gridCol w:w="1041"/>
              <w:gridCol w:w="1041"/>
              <w:gridCol w:w="1042"/>
              <w:gridCol w:w="1287"/>
            </w:tblGrid>
            <w:tr w14:paraId="1FAE8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3B07782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工序</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664A4CB5">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尺寸</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2FA066C6">
                  <w:pPr>
                    <w:keepNext w:val="0"/>
                    <w:keepLines w:val="0"/>
                    <w:widowControl/>
                    <w:suppressLineNumbers w:val="0"/>
                    <w:jc w:val="center"/>
                    <w:textAlignment w:val="center"/>
                    <w:rPr>
                      <w:rFonts w:hint="eastAsia" w:ascii="宋体" w:hAnsi="宋体" w:eastAsia="宋体" w:cs="宋体"/>
                      <w:b/>
                      <w:bCs/>
                      <w:i w:val="0"/>
                      <w:iCs w:val="0"/>
                      <w:color w:val="auto"/>
                      <w:kern w:val="2"/>
                      <w:sz w:val="21"/>
                      <w:szCs w:val="21"/>
                      <w:u w:val="none"/>
                      <w:lang w:val="en-US" w:eastAsia="zh-CN" w:bidi="ar-SA"/>
                    </w:rPr>
                  </w:pPr>
                  <w:r>
                    <w:rPr>
                      <w:rFonts w:hint="eastAsia" w:ascii="宋体" w:hAnsi="宋体" w:eastAsia="宋体" w:cs="宋体"/>
                      <w:b/>
                      <w:bCs/>
                      <w:i w:val="0"/>
                      <w:iCs w:val="0"/>
                      <w:color w:val="auto"/>
                      <w:kern w:val="0"/>
                      <w:sz w:val="21"/>
                      <w:szCs w:val="21"/>
                      <w:u w:val="none"/>
                      <w:lang w:val="en-US" w:eastAsia="zh-CN" w:bidi="ar"/>
                    </w:rPr>
                    <w:t>体积（</w:t>
                  </w:r>
                  <w:r>
                    <w:rPr>
                      <w:rFonts w:hint="default" w:ascii="Times New Roman" w:hAnsi="Times New Roman" w:eastAsia="宋体" w:cs="Times New Roman"/>
                      <w:b/>
                      <w:bCs/>
                      <w:i w:val="0"/>
                      <w:iCs w:val="0"/>
                      <w:color w:val="auto"/>
                      <w:kern w:val="0"/>
                      <w:sz w:val="21"/>
                      <w:szCs w:val="21"/>
                      <w:u w:val="none"/>
                      <w:lang w:val="en-US" w:eastAsia="zh-CN" w:bidi="ar"/>
                    </w:rPr>
                    <w:t>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eastAsia" w:ascii="宋体" w:hAnsi="宋体" w:eastAsia="宋体" w:cs="宋体"/>
                      <w:b/>
                      <w:bCs/>
                      <w:i w:val="0"/>
                      <w:iCs w:val="0"/>
                      <w:color w:val="auto"/>
                      <w:kern w:val="0"/>
                      <w:sz w:val="21"/>
                      <w:szCs w:val="21"/>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7B86181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换气常数（次</w:t>
                  </w:r>
                  <w:r>
                    <w:rPr>
                      <w:rFonts w:hint="default" w:ascii="Times New Roman" w:hAnsi="Times New Roman" w:eastAsia="宋体" w:cs="Times New Roman"/>
                      <w:b/>
                      <w:bCs/>
                      <w:i w:val="0"/>
                      <w:iCs w:val="0"/>
                      <w:color w:val="auto"/>
                      <w:kern w:val="0"/>
                      <w:sz w:val="21"/>
                      <w:szCs w:val="21"/>
                      <w:u w:val="none"/>
                      <w:lang w:val="en-US" w:eastAsia="zh-CN" w:bidi="ar"/>
                    </w:rPr>
                    <w:t>/h</w:t>
                  </w:r>
                  <w:r>
                    <w:rPr>
                      <w:rFonts w:hint="eastAsia" w:ascii="宋体" w:hAnsi="宋体" w:eastAsia="宋体" w:cs="宋体"/>
                      <w:b/>
                      <w:bCs/>
                      <w:i w:val="0"/>
                      <w:iCs w:val="0"/>
                      <w:color w:val="auto"/>
                      <w:kern w:val="0"/>
                      <w:sz w:val="21"/>
                      <w:szCs w:val="21"/>
                      <w:u w:val="none"/>
                      <w:lang w:val="en-US" w:eastAsia="zh-CN" w:bidi="ar"/>
                    </w:rPr>
                    <w:t>）</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4B7B9E0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数量</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7C3B6ED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单个所需风量（</w:t>
                  </w:r>
                  <w:r>
                    <w:rPr>
                      <w:rFonts w:hint="default" w:ascii="Times New Roman" w:hAnsi="Times New Roman" w:eastAsia="宋体" w:cs="Times New Roman"/>
                      <w:b/>
                      <w:bCs/>
                      <w:i w:val="0"/>
                      <w:iCs w:val="0"/>
                      <w:color w:val="auto"/>
                      <w:kern w:val="0"/>
                      <w:sz w:val="21"/>
                      <w:szCs w:val="21"/>
                      <w:u w:val="none"/>
                      <w:lang w:val="en-US" w:eastAsia="zh-CN" w:bidi="ar"/>
                    </w:rPr>
                    <w:t>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u w:val="none"/>
                      <w:lang w:val="en-US" w:eastAsia="zh-CN" w:bidi="ar"/>
                    </w:rPr>
                    <w:t>/h</w:t>
                  </w:r>
                  <w:r>
                    <w:rPr>
                      <w:rFonts w:hint="eastAsia" w:ascii="宋体" w:hAnsi="宋体" w:eastAsia="宋体" w:cs="宋体"/>
                      <w:b/>
                      <w:bCs/>
                      <w:i w:val="0"/>
                      <w:iCs w:val="0"/>
                      <w:color w:val="auto"/>
                      <w:kern w:val="0"/>
                      <w:sz w:val="21"/>
                      <w:szCs w:val="21"/>
                      <w:u w:val="none"/>
                      <w:lang w:val="en-US" w:eastAsia="zh-CN" w:bidi="ar"/>
                    </w:rPr>
                    <w:t>）</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7BB59724">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整体所需风量（</w:t>
                  </w:r>
                  <w:r>
                    <w:rPr>
                      <w:rFonts w:hint="default" w:ascii="Times New Roman" w:hAnsi="Times New Roman" w:eastAsia="宋体" w:cs="Times New Roman"/>
                      <w:b/>
                      <w:bCs/>
                      <w:i w:val="0"/>
                      <w:iCs w:val="0"/>
                      <w:color w:val="auto"/>
                      <w:kern w:val="0"/>
                      <w:sz w:val="21"/>
                      <w:szCs w:val="21"/>
                      <w:u w:val="none"/>
                      <w:lang w:val="en-US" w:eastAsia="zh-CN" w:bidi="ar"/>
                    </w:rPr>
                    <w:t>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u w:val="none"/>
                      <w:lang w:val="en-US" w:eastAsia="zh-CN" w:bidi="ar"/>
                    </w:rPr>
                    <w:t>/h</w:t>
                  </w:r>
                  <w:r>
                    <w:rPr>
                      <w:rFonts w:hint="eastAsia" w:ascii="宋体" w:hAnsi="宋体" w:eastAsia="宋体" w:cs="宋体"/>
                      <w:b/>
                      <w:bCs/>
                      <w:i w:val="0"/>
                      <w:iCs w:val="0"/>
                      <w:color w:val="auto"/>
                      <w:kern w:val="0"/>
                      <w:sz w:val="21"/>
                      <w:szCs w:val="21"/>
                      <w:u w:val="none"/>
                      <w:lang w:val="en-US" w:eastAsia="zh-CN" w:bidi="ar"/>
                    </w:rPr>
                    <w:t>）</w:t>
                  </w:r>
                </w:p>
              </w:tc>
            </w:tr>
            <w:tr w14:paraId="38B5C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133E834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底漆喷房</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5513E9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16m*5m*3.5m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08AD6B5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280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4DAB9F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42BB8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44266E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16800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153A97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33600</w:t>
                  </w:r>
                </w:p>
              </w:tc>
            </w:tr>
            <w:tr w14:paraId="524FC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54337CB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底漆流平室</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5AFFB4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13.5m*5m*3.5m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5BF9192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236.25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9C6D4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7D8635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7BD6BE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14175</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6B7F37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14175</w:t>
                  </w:r>
                </w:p>
              </w:tc>
            </w:tr>
            <w:tr w14:paraId="1B46C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244158D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面漆喷房</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7098B7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380D30E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280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72E9B3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1B54B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380BD9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16800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2EDCD3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33600</w:t>
                  </w:r>
                </w:p>
              </w:tc>
            </w:tr>
            <w:tr w14:paraId="40650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17014E0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面漆流平室</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21DE98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13.5m*5m*3.5m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4F4E1D1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236.25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320133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29459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69CAA8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14175</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52402B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14175</w:t>
                  </w:r>
                </w:p>
              </w:tc>
            </w:tr>
            <w:tr w14:paraId="76B8D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4BEB720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清漆喷房</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10EC8C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33EC85B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280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5F2BBC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6A4F3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4D9CB7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16800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3FE352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33600</w:t>
                  </w:r>
                </w:p>
              </w:tc>
            </w:tr>
            <w:tr w14:paraId="1C591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83" w:type="dxa"/>
                  <w:tcBorders>
                    <w:top w:val="single" w:color="000000" w:sz="4" w:space="0"/>
                    <w:left w:val="single" w:color="000000" w:sz="4" w:space="0"/>
                    <w:bottom w:val="single" w:color="000000" w:sz="4" w:space="0"/>
                    <w:right w:val="single" w:color="000000" w:sz="4" w:space="0"/>
                  </w:tcBorders>
                  <w:noWrap w:val="0"/>
                  <w:vAlign w:val="center"/>
                </w:tcPr>
                <w:p w14:paraId="72FB5EE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清漆流平室</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6A1268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13.5m*5m*3.5m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0B74BCF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236.25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6DEFA2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04A169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3CD500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14175</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64D938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14175</w:t>
                  </w:r>
                </w:p>
              </w:tc>
            </w:tr>
            <w:tr w14:paraId="439E9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83" w:type="dxa"/>
                  <w:tcBorders>
                    <w:top w:val="single" w:color="000000" w:sz="4" w:space="0"/>
                    <w:left w:val="single" w:color="000000" w:sz="4" w:space="0"/>
                    <w:bottom w:val="single" w:color="000000" w:sz="4" w:space="0"/>
                    <w:right w:val="single" w:color="000000" w:sz="4" w:space="0"/>
                  </w:tcBorders>
                  <w:noWrap/>
                  <w:vAlign w:val="center"/>
                </w:tcPr>
                <w:p w14:paraId="42994E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调漆间</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66C718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6m*5m*3.5m</w:t>
                  </w:r>
                </w:p>
              </w:tc>
              <w:tc>
                <w:tcPr>
                  <w:tcW w:w="856" w:type="dxa"/>
                  <w:tcBorders>
                    <w:top w:val="single" w:color="000000" w:sz="4" w:space="0"/>
                    <w:left w:val="single" w:color="000000" w:sz="4" w:space="0"/>
                    <w:bottom w:val="single" w:color="000000" w:sz="4" w:space="0"/>
                    <w:right w:val="single" w:color="000000" w:sz="4" w:space="0"/>
                  </w:tcBorders>
                  <w:noWrap w:val="0"/>
                  <w:vAlign w:val="center"/>
                </w:tcPr>
                <w:p w14:paraId="0787159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35</w:t>
                  </w:r>
                </w:p>
              </w:tc>
              <w:tc>
                <w:tcPr>
                  <w:tcW w:w="1041" w:type="dxa"/>
                  <w:tcBorders>
                    <w:top w:val="single" w:color="000000" w:sz="4" w:space="0"/>
                    <w:left w:val="single" w:color="000000" w:sz="4" w:space="0"/>
                    <w:bottom w:val="single" w:color="000000" w:sz="4" w:space="0"/>
                    <w:right w:val="single" w:color="000000" w:sz="4" w:space="0"/>
                  </w:tcBorders>
                  <w:noWrap w:val="0"/>
                  <w:vAlign w:val="center"/>
                </w:tcPr>
                <w:p w14:paraId="1840E0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ign w:val="center"/>
                </w:tcPr>
                <w:p w14:paraId="2B58E8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10FA41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2D491A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6300</w:t>
                  </w:r>
                </w:p>
              </w:tc>
            </w:tr>
            <w:tr w14:paraId="5A98E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83" w:type="dxa"/>
                  <w:tcBorders>
                    <w:top w:val="single" w:color="000000" w:sz="4" w:space="0"/>
                    <w:left w:val="single" w:color="000000" w:sz="4" w:space="0"/>
                    <w:bottom w:val="single" w:color="000000" w:sz="4" w:space="0"/>
                    <w:right w:val="single" w:color="000000" w:sz="4" w:space="0"/>
                  </w:tcBorders>
                  <w:noWrap/>
                  <w:vAlign w:val="center"/>
                </w:tcPr>
                <w:p w14:paraId="4C2046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危废间</w:t>
                  </w:r>
                </w:p>
              </w:tc>
              <w:tc>
                <w:tcPr>
                  <w:tcW w:w="1756" w:type="dxa"/>
                  <w:tcBorders>
                    <w:top w:val="single" w:color="000000" w:sz="4" w:space="0"/>
                    <w:left w:val="single" w:color="000000" w:sz="4" w:space="0"/>
                    <w:bottom w:val="single" w:color="000000" w:sz="4" w:space="0"/>
                    <w:right w:val="single" w:color="000000" w:sz="4" w:space="0"/>
                  </w:tcBorders>
                  <w:noWrap w:val="0"/>
                  <w:vAlign w:val="center"/>
                </w:tcPr>
                <w:p w14:paraId="684DAE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10m*5m*3.5m</w:t>
                  </w:r>
                </w:p>
              </w:tc>
              <w:tc>
                <w:tcPr>
                  <w:tcW w:w="856" w:type="dxa"/>
                  <w:tcBorders>
                    <w:top w:val="single" w:color="000000" w:sz="4" w:space="0"/>
                    <w:left w:val="single" w:color="000000" w:sz="4" w:space="0"/>
                    <w:bottom w:val="single" w:color="000000" w:sz="4" w:space="0"/>
                    <w:right w:val="single" w:color="000000" w:sz="4" w:space="0"/>
                  </w:tcBorders>
                  <w:noWrap/>
                  <w:vAlign w:val="center"/>
                </w:tcPr>
                <w:p w14:paraId="7886BAB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175</w:t>
                  </w:r>
                </w:p>
              </w:tc>
              <w:tc>
                <w:tcPr>
                  <w:tcW w:w="1041" w:type="dxa"/>
                  <w:tcBorders>
                    <w:top w:val="single" w:color="000000" w:sz="4" w:space="0"/>
                    <w:left w:val="single" w:color="000000" w:sz="4" w:space="0"/>
                    <w:bottom w:val="single" w:color="000000" w:sz="4" w:space="0"/>
                    <w:right w:val="single" w:color="000000" w:sz="4" w:space="0"/>
                  </w:tcBorders>
                  <w:noWrap/>
                  <w:vAlign w:val="center"/>
                </w:tcPr>
                <w:p w14:paraId="1FC3A6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1041" w:type="dxa"/>
                  <w:tcBorders>
                    <w:top w:val="single" w:color="000000" w:sz="4" w:space="0"/>
                    <w:left w:val="single" w:color="000000" w:sz="4" w:space="0"/>
                    <w:bottom w:val="single" w:color="000000" w:sz="4" w:space="0"/>
                    <w:right w:val="single" w:color="000000" w:sz="4" w:space="0"/>
                  </w:tcBorders>
                  <w:noWrap/>
                  <w:vAlign w:val="center"/>
                </w:tcPr>
                <w:p w14:paraId="2B97DB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42" w:type="dxa"/>
                  <w:tcBorders>
                    <w:top w:val="single" w:color="000000" w:sz="4" w:space="0"/>
                    <w:left w:val="single" w:color="000000" w:sz="4" w:space="0"/>
                    <w:bottom w:val="single" w:color="000000" w:sz="4" w:space="0"/>
                    <w:right w:val="single" w:color="000000" w:sz="4" w:space="0"/>
                  </w:tcBorders>
                  <w:noWrap w:val="0"/>
                  <w:vAlign w:val="center"/>
                </w:tcPr>
                <w:p w14:paraId="143D75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10500</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522A1F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10500</w:t>
                  </w:r>
                </w:p>
              </w:tc>
            </w:tr>
            <w:tr w14:paraId="2913A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19" w:type="dxa"/>
                  <w:gridSpan w:val="6"/>
                  <w:tcBorders>
                    <w:top w:val="single" w:color="000000" w:sz="4" w:space="0"/>
                    <w:left w:val="single" w:color="000000" w:sz="4" w:space="0"/>
                    <w:bottom w:val="single" w:color="000000" w:sz="4" w:space="0"/>
                    <w:right w:val="single" w:color="000000" w:sz="4" w:space="0"/>
                  </w:tcBorders>
                  <w:noWrap/>
                  <w:vAlign w:val="center"/>
                </w:tcPr>
                <w:p w14:paraId="6D009D4A">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合计</w:t>
                  </w:r>
                </w:p>
              </w:tc>
              <w:tc>
                <w:tcPr>
                  <w:tcW w:w="1287" w:type="dxa"/>
                  <w:tcBorders>
                    <w:top w:val="single" w:color="000000" w:sz="4" w:space="0"/>
                    <w:left w:val="single" w:color="000000" w:sz="4" w:space="0"/>
                    <w:bottom w:val="single" w:color="000000" w:sz="4" w:space="0"/>
                    <w:right w:val="single" w:color="000000" w:sz="4" w:space="0"/>
                  </w:tcBorders>
                  <w:noWrap/>
                  <w:vAlign w:val="center"/>
                </w:tcPr>
                <w:p w14:paraId="5D71E1B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160125</w:t>
                  </w:r>
                </w:p>
              </w:tc>
            </w:tr>
          </w:tbl>
          <w:p w14:paraId="00EE9283">
            <w:pPr>
              <w:pStyle w:val="158"/>
              <w:pageBreakBefore w:val="0"/>
              <w:numPr>
                <w:ilvl w:val="0"/>
                <w:numId w:val="0"/>
              </w:numPr>
              <w:wordWrap w:val="0"/>
              <w:topLinePunct/>
              <w:bidi w:val="0"/>
              <w:snapToGrid/>
              <w:spacing w:beforeAutospacing="0" w:afterAutospacing="0"/>
              <w:ind w:firstLine="482"/>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计算得整体所需风量为1</w:t>
            </w:r>
            <w:r>
              <w:rPr>
                <w:rFonts w:hint="eastAsia" w:cs="Times New Roman"/>
                <w:color w:val="auto"/>
                <w:highlight w:val="none"/>
                <w:lang w:val="en-US" w:eastAsia="zh-CN"/>
              </w:rPr>
              <w:t>60125</w:t>
            </w:r>
            <w:r>
              <w:rPr>
                <w:rFonts w:hint="eastAsia" w:ascii="Times New Roman" w:hAnsi="Times New Roman" w:cs="Times New Roman"/>
                <w:color w:val="auto"/>
                <w:highlight w:val="none"/>
                <w:lang w:val="en-US" w:eastAsia="zh-CN"/>
              </w:rPr>
              <w:t>m</w:t>
            </w:r>
            <w:r>
              <w:rPr>
                <w:rFonts w:hint="eastAsia" w:ascii="Times New Roman" w:hAnsi="Times New Roman" w:cs="Times New Roman"/>
                <w:color w:val="auto"/>
                <w:highlight w:val="none"/>
                <w:vertAlign w:val="superscript"/>
                <w:lang w:val="en-US" w:eastAsia="zh-CN"/>
              </w:rPr>
              <w:t>3</w:t>
            </w:r>
            <w:r>
              <w:rPr>
                <w:rFonts w:hint="eastAsia" w:ascii="Times New Roman" w:hAnsi="Times New Roman" w:cs="Times New Roman"/>
                <w:color w:val="auto"/>
                <w:highlight w:val="none"/>
                <w:vertAlign w:val="baseline"/>
                <w:lang w:val="en-US" w:eastAsia="zh-CN"/>
              </w:rPr>
              <w:t>/h，项目配套喷漆废气处理设施设计风量1</w:t>
            </w:r>
            <w:r>
              <w:rPr>
                <w:rFonts w:hint="eastAsia" w:cs="Times New Roman"/>
                <w:color w:val="auto"/>
                <w:highlight w:val="none"/>
                <w:vertAlign w:val="baseline"/>
                <w:lang w:val="en-US" w:eastAsia="zh-CN"/>
              </w:rPr>
              <w:t>812</w:t>
            </w:r>
            <w:r>
              <w:rPr>
                <w:rFonts w:hint="eastAsia" w:ascii="Times New Roman" w:hAnsi="Times New Roman" w:cs="Times New Roman"/>
                <w:color w:val="auto"/>
                <w:highlight w:val="none"/>
                <w:vertAlign w:val="baseline"/>
                <w:lang w:val="en-US" w:eastAsia="zh-CN"/>
              </w:rPr>
              <w:t>00m</w:t>
            </w:r>
            <w:r>
              <w:rPr>
                <w:rFonts w:hint="eastAsia" w:ascii="Times New Roman" w:hAnsi="Times New Roman" w:cs="Times New Roman"/>
                <w:color w:val="auto"/>
                <w:highlight w:val="none"/>
                <w:vertAlign w:val="superscript"/>
                <w:lang w:val="en-US" w:eastAsia="zh-CN"/>
              </w:rPr>
              <w:t>3</w:t>
            </w:r>
            <w:r>
              <w:rPr>
                <w:rFonts w:hint="eastAsia" w:ascii="Times New Roman" w:hAnsi="Times New Roman" w:cs="Times New Roman"/>
                <w:color w:val="auto"/>
                <w:highlight w:val="none"/>
                <w:vertAlign w:val="baseline"/>
                <w:lang w:val="en-US" w:eastAsia="zh-CN"/>
              </w:rPr>
              <w:t>/h，大于所需风量，风量设计合理。</w:t>
            </w:r>
          </w:p>
          <w:p w14:paraId="44510D14">
            <w:pPr>
              <w:pStyle w:val="158"/>
              <w:pageBreakBefore w:val="0"/>
              <w:wordWrap w:val="0"/>
              <w:topLinePunct/>
              <w:bidi w:val="0"/>
              <w:snapToGrid/>
              <w:spacing w:beforeAutospacing="0" w:afterAutospacing="0"/>
              <w:ind w:firstLine="480"/>
              <w:rPr>
                <w:rFonts w:hint="default" w:ascii="Times New Roman" w:hAnsi="Times New Roman" w:eastAsia="宋体" w:cs="Times New Roman"/>
                <w:i w:val="0"/>
                <w:iCs w:val="0"/>
                <w:color w:val="auto"/>
                <w:spacing w:val="0"/>
                <w:kern w:val="0"/>
                <w:sz w:val="24"/>
                <w:szCs w:val="24"/>
                <w:u w:val="none"/>
                <w:lang w:val="en-US" w:eastAsia="zh-CN" w:bidi="ar"/>
              </w:rPr>
            </w:pPr>
            <w:r>
              <w:rPr>
                <w:rFonts w:hint="eastAsia" w:cs="Times New Roman"/>
                <w:i w:val="0"/>
                <w:iCs w:val="0"/>
                <w:color w:val="auto"/>
                <w:spacing w:val="0"/>
                <w:kern w:val="0"/>
                <w:sz w:val="24"/>
                <w:szCs w:val="24"/>
                <w:u w:val="none"/>
                <w:lang w:val="en-US" w:eastAsia="zh-CN" w:bidi="ar"/>
              </w:rPr>
              <w:t>本项目采用</w:t>
            </w:r>
            <w:r>
              <w:rPr>
                <w:rFonts w:hint="eastAsia"/>
                <w:color w:val="auto"/>
                <w:highlight w:val="none"/>
              </w:rPr>
              <w:t>“</w:t>
            </w:r>
            <w:r>
              <w:rPr>
                <w:rFonts w:hint="eastAsia"/>
                <w:color w:val="auto"/>
                <w:highlight w:val="none"/>
                <w:lang w:eastAsia="zh-CN"/>
              </w:rPr>
              <w:t>活性炭吸脱附+催化燃烧</w:t>
            </w:r>
            <w:r>
              <w:rPr>
                <w:rFonts w:hint="eastAsia"/>
                <w:color w:val="auto"/>
                <w:highlight w:val="none"/>
                <w:lang w:val="en-US" w:eastAsia="zh-CN"/>
              </w:rPr>
              <w:t>+活性炭吸附</w:t>
            </w:r>
            <w:r>
              <w:rPr>
                <w:rFonts w:hint="eastAsia"/>
                <w:color w:val="auto"/>
                <w:highlight w:val="none"/>
              </w:rPr>
              <w:t>”</w:t>
            </w:r>
            <w:r>
              <w:rPr>
                <w:rFonts w:hint="eastAsia"/>
                <w:color w:val="auto"/>
                <w:highlight w:val="none"/>
                <w:lang w:val="en-US" w:eastAsia="zh-CN"/>
              </w:rPr>
              <w:t>工艺处理喷漆线废气。</w:t>
            </w:r>
            <w:r>
              <w:rPr>
                <w:rFonts w:hint="default" w:ascii="Times New Roman" w:hAnsi="Times New Roman" w:eastAsia="宋体" w:cs="Times New Roman"/>
                <w:i w:val="0"/>
                <w:iCs w:val="0"/>
                <w:color w:val="auto"/>
                <w:spacing w:val="0"/>
                <w:kern w:val="0"/>
                <w:sz w:val="24"/>
                <w:szCs w:val="24"/>
                <w:u w:val="none"/>
                <w:lang w:val="en-US" w:eastAsia="zh-CN" w:bidi="ar"/>
              </w:rPr>
              <w:t>据《广东省生态环境厅关于印发工业源挥发性有机物和氮氧化物减排量核算方法的通知》（粤环函〔2023〕538号）中“表3.3-3 废气治理效率参考值”的说明，</w:t>
            </w:r>
            <w:r>
              <w:rPr>
                <w:rFonts w:hint="eastAsia"/>
                <w:color w:val="auto"/>
                <w:highlight w:val="none"/>
              </w:rPr>
              <w:t>“</w:t>
            </w:r>
            <w:r>
              <w:rPr>
                <w:rFonts w:hint="eastAsia"/>
                <w:color w:val="auto"/>
                <w:highlight w:val="none"/>
                <w:lang w:eastAsia="zh-CN"/>
              </w:rPr>
              <w:t>活性炭吸脱附+催化燃烧</w:t>
            </w:r>
            <w:r>
              <w:rPr>
                <w:rFonts w:hint="eastAsia"/>
                <w:color w:val="auto"/>
                <w:highlight w:val="none"/>
              </w:rPr>
              <w:t>”</w:t>
            </w:r>
            <w:r>
              <w:rPr>
                <w:color w:val="auto"/>
                <w:highlight w:val="none"/>
              </w:rPr>
              <w:t>治理效率为</w:t>
            </w:r>
            <w:r>
              <w:rPr>
                <w:rFonts w:hint="eastAsia"/>
                <w:color w:val="auto"/>
                <w:highlight w:val="none"/>
              </w:rPr>
              <w:t>60</w:t>
            </w:r>
            <w:r>
              <w:rPr>
                <w:color w:val="auto"/>
                <w:highlight w:val="none"/>
              </w:rPr>
              <w:t>%</w:t>
            </w:r>
            <w:r>
              <w:rPr>
                <w:rFonts w:hint="eastAsia"/>
                <w:color w:val="auto"/>
                <w:highlight w:val="none"/>
                <w:lang w:eastAsia="zh-CN"/>
              </w:rPr>
              <w:t>。</w:t>
            </w:r>
            <w:r>
              <w:rPr>
                <w:rFonts w:hint="default" w:ascii="Times New Roman" w:hAnsi="Times New Roman" w:cs="Times New Roman"/>
                <w:color w:val="auto"/>
                <w:sz w:val="24"/>
              </w:rPr>
              <w:t>参考《广东省家具行业挥发性有机化合物废气治理技术指南》（粤环</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z w:val="24"/>
              </w:rPr>
              <w:t>2013</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z w:val="24"/>
              </w:rPr>
              <w:t>79号）中对有机废气治理设施的治理效率可得，吸附法处理效率为50～80%（本报告一级活性炭处理效率取</w:t>
            </w:r>
            <w:r>
              <w:rPr>
                <w:rFonts w:hint="eastAsia" w:cs="Times New Roman"/>
                <w:color w:val="auto"/>
                <w:sz w:val="24"/>
                <w:lang w:val="en-US" w:eastAsia="zh-CN"/>
              </w:rPr>
              <w:t>5</w:t>
            </w:r>
            <w:r>
              <w:rPr>
                <w:rFonts w:hint="default" w:ascii="Times New Roman" w:hAnsi="Times New Roman" w:cs="Times New Roman"/>
                <w:color w:val="auto"/>
                <w:sz w:val="24"/>
              </w:rPr>
              <w:t>0%），项目采取两级</w:t>
            </w:r>
            <w:r>
              <w:rPr>
                <w:rFonts w:hint="eastAsia" w:ascii="Times New Roman" w:hAnsi="Times New Roman" w:cs="Times New Roman"/>
                <w:color w:val="auto"/>
                <w:sz w:val="24"/>
                <w:lang w:val="en-US" w:eastAsia="zh-CN"/>
              </w:rPr>
              <w:t>废气处理工艺</w:t>
            </w:r>
            <w:r>
              <w:rPr>
                <w:rFonts w:hint="default" w:ascii="Times New Roman" w:hAnsi="Times New Roman" w:cs="Times New Roman"/>
                <w:color w:val="auto"/>
                <w:sz w:val="24"/>
              </w:rPr>
              <w:t>串联方式，当存在两种或两种以上治理设施联合治理时，治理效率可按公式η=1-（1-η</w:t>
            </w:r>
            <w:r>
              <w:rPr>
                <w:rFonts w:hint="default" w:ascii="Times New Roman" w:hAnsi="Times New Roman" w:cs="Times New Roman"/>
                <w:color w:val="auto"/>
                <w:sz w:val="24"/>
                <w:vertAlign w:val="subscript"/>
              </w:rPr>
              <w:t>1</w:t>
            </w:r>
            <w:r>
              <w:rPr>
                <w:rFonts w:hint="default" w:ascii="Times New Roman" w:hAnsi="Times New Roman" w:cs="Times New Roman"/>
                <w:color w:val="auto"/>
                <w:sz w:val="24"/>
              </w:rPr>
              <w:t>）×（1-η</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）...（1-η</w:t>
            </w:r>
            <w:r>
              <w:rPr>
                <w:rFonts w:hint="default" w:ascii="Times New Roman" w:hAnsi="Times New Roman" w:cs="Times New Roman"/>
                <w:color w:val="auto"/>
                <w:sz w:val="24"/>
                <w:vertAlign w:val="subscript"/>
              </w:rPr>
              <w:t>n</w:t>
            </w:r>
            <w:r>
              <w:rPr>
                <w:rFonts w:hint="default" w:ascii="Times New Roman" w:hAnsi="Times New Roman" w:cs="Times New Roman"/>
                <w:color w:val="auto"/>
                <w:sz w:val="24"/>
              </w:rPr>
              <w:t>）进行计算，则本项目废气处理工艺对有机废气总处理效率合计为1-（1-</w:t>
            </w:r>
            <w:r>
              <w:rPr>
                <w:rFonts w:hint="eastAsia" w:cs="Times New Roman"/>
                <w:color w:val="auto"/>
                <w:sz w:val="24"/>
                <w:lang w:val="en-US" w:eastAsia="zh-CN"/>
              </w:rPr>
              <w:t>6</w:t>
            </w:r>
            <w:r>
              <w:rPr>
                <w:rFonts w:hint="default" w:ascii="Times New Roman" w:hAnsi="Times New Roman" w:cs="Times New Roman"/>
                <w:color w:val="auto"/>
                <w:sz w:val="24"/>
              </w:rPr>
              <w:t>0%）×（1-50%）=</w:t>
            </w:r>
            <w:r>
              <w:rPr>
                <w:rFonts w:hint="eastAsia" w:cs="Times New Roman"/>
                <w:color w:val="auto"/>
                <w:sz w:val="24"/>
                <w:lang w:val="en-US" w:eastAsia="zh-CN"/>
              </w:rPr>
              <w:t>80</w:t>
            </w:r>
            <w:r>
              <w:rPr>
                <w:rFonts w:hint="default" w:ascii="Times New Roman" w:hAnsi="Times New Roman" w:cs="Times New Roman"/>
                <w:color w:val="auto"/>
                <w:sz w:val="24"/>
              </w:rPr>
              <w:t>%。</w:t>
            </w:r>
          </w:p>
          <w:p w14:paraId="4594B40D">
            <w:pPr>
              <w:keepNext w:val="0"/>
              <w:keepLines w:val="0"/>
              <w:suppressLineNumbers w:val="0"/>
              <w:spacing w:before="0" w:beforeAutospacing="0" w:after="0" w:afterAutospacing="0" w:line="360" w:lineRule="auto"/>
              <w:ind w:left="0" w:right="0" w:firstLine="470" w:firstLineChars="200"/>
              <w:rPr>
                <w:rFonts w:hint="eastAsia" w:ascii="Times New Roman" w:hAnsi="Times New Roman" w:cs="Times New Roman"/>
                <w:b/>
                <w:bCs/>
                <w:color w:val="auto"/>
                <w:spacing w:val="-3"/>
                <w:sz w:val="24"/>
                <w:szCs w:val="24"/>
                <w:lang w:val="en-US" w:eastAsia="zh-CN"/>
              </w:rPr>
            </w:pPr>
            <w:r>
              <w:rPr>
                <w:rFonts w:hint="eastAsia" w:cs="Times New Roman"/>
                <w:b/>
                <w:bCs/>
                <w:color w:val="auto"/>
                <w:spacing w:val="-3"/>
                <w:sz w:val="24"/>
                <w:szCs w:val="24"/>
                <w:lang w:val="en-US" w:eastAsia="zh-CN"/>
              </w:rPr>
              <w:t>1</w:t>
            </w:r>
            <w:r>
              <w:rPr>
                <w:rFonts w:hint="default" w:ascii="Times New Roman" w:hAnsi="Times New Roman" w:cs="Times New Roman"/>
                <w:b/>
                <w:bCs/>
                <w:color w:val="auto"/>
                <w:spacing w:val="-3"/>
                <w:sz w:val="24"/>
                <w:szCs w:val="24"/>
                <w:lang w:val="en-US" w:eastAsia="zh-CN"/>
              </w:rPr>
              <w:t>.</w:t>
            </w:r>
            <w:r>
              <w:rPr>
                <w:rFonts w:hint="eastAsia" w:cs="Times New Roman"/>
                <w:b/>
                <w:bCs/>
                <w:color w:val="auto"/>
                <w:spacing w:val="-3"/>
                <w:sz w:val="24"/>
                <w:szCs w:val="24"/>
                <w:lang w:val="en-US" w:eastAsia="zh-CN"/>
              </w:rPr>
              <w:t>2</w:t>
            </w:r>
            <w:r>
              <w:rPr>
                <w:rFonts w:hint="default" w:ascii="Times New Roman" w:hAnsi="Times New Roman" w:cs="Times New Roman"/>
                <w:b/>
                <w:bCs/>
                <w:color w:val="auto"/>
                <w:spacing w:val="-3"/>
                <w:sz w:val="24"/>
                <w:szCs w:val="24"/>
                <w:lang w:val="en-US" w:eastAsia="zh-CN"/>
              </w:rPr>
              <w:t>.</w:t>
            </w:r>
            <w:r>
              <w:rPr>
                <w:rFonts w:hint="eastAsia" w:ascii="Times New Roman" w:hAnsi="Times New Roman" w:cs="Times New Roman"/>
                <w:b/>
                <w:bCs/>
                <w:color w:val="auto"/>
                <w:spacing w:val="-3"/>
                <w:sz w:val="24"/>
                <w:szCs w:val="24"/>
                <w:lang w:val="en-US" w:eastAsia="zh-CN"/>
              </w:rPr>
              <w:t>6 固化废气</w:t>
            </w:r>
          </w:p>
          <w:p w14:paraId="47BC6D71">
            <w:pPr>
              <w:keepNext w:val="0"/>
              <w:keepLines w:val="0"/>
              <w:suppressLineNumbers w:val="0"/>
              <w:spacing w:before="0" w:beforeAutospacing="0" w:after="0" w:afterAutospacing="0" w:line="360" w:lineRule="auto"/>
              <w:ind w:left="0" w:right="0" w:firstLine="468" w:firstLineChars="200"/>
              <w:rPr>
                <w:rFonts w:hint="default" w:ascii="Times New Roman" w:hAnsi="Times New Roman" w:cs="Times New Roman"/>
                <w:b w:val="0"/>
                <w:bCs w:val="0"/>
                <w:color w:val="auto"/>
                <w:spacing w:val="-3"/>
                <w:sz w:val="24"/>
                <w:szCs w:val="24"/>
                <w:lang w:val="en-US" w:eastAsia="zh-CN"/>
              </w:rPr>
            </w:pPr>
            <w:r>
              <w:rPr>
                <w:rFonts w:hint="default" w:ascii="Times New Roman" w:hAnsi="Times New Roman" w:cs="Times New Roman"/>
                <w:b w:val="0"/>
                <w:bCs w:val="0"/>
                <w:color w:val="auto"/>
                <w:spacing w:val="-3"/>
                <w:sz w:val="24"/>
                <w:szCs w:val="24"/>
                <w:lang w:val="en-US" w:eastAsia="zh-CN"/>
              </w:rPr>
              <w:t>固化废气主要包括固化炉天然气燃烧废气及固化时产生的有机废气。固化炉天然气燃烧废气及固化时产生的有机废气一同收集，经</w:t>
            </w:r>
            <w:r>
              <w:rPr>
                <w:rFonts w:hint="eastAsia" w:cs="Times New Roman"/>
                <w:b w:val="0"/>
                <w:bCs w:val="0"/>
                <w:color w:val="auto"/>
                <w:spacing w:val="-3"/>
                <w:sz w:val="24"/>
                <w:szCs w:val="24"/>
                <w:lang w:val="en-US" w:eastAsia="zh-CN"/>
              </w:rPr>
              <w:t>喷淋+干式过滤+</w:t>
            </w:r>
            <w:r>
              <w:rPr>
                <w:rFonts w:hint="default" w:ascii="Times New Roman" w:hAnsi="Times New Roman" w:cs="Times New Roman"/>
                <w:b w:val="0"/>
                <w:bCs w:val="0"/>
                <w:color w:val="auto"/>
                <w:spacing w:val="-3"/>
                <w:sz w:val="24"/>
                <w:szCs w:val="24"/>
                <w:lang w:val="en-US" w:eastAsia="zh-CN"/>
              </w:rPr>
              <w:t>二级活性炭吸附处理后，由一根 15m 高排气筒（</w:t>
            </w:r>
            <w:r>
              <w:rPr>
                <w:rFonts w:hint="eastAsia" w:cs="Times New Roman"/>
                <w:b w:val="0"/>
                <w:bCs w:val="0"/>
                <w:color w:val="auto"/>
                <w:spacing w:val="-3"/>
                <w:sz w:val="24"/>
                <w:szCs w:val="24"/>
                <w:lang w:val="en-US" w:eastAsia="zh-CN"/>
              </w:rPr>
              <w:t>DA002</w:t>
            </w:r>
            <w:r>
              <w:rPr>
                <w:rFonts w:hint="default" w:ascii="Times New Roman" w:hAnsi="Times New Roman" w:cs="Times New Roman"/>
                <w:b w:val="0"/>
                <w:bCs w:val="0"/>
                <w:color w:val="auto"/>
                <w:spacing w:val="-3"/>
                <w:sz w:val="24"/>
                <w:szCs w:val="24"/>
                <w:lang w:val="en-US" w:eastAsia="zh-CN"/>
              </w:rPr>
              <w:t>）排放，配套风机风量为</w:t>
            </w:r>
            <w:r>
              <w:rPr>
                <w:rFonts w:hint="eastAsia" w:ascii="Times New Roman" w:hAnsi="Times New Roman" w:cs="Times New Roman"/>
                <w:b w:val="0"/>
                <w:bCs w:val="0"/>
                <w:color w:val="auto"/>
                <w:spacing w:val="-3"/>
                <w:sz w:val="24"/>
                <w:szCs w:val="24"/>
                <w:lang w:val="en-US" w:eastAsia="zh-CN"/>
              </w:rPr>
              <w:t>40</w:t>
            </w:r>
            <w:r>
              <w:rPr>
                <w:rFonts w:hint="default" w:ascii="Times New Roman" w:hAnsi="Times New Roman" w:cs="Times New Roman"/>
                <w:b w:val="0"/>
                <w:bCs w:val="0"/>
                <w:color w:val="auto"/>
                <w:spacing w:val="-3"/>
                <w:sz w:val="24"/>
                <w:szCs w:val="24"/>
                <w:lang w:val="en-US" w:eastAsia="zh-CN"/>
              </w:rPr>
              <w:t xml:space="preserve">000m³/h，年工作时间为 </w:t>
            </w:r>
            <w:r>
              <w:rPr>
                <w:rFonts w:hint="eastAsia" w:ascii="Times New Roman" w:hAnsi="Times New Roman" w:cs="Times New Roman"/>
                <w:b w:val="0"/>
                <w:bCs w:val="0"/>
                <w:color w:val="auto"/>
                <w:spacing w:val="-3"/>
                <w:sz w:val="24"/>
                <w:szCs w:val="24"/>
                <w:lang w:val="en-US" w:eastAsia="zh-CN"/>
              </w:rPr>
              <w:t>1928</w:t>
            </w:r>
            <w:r>
              <w:rPr>
                <w:rFonts w:hint="default" w:ascii="Times New Roman" w:hAnsi="Times New Roman" w:cs="Times New Roman"/>
                <w:b w:val="0"/>
                <w:bCs w:val="0"/>
                <w:color w:val="auto"/>
                <w:spacing w:val="-3"/>
                <w:sz w:val="24"/>
                <w:szCs w:val="24"/>
                <w:lang w:val="en-US" w:eastAsia="zh-CN"/>
              </w:rPr>
              <w:t>h。</w:t>
            </w:r>
          </w:p>
          <w:p w14:paraId="18689A0F">
            <w:pPr>
              <w:keepNext w:val="0"/>
              <w:keepLines w:val="0"/>
              <w:suppressLineNumbers w:val="0"/>
              <w:spacing w:before="0" w:beforeAutospacing="0" w:after="0" w:afterAutospacing="0" w:line="360" w:lineRule="auto"/>
              <w:ind w:left="0" w:right="0" w:firstLine="468" w:firstLineChars="200"/>
              <w:rPr>
                <w:rFonts w:hint="default" w:ascii="Times New Roman" w:hAnsi="Times New Roman" w:cs="Times New Roman"/>
                <w:b w:val="0"/>
                <w:bCs w:val="0"/>
                <w:color w:val="auto"/>
                <w:spacing w:val="-3"/>
                <w:sz w:val="24"/>
                <w:szCs w:val="24"/>
                <w:lang w:val="en-US" w:eastAsia="zh-CN"/>
              </w:rPr>
            </w:pPr>
            <w:r>
              <w:rPr>
                <w:rFonts w:hint="default" w:ascii="Times New Roman" w:hAnsi="Times New Roman" w:cs="Times New Roman"/>
                <w:b w:val="0"/>
                <w:bCs w:val="0"/>
                <w:color w:val="auto"/>
                <w:spacing w:val="-3"/>
                <w:sz w:val="24"/>
                <w:szCs w:val="24"/>
                <w:lang w:val="en-US" w:eastAsia="zh-CN"/>
              </w:rPr>
              <w:t>固化炉采用天然气热风循环供热，</w:t>
            </w:r>
            <w:r>
              <w:rPr>
                <w:rFonts w:hint="eastAsia" w:ascii="Times New Roman" w:hAnsi="Times New Roman" w:cs="Times New Roman"/>
                <w:b w:val="0"/>
                <w:bCs w:val="0"/>
                <w:color w:val="auto"/>
                <w:spacing w:val="-3"/>
                <w:sz w:val="24"/>
                <w:szCs w:val="24"/>
                <w:lang w:val="en-US" w:eastAsia="zh-CN"/>
              </w:rPr>
              <w:t>天然气燃烧废气产生排放情况见表4-1</w:t>
            </w:r>
            <w:r>
              <w:rPr>
                <w:rFonts w:hint="eastAsia" w:cs="Times New Roman"/>
                <w:b w:val="0"/>
                <w:bCs w:val="0"/>
                <w:color w:val="auto"/>
                <w:spacing w:val="-3"/>
                <w:sz w:val="24"/>
                <w:szCs w:val="24"/>
                <w:lang w:val="en-US" w:eastAsia="zh-CN"/>
              </w:rPr>
              <w:t>0</w:t>
            </w:r>
            <w:r>
              <w:rPr>
                <w:rFonts w:hint="eastAsia" w:ascii="Times New Roman" w:hAnsi="Times New Roman" w:cs="Times New Roman"/>
                <w:b w:val="0"/>
                <w:bCs w:val="0"/>
                <w:color w:val="auto"/>
                <w:spacing w:val="-3"/>
                <w:sz w:val="24"/>
                <w:szCs w:val="24"/>
                <w:lang w:val="en-US" w:eastAsia="zh-CN"/>
              </w:rPr>
              <w:t>。</w:t>
            </w:r>
          </w:p>
          <w:p w14:paraId="0CA19E2C">
            <w:pPr>
              <w:keepNext w:val="0"/>
              <w:keepLines w:val="0"/>
              <w:suppressLineNumbers w:val="0"/>
              <w:spacing w:before="0" w:beforeAutospacing="0" w:after="0" w:afterAutospacing="0" w:line="360" w:lineRule="auto"/>
              <w:ind w:left="0" w:right="0" w:firstLine="468" w:firstLineChars="200"/>
              <w:rPr>
                <w:rFonts w:hint="eastAsia" w:ascii="Times New Roman" w:hAnsi="Times New Roman" w:cs="Times New Roman"/>
                <w:b w:val="0"/>
                <w:bCs w:val="0"/>
                <w:color w:val="auto"/>
                <w:spacing w:val="-3"/>
                <w:sz w:val="24"/>
                <w:szCs w:val="24"/>
                <w:lang w:val="en-US" w:eastAsia="zh-CN"/>
              </w:rPr>
            </w:pPr>
            <w:r>
              <w:rPr>
                <w:rFonts w:hint="default" w:ascii="Times New Roman" w:hAnsi="Times New Roman" w:cs="Times New Roman"/>
                <w:b w:val="0"/>
                <w:bCs w:val="0"/>
                <w:color w:val="auto"/>
                <w:spacing w:val="-3"/>
                <w:sz w:val="24"/>
                <w:szCs w:val="24"/>
                <w:lang w:val="en-US" w:eastAsia="zh-CN"/>
              </w:rPr>
              <w:t>固化炉有机废气由</w:t>
            </w:r>
            <w:r>
              <w:rPr>
                <w:rFonts w:hint="eastAsia" w:ascii="Times New Roman" w:hAnsi="Times New Roman" w:cs="Times New Roman"/>
                <w:b w:val="0"/>
                <w:bCs w:val="0"/>
                <w:color w:val="auto"/>
                <w:spacing w:val="-3"/>
                <w:sz w:val="24"/>
                <w:szCs w:val="24"/>
                <w:lang w:val="en-US" w:eastAsia="zh-CN"/>
              </w:rPr>
              <w:t>粉末涂料</w:t>
            </w:r>
            <w:r>
              <w:rPr>
                <w:rFonts w:hint="default" w:ascii="Times New Roman" w:hAnsi="Times New Roman" w:cs="Times New Roman"/>
                <w:b w:val="0"/>
                <w:bCs w:val="0"/>
                <w:color w:val="auto"/>
                <w:spacing w:val="-3"/>
                <w:sz w:val="24"/>
                <w:szCs w:val="24"/>
                <w:lang w:val="en-US" w:eastAsia="zh-CN"/>
              </w:rPr>
              <w:t>喷涂后固化过程产生，主要为高温下塑粉熔融释放的有机物，以非甲烷总烃计。喷塑后的工件在烘道内通过送回风管道循环风烘干固化，固化温度为 180℃~220℃。根据《工业源产排污核算方法和系数手册 - 机械行业系数手册》，喷塑后烘干过程挥发性有机物产污系数为 1.20kg/t - 原料。项目设</w:t>
            </w:r>
            <w:r>
              <w:rPr>
                <w:rFonts w:hint="eastAsia" w:ascii="Times New Roman" w:hAnsi="Times New Roman" w:cs="Times New Roman"/>
                <w:b w:val="0"/>
                <w:bCs w:val="0"/>
                <w:color w:val="auto"/>
                <w:spacing w:val="-3"/>
                <w:sz w:val="24"/>
                <w:szCs w:val="24"/>
                <w:lang w:val="en-US" w:eastAsia="zh-CN"/>
              </w:rPr>
              <w:t>1</w:t>
            </w:r>
            <w:r>
              <w:rPr>
                <w:rFonts w:hint="default" w:ascii="Times New Roman" w:hAnsi="Times New Roman" w:cs="Times New Roman"/>
                <w:b w:val="0"/>
                <w:bCs w:val="0"/>
                <w:color w:val="auto"/>
                <w:spacing w:val="-3"/>
                <w:sz w:val="24"/>
                <w:szCs w:val="24"/>
                <w:lang w:val="en-US" w:eastAsia="zh-CN"/>
              </w:rPr>
              <w:t>个喷</w:t>
            </w:r>
            <w:r>
              <w:rPr>
                <w:rFonts w:hint="eastAsia" w:ascii="Times New Roman" w:hAnsi="Times New Roman" w:cs="Times New Roman"/>
                <w:b w:val="0"/>
                <w:bCs w:val="0"/>
                <w:color w:val="auto"/>
                <w:spacing w:val="-3"/>
                <w:sz w:val="24"/>
                <w:szCs w:val="24"/>
                <w:lang w:val="en-US" w:eastAsia="zh-CN"/>
              </w:rPr>
              <w:t>粉</w:t>
            </w:r>
            <w:r>
              <w:rPr>
                <w:rFonts w:hint="default" w:ascii="Times New Roman" w:hAnsi="Times New Roman" w:cs="Times New Roman"/>
                <w:b w:val="0"/>
                <w:bCs w:val="0"/>
                <w:color w:val="auto"/>
                <w:spacing w:val="-3"/>
                <w:sz w:val="24"/>
                <w:szCs w:val="24"/>
                <w:lang w:val="en-US" w:eastAsia="zh-CN"/>
              </w:rPr>
              <w:t>房，</w:t>
            </w:r>
            <w:r>
              <w:rPr>
                <w:rFonts w:hint="eastAsia" w:ascii="Times New Roman" w:hAnsi="Times New Roman" w:cs="Times New Roman"/>
                <w:b w:val="0"/>
                <w:bCs w:val="0"/>
                <w:color w:val="auto"/>
                <w:spacing w:val="-3"/>
                <w:sz w:val="24"/>
                <w:szCs w:val="24"/>
                <w:lang w:val="en-US" w:eastAsia="zh-CN"/>
              </w:rPr>
              <w:t>粉末涂料</w:t>
            </w:r>
            <w:r>
              <w:rPr>
                <w:rFonts w:hint="default" w:ascii="Times New Roman" w:hAnsi="Times New Roman" w:cs="Times New Roman"/>
                <w:b w:val="0"/>
                <w:bCs w:val="0"/>
                <w:color w:val="auto"/>
                <w:spacing w:val="-3"/>
                <w:sz w:val="24"/>
                <w:szCs w:val="24"/>
                <w:lang w:val="en-US" w:eastAsia="zh-CN"/>
              </w:rPr>
              <w:t>年总用量为</w:t>
            </w:r>
            <w:r>
              <w:rPr>
                <w:rFonts w:hint="eastAsia" w:cs="Times New Roman"/>
                <w:b w:val="0"/>
                <w:bCs w:val="0"/>
                <w:color w:val="auto"/>
                <w:spacing w:val="-3"/>
                <w:sz w:val="24"/>
                <w:szCs w:val="24"/>
                <w:lang w:val="en-US" w:eastAsia="zh-CN"/>
              </w:rPr>
              <w:t>109.755</w:t>
            </w:r>
            <w:r>
              <w:rPr>
                <w:rFonts w:hint="default" w:ascii="Times New Roman" w:hAnsi="Times New Roman" w:cs="Times New Roman"/>
                <w:b w:val="0"/>
                <w:bCs w:val="0"/>
                <w:color w:val="auto"/>
                <w:spacing w:val="-3"/>
                <w:sz w:val="24"/>
                <w:szCs w:val="24"/>
                <w:lang w:val="en-US" w:eastAsia="zh-CN"/>
              </w:rPr>
              <w:t>t/a</w:t>
            </w:r>
            <w:r>
              <w:rPr>
                <w:rFonts w:hint="eastAsia" w:ascii="Times New Roman" w:hAnsi="Times New Roman" w:cs="Times New Roman"/>
                <w:b w:val="0"/>
                <w:bCs w:val="0"/>
                <w:color w:val="auto"/>
                <w:spacing w:val="-3"/>
                <w:sz w:val="24"/>
                <w:szCs w:val="24"/>
                <w:lang w:val="en-US" w:eastAsia="zh-CN"/>
              </w:rPr>
              <w:t>，则</w:t>
            </w:r>
            <w:r>
              <w:rPr>
                <w:rFonts w:hint="default" w:ascii="Times New Roman" w:hAnsi="Times New Roman" w:cs="Times New Roman"/>
                <w:b w:val="0"/>
                <w:bCs w:val="0"/>
                <w:color w:val="auto"/>
                <w:spacing w:val="-3"/>
                <w:sz w:val="24"/>
                <w:szCs w:val="24"/>
                <w:lang w:val="en-US" w:eastAsia="zh-CN"/>
              </w:rPr>
              <w:t xml:space="preserve">非甲烷总烃产生量为 </w:t>
            </w:r>
            <w:r>
              <w:rPr>
                <w:rFonts w:hint="eastAsia" w:cs="Times New Roman"/>
                <w:b w:val="0"/>
                <w:bCs w:val="0"/>
                <w:color w:val="auto"/>
                <w:spacing w:val="-3"/>
                <w:sz w:val="24"/>
                <w:szCs w:val="24"/>
                <w:lang w:val="en-US" w:eastAsia="zh-CN"/>
              </w:rPr>
              <w:t>0.1317</w:t>
            </w:r>
            <w:r>
              <w:rPr>
                <w:rFonts w:hint="default" w:ascii="Times New Roman" w:hAnsi="Times New Roman" w:cs="Times New Roman"/>
                <w:b w:val="0"/>
                <w:bCs w:val="0"/>
                <w:color w:val="auto"/>
                <w:spacing w:val="-3"/>
                <w:sz w:val="24"/>
                <w:szCs w:val="24"/>
                <w:lang w:val="en-US" w:eastAsia="zh-CN"/>
              </w:rPr>
              <w:t>t/a。</w:t>
            </w:r>
            <w:r>
              <w:rPr>
                <w:rFonts w:hint="eastAsia" w:ascii="Times New Roman" w:hAnsi="Times New Roman" w:cs="Times New Roman"/>
                <w:b w:val="0"/>
                <w:bCs w:val="0"/>
                <w:color w:val="auto"/>
                <w:spacing w:val="-3"/>
                <w:sz w:val="24"/>
                <w:szCs w:val="24"/>
                <w:lang w:val="en-US" w:eastAsia="zh-CN"/>
              </w:rPr>
              <w:t>年工作时间1928h，</w:t>
            </w:r>
            <w:r>
              <w:rPr>
                <w:rFonts w:hint="eastAsia" w:cs="Times New Roman"/>
                <w:b w:val="0"/>
                <w:bCs w:val="0"/>
                <w:color w:val="auto"/>
                <w:spacing w:val="-3"/>
                <w:sz w:val="24"/>
                <w:szCs w:val="24"/>
                <w:lang w:val="en-US" w:eastAsia="zh-CN"/>
              </w:rPr>
              <w:t>4</w:t>
            </w:r>
            <w:r>
              <w:rPr>
                <w:rFonts w:hint="eastAsia" w:ascii="Times New Roman" w:hAnsi="Times New Roman" w:cs="Times New Roman"/>
                <w:b w:val="0"/>
                <w:bCs w:val="0"/>
                <w:color w:val="auto"/>
                <w:spacing w:val="-3"/>
                <w:sz w:val="24"/>
                <w:szCs w:val="24"/>
                <w:lang w:val="en-US" w:eastAsia="zh-CN"/>
              </w:rPr>
              <w:t>台固化炉</w:t>
            </w:r>
            <w:r>
              <w:rPr>
                <w:rFonts w:hint="default" w:ascii="Times New Roman" w:hAnsi="Times New Roman" w:cs="Times New Roman"/>
                <w:b w:val="0"/>
                <w:bCs w:val="0"/>
                <w:color w:val="auto"/>
                <w:spacing w:val="-3"/>
                <w:sz w:val="24"/>
                <w:szCs w:val="24"/>
                <w:lang w:val="en-US" w:eastAsia="zh-CN"/>
              </w:rPr>
              <w:t>固化有机废气经管道密闭收集后</w:t>
            </w:r>
            <w:r>
              <w:rPr>
                <w:rFonts w:hint="eastAsia" w:ascii="Times New Roman" w:hAnsi="Times New Roman" w:cs="Times New Roman"/>
                <w:b w:val="0"/>
                <w:bCs w:val="0"/>
                <w:color w:val="auto"/>
                <w:spacing w:val="-3"/>
                <w:sz w:val="24"/>
                <w:szCs w:val="24"/>
                <w:lang w:val="en-US" w:eastAsia="zh-CN"/>
              </w:rPr>
              <w:t>一并</w:t>
            </w:r>
            <w:r>
              <w:rPr>
                <w:rFonts w:hint="default" w:ascii="Times New Roman" w:hAnsi="Times New Roman" w:cs="Times New Roman"/>
                <w:b w:val="0"/>
                <w:bCs w:val="0"/>
                <w:color w:val="auto"/>
                <w:spacing w:val="-3"/>
                <w:sz w:val="24"/>
                <w:szCs w:val="24"/>
                <w:lang w:val="en-US" w:eastAsia="zh-CN"/>
              </w:rPr>
              <w:t>进入</w:t>
            </w:r>
            <w:r>
              <w:rPr>
                <w:rFonts w:hint="eastAsia" w:cs="Times New Roman"/>
                <w:b w:val="0"/>
                <w:bCs w:val="0"/>
                <w:color w:val="auto"/>
                <w:spacing w:val="-3"/>
                <w:sz w:val="24"/>
                <w:szCs w:val="24"/>
                <w:lang w:val="en-US" w:eastAsia="zh-CN"/>
              </w:rPr>
              <w:t>喷淋+干式过滤+</w:t>
            </w:r>
            <w:r>
              <w:rPr>
                <w:rFonts w:hint="default" w:ascii="Times New Roman" w:hAnsi="Times New Roman" w:cs="Times New Roman"/>
                <w:b w:val="0"/>
                <w:bCs w:val="0"/>
                <w:color w:val="auto"/>
                <w:spacing w:val="-3"/>
                <w:sz w:val="24"/>
                <w:szCs w:val="24"/>
                <w:lang w:val="en-US" w:eastAsia="zh-CN"/>
              </w:rPr>
              <w:t>二级活性炭吸附装置处理</w:t>
            </w:r>
            <w:r>
              <w:rPr>
                <w:rFonts w:hint="eastAsia" w:ascii="Times New Roman" w:hAnsi="Times New Roman" w:cs="Times New Roman"/>
                <w:b w:val="0"/>
                <w:bCs w:val="0"/>
                <w:color w:val="auto"/>
                <w:spacing w:val="-3"/>
                <w:sz w:val="24"/>
                <w:szCs w:val="24"/>
                <w:lang w:val="en-US" w:eastAsia="zh-CN"/>
              </w:rPr>
              <w:t>。</w:t>
            </w:r>
          </w:p>
          <w:p w14:paraId="6438D799">
            <w:pPr>
              <w:pStyle w:val="158"/>
              <w:pageBreakBefore w:val="0"/>
              <w:wordWrap w:val="0"/>
              <w:topLinePunct/>
              <w:bidi w:val="0"/>
              <w:snapToGrid/>
              <w:spacing w:beforeAutospacing="0" w:afterAutospacing="0"/>
              <w:ind w:firstLine="480"/>
              <w:rPr>
                <w:color w:val="auto"/>
                <w:highlight w:val="none"/>
              </w:rPr>
            </w:pPr>
            <w:r>
              <w:rPr>
                <w:rFonts w:hint="eastAsia" w:cs="Times New Roman"/>
                <w:b w:val="0"/>
                <w:bCs w:val="0"/>
                <w:color w:val="auto"/>
                <w:spacing w:val="-3"/>
                <w:sz w:val="24"/>
                <w:szCs w:val="24"/>
                <w:lang w:val="en-US" w:eastAsia="zh-CN"/>
              </w:rPr>
              <w:t>项目共设2个固化通道，一个通道为漆粉共线固化使用，另一个用于喷粉线固化使用。</w:t>
            </w:r>
            <w:r>
              <w:rPr>
                <w:rFonts w:hint="eastAsia" w:ascii="Times New Roman" w:hAnsi="Times New Roman" w:cs="Times New Roman"/>
                <w:b w:val="0"/>
                <w:bCs w:val="0"/>
                <w:color w:val="auto"/>
                <w:spacing w:val="-3"/>
                <w:sz w:val="24"/>
                <w:szCs w:val="24"/>
                <w:lang w:val="en-US" w:eastAsia="zh-CN"/>
              </w:rPr>
              <w:t>固化通道为全密封空间，设备有固定排放管直接与风管连接，通道尾端设置送风风机，</w:t>
            </w:r>
            <w:r>
              <w:rPr>
                <w:color w:val="auto"/>
                <w:highlight w:val="none"/>
              </w:rPr>
              <w:t>根据《广东省工业源挥发性有机物减排量核算方法（2023年修订版）》（粤环函〔2023〕538 号）中“表3.3-2 废气收集集气效率参考值”的说明：</w:t>
            </w:r>
          </w:p>
          <w:p w14:paraId="20C39CF2">
            <w:pPr>
              <w:pStyle w:val="158"/>
              <w:pageBreakBefore w:val="0"/>
              <w:wordWrap w:val="0"/>
              <w:topLinePunct/>
              <w:bidi w:val="0"/>
              <w:snapToGrid/>
              <w:spacing w:beforeAutospacing="0" w:afterAutospacing="0"/>
              <w:ind w:firstLine="480"/>
              <w:rPr>
                <w:rFonts w:hint="eastAsia" w:cs="Times New Roman"/>
                <w:b w:val="0"/>
                <w:bCs w:val="0"/>
                <w:color w:val="auto"/>
                <w:spacing w:val="-3"/>
                <w:sz w:val="24"/>
                <w:szCs w:val="24"/>
                <w:lang w:val="en-US" w:eastAsia="zh-CN"/>
              </w:rPr>
            </w:pPr>
            <w:r>
              <w:rPr>
                <w:rFonts w:hint="eastAsia"/>
                <w:color w:val="auto"/>
                <w:highlight w:val="none"/>
                <w:lang w:val="en-US" w:eastAsia="zh-CN"/>
              </w:rPr>
              <w:t>③</w:t>
            </w:r>
            <w:r>
              <w:rPr>
                <w:color w:val="auto"/>
                <w:highlight w:val="none"/>
              </w:rPr>
              <w:t>当废气收集类型为“全密封设备/空间”，废气收集方式为“设备废气排口直连”，收集情况为“设备有固定排放管（或口）直接与风管连接，设备整体密闭只留产品进出口，且进出口处有废气收集措施，收集系统运行时周边基本无VOCs散发。”，此时收集效率可取95%</w:t>
            </w:r>
            <w:r>
              <w:rPr>
                <w:rFonts w:hint="eastAsia"/>
                <w:color w:val="auto"/>
                <w:highlight w:val="none"/>
                <w:lang w:eastAsia="zh-CN"/>
              </w:rPr>
              <w:t>。</w:t>
            </w:r>
            <w:r>
              <w:rPr>
                <w:rFonts w:hint="eastAsia"/>
                <w:color w:val="auto"/>
                <w:highlight w:val="none"/>
                <w:lang w:val="en-US" w:eastAsia="zh-CN"/>
              </w:rPr>
              <w:t>因此固化废气</w:t>
            </w:r>
            <w:r>
              <w:rPr>
                <w:rFonts w:hint="eastAsia" w:ascii="Times New Roman" w:hAnsi="Times New Roman" w:cs="Times New Roman"/>
                <w:b w:val="0"/>
                <w:bCs w:val="0"/>
                <w:color w:val="auto"/>
                <w:spacing w:val="-3"/>
                <w:sz w:val="24"/>
                <w:szCs w:val="24"/>
                <w:lang w:val="en-US" w:eastAsia="zh-CN"/>
              </w:rPr>
              <w:t>集气效率取95%；</w:t>
            </w:r>
            <w:r>
              <w:rPr>
                <w:rFonts w:hint="eastAsia" w:cs="Times New Roman"/>
                <w:b w:val="0"/>
                <w:bCs w:val="0"/>
                <w:color w:val="auto"/>
                <w:spacing w:val="-3"/>
                <w:sz w:val="24"/>
                <w:szCs w:val="24"/>
                <w:lang w:val="en-US" w:eastAsia="zh-CN"/>
              </w:rPr>
              <w:t>整体</w:t>
            </w:r>
            <w:r>
              <w:rPr>
                <w:rFonts w:hint="eastAsia" w:ascii="Times New Roman" w:hAnsi="Times New Roman" w:cs="Times New Roman"/>
                <w:b w:val="0"/>
                <w:bCs w:val="0"/>
                <w:color w:val="auto"/>
                <w:spacing w:val="-3"/>
                <w:sz w:val="24"/>
                <w:szCs w:val="24"/>
                <w:lang w:val="en-US" w:eastAsia="zh-CN"/>
              </w:rPr>
              <w:t>风量为40000</w:t>
            </w:r>
            <w:r>
              <w:rPr>
                <w:rFonts w:hint="default" w:ascii="Times New Roman" w:hAnsi="Times New Roman" w:cs="Times New Roman"/>
                <w:b w:val="0"/>
                <w:bCs w:val="0"/>
                <w:color w:val="auto"/>
                <w:spacing w:val="-3"/>
                <w:sz w:val="24"/>
                <w:szCs w:val="24"/>
                <w:lang w:val="en-US" w:eastAsia="zh-CN"/>
              </w:rPr>
              <w:t>m³/h</w:t>
            </w:r>
            <w:r>
              <w:rPr>
                <w:rFonts w:hint="eastAsia" w:cs="Times New Roman"/>
                <w:b w:val="0"/>
                <w:bCs w:val="0"/>
                <w:color w:val="auto"/>
                <w:spacing w:val="-3"/>
                <w:sz w:val="24"/>
                <w:szCs w:val="24"/>
                <w:lang w:val="en-US" w:eastAsia="zh-CN"/>
              </w:rPr>
              <w:t>。</w:t>
            </w:r>
          </w:p>
          <w:p w14:paraId="116E56A7">
            <w:pPr>
              <w:pStyle w:val="158"/>
              <w:keepNext w:val="0"/>
              <w:keepLines w:val="0"/>
              <w:numPr>
                <w:ilvl w:val="0"/>
                <w:numId w:val="0"/>
              </w:numPr>
              <w:suppressLineNumbers w:val="0"/>
              <w:tabs>
                <w:tab w:val="left" w:pos="0"/>
              </w:tabs>
              <w:snapToGrid/>
              <w:spacing w:before="0" w:beforeAutospacing="0" w:after="0" w:afterAutospacing="0"/>
              <w:ind w:left="0" w:leftChars="0" w:right="0" w:rightChars="0" w:firstLine="40" w:firstLineChars="0"/>
              <w:jc w:val="center"/>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pacing w:val="0"/>
                <w:kern w:val="2"/>
                <w:sz w:val="21"/>
                <w:szCs w:val="21"/>
                <w:lang w:val="en-US" w:eastAsia="zh-CN" w:bidi="ar-SA"/>
              </w:rPr>
              <w:t>表4-1</w:t>
            </w:r>
            <w:r>
              <w:rPr>
                <w:rFonts w:hint="eastAsia" w:cs="Times New Roman"/>
                <w:b/>
                <w:bCs/>
                <w:color w:val="auto"/>
                <w:spacing w:val="0"/>
                <w:kern w:val="2"/>
                <w:sz w:val="21"/>
                <w:szCs w:val="21"/>
                <w:lang w:val="en-US" w:eastAsia="zh-CN" w:bidi="ar-SA"/>
              </w:rPr>
              <w:t xml:space="preserve">7 </w:t>
            </w:r>
            <w:r>
              <w:rPr>
                <w:rFonts w:hint="eastAsia" w:ascii="Times New Roman" w:hAnsi="Times New Roman" w:eastAsia="宋体" w:cs="Times New Roman"/>
                <w:b/>
                <w:bCs/>
                <w:color w:val="auto"/>
                <w:sz w:val="21"/>
                <w:szCs w:val="21"/>
                <w:highlight w:val="none"/>
                <w:lang w:val="en-US" w:eastAsia="zh-CN"/>
              </w:rPr>
              <w:t>有机废气集气设备设计参数</w:t>
            </w:r>
            <w:r>
              <w:rPr>
                <w:rFonts w:hint="default" w:ascii="Times New Roman" w:hAnsi="Times New Roman" w:eastAsia="宋体" w:cs="Times New Roman"/>
                <w:b/>
                <w:bCs/>
                <w:color w:val="auto"/>
                <w:sz w:val="21"/>
                <w:szCs w:val="21"/>
                <w:highlight w:val="none"/>
                <w:lang w:val="en-US" w:eastAsia="zh-CN"/>
              </w:rPr>
              <w:t>一览表</w:t>
            </w:r>
          </w:p>
          <w:tbl>
            <w:tblPr>
              <w:tblStyle w:val="4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136"/>
              <w:gridCol w:w="632"/>
              <w:gridCol w:w="677"/>
              <w:gridCol w:w="1334"/>
              <w:gridCol w:w="984"/>
              <w:gridCol w:w="1468"/>
              <w:gridCol w:w="1420"/>
            </w:tblGrid>
            <w:tr w14:paraId="2986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665" w:type="dxa"/>
                  <w:vAlign w:val="center"/>
                </w:tcPr>
                <w:p w14:paraId="2CC17473">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收集环节</w:t>
                  </w:r>
                </w:p>
              </w:tc>
              <w:tc>
                <w:tcPr>
                  <w:tcW w:w="1136" w:type="dxa"/>
                  <w:vAlign w:val="center"/>
                </w:tcPr>
                <w:p w14:paraId="26395E5E">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集气罩尺寸</w:t>
                  </w:r>
                </w:p>
              </w:tc>
              <w:tc>
                <w:tcPr>
                  <w:tcW w:w="632" w:type="dxa"/>
                  <w:vAlign w:val="center"/>
                </w:tcPr>
                <w:p w14:paraId="612CA6FC">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形状</w:t>
                  </w:r>
                </w:p>
              </w:tc>
              <w:tc>
                <w:tcPr>
                  <w:tcW w:w="677" w:type="dxa"/>
                  <w:vAlign w:val="center"/>
                </w:tcPr>
                <w:p w14:paraId="50E60774">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数量</w:t>
                  </w:r>
                </w:p>
              </w:tc>
              <w:tc>
                <w:tcPr>
                  <w:tcW w:w="1334" w:type="dxa"/>
                  <w:vAlign w:val="center"/>
                </w:tcPr>
                <w:p w14:paraId="572A5236">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集气罩/管与控制点的距离</w:t>
                  </w:r>
                </w:p>
              </w:tc>
              <w:tc>
                <w:tcPr>
                  <w:tcW w:w="984" w:type="dxa"/>
                  <w:vAlign w:val="center"/>
                </w:tcPr>
                <w:p w14:paraId="1B14C4EA">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控制点的吸入速度</w:t>
                  </w:r>
                </w:p>
              </w:tc>
              <w:tc>
                <w:tcPr>
                  <w:tcW w:w="1468" w:type="dxa"/>
                  <w:vAlign w:val="center"/>
                </w:tcPr>
                <w:p w14:paraId="46472DBE">
                  <w:pPr>
                    <w:pageBreakBefore w:val="0"/>
                    <w:wordWrap w:val="0"/>
                    <w:topLinePunct/>
                    <w:bidi w:val="0"/>
                    <w:adjustRightInd w:val="0"/>
                    <w:spacing w:beforeAutospacing="0" w:afterAutospacing="0"/>
                    <w:jc w:val="center"/>
                    <w:rPr>
                      <w:b/>
                      <w:bCs/>
                      <w:color w:val="auto"/>
                      <w:kern w:val="2"/>
                      <w:sz w:val="21"/>
                      <w:szCs w:val="21"/>
                      <w:highlight w:val="none"/>
                    </w:rPr>
                  </w:pPr>
                  <w:r>
                    <w:rPr>
                      <w:b/>
                      <w:bCs/>
                      <w:color w:val="auto"/>
                      <w:kern w:val="2"/>
                      <w:sz w:val="21"/>
                      <w:szCs w:val="21"/>
                      <w:highlight w:val="none"/>
                    </w:rPr>
                    <w:t>单个集气罩/管</w:t>
                  </w:r>
                  <w:r>
                    <w:rPr>
                      <w:rFonts w:hint="eastAsia"/>
                      <w:b/>
                      <w:bCs/>
                      <w:color w:val="auto"/>
                      <w:kern w:val="2"/>
                      <w:sz w:val="21"/>
                      <w:szCs w:val="21"/>
                      <w:highlight w:val="none"/>
                      <w:lang w:eastAsia="zh-CN"/>
                    </w:rPr>
                    <w:t>、</w:t>
                  </w:r>
                  <w:r>
                    <w:rPr>
                      <w:rFonts w:hint="eastAsia"/>
                      <w:b/>
                      <w:bCs/>
                      <w:color w:val="auto"/>
                      <w:kern w:val="2"/>
                      <w:sz w:val="21"/>
                      <w:szCs w:val="21"/>
                      <w:highlight w:val="none"/>
                      <w:lang w:val="en-US" w:eastAsia="zh-CN"/>
                    </w:rPr>
                    <w:t>风机</w:t>
                  </w:r>
                  <w:r>
                    <w:rPr>
                      <w:b/>
                      <w:bCs/>
                      <w:color w:val="auto"/>
                      <w:kern w:val="2"/>
                      <w:sz w:val="21"/>
                      <w:szCs w:val="21"/>
                      <w:highlight w:val="none"/>
                    </w:rPr>
                    <w:t>风量m</w:t>
                  </w:r>
                  <w:r>
                    <w:rPr>
                      <w:b/>
                      <w:bCs/>
                      <w:color w:val="auto"/>
                      <w:kern w:val="2"/>
                      <w:sz w:val="21"/>
                      <w:szCs w:val="21"/>
                      <w:highlight w:val="none"/>
                      <w:vertAlign w:val="superscript"/>
                    </w:rPr>
                    <w:t>3</w:t>
                  </w:r>
                  <w:r>
                    <w:rPr>
                      <w:b/>
                      <w:bCs/>
                      <w:color w:val="auto"/>
                      <w:kern w:val="2"/>
                      <w:sz w:val="21"/>
                      <w:szCs w:val="21"/>
                      <w:highlight w:val="none"/>
                    </w:rPr>
                    <w:t>/h</w:t>
                  </w:r>
                </w:p>
              </w:tc>
              <w:tc>
                <w:tcPr>
                  <w:tcW w:w="1420" w:type="dxa"/>
                  <w:vAlign w:val="center"/>
                </w:tcPr>
                <w:p w14:paraId="461A5C83">
                  <w:pPr>
                    <w:pageBreakBefore w:val="0"/>
                    <w:wordWrap w:val="0"/>
                    <w:topLinePunct/>
                    <w:bidi w:val="0"/>
                    <w:adjustRightInd w:val="0"/>
                    <w:spacing w:beforeAutospacing="0" w:afterAutospacing="0"/>
                    <w:jc w:val="center"/>
                    <w:rPr>
                      <w:b/>
                      <w:bCs/>
                      <w:color w:val="auto"/>
                      <w:kern w:val="2"/>
                      <w:sz w:val="21"/>
                      <w:szCs w:val="21"/>
                      <w:highlight w:val="none"/>
                    </w:rPr>
                  </w:pPr>
                  <w:r>
                    <w:rPr>
                      <w:rFonts w:hint="eastAsia"/>
                      <w:b/>
                      <w:bCs/>
                      <w:color w:val="auto"/>
                      <w:kern w:val="2"/>
                      <w:sz w:val="21"/>
                      <w:szCs w:val="21"/>
                      <w:highlight w:val="none"/>
                      <w:lang w:val="en-US" w:eastAsia="zh-CN"/>
                    </w:rPr>
                    <w:t>总</w:t>
                  </w:r>
                  <w:r>
                    <w:rPr>
                      <w:b/>
                      <w:bCs/>
                      <w:color w:val="auto"/>
                      <w:kern w:val="2"/>
                      <w:sz w:val="21"/>
                      <w:szCs w:val="21"/>
                      <w:highlight w:val="none"/>
                    </w:rPr>
                    <w:t>集气罩/管</w:t>
                  </w:r>
                  <w:r>
                    <w:rPr>
                      <w:rFonts w:hint="eastAsia"/>
                      <w:b/>
                      <w:bCs/>
                      <w:color w:val="auto"/>
                      <w:kern w:val="2"/>
                      <w:sz w:val="21"/>
                      <w:szCs w:val="21"/>
                      <w:highlight w:val="none"/>
                      <w:lang w:eastAsia="zh-CN"/>
                    </w:rPr>
                    <w:t>、</w:t>
                  </w:r>
                  <w:r>
                    <w:rPr>
                      <w:rFonts w:hint="eastAsia"/>
                      <w:b/>
                      <w:bCs/>
                      <w:color w:val="auto"/>
                      <w:kern w:val="2"/>
                      <w:sz w:val="21"/>
                      <w:szCs w:val="21"/>
                      <w:highlight w:val="none"/>
                      <w:lang w:val="en-US" w:eastAsia="zh-CN"/>
                    </w:rPr>
                    <w:t>风机</w:t>
                  </w:r>
                  <w:r>
                    <w:rPr>
                      <w:b/>
                      <w:bCs/>
                      <w:color w:val="auto"/>
                      <w:kern w:val="2"/>
                      <w:sz w:val="21"/>
                      <w:szCs w:val="21"/>
                      <w:highlight w:val="none"/>
                    </w:rPr>
                    <w:t>风量m</w:t>
                  </w:r>
                  <w:r>
                    <w:rPr>
                      <w:b/>
                      <w:bCs/>
                      <w:color w:val="auto"/>
                      <w:kern w:val="2"/>
                      <w:sz w:val="21"/>
                      <w:szCs w:val="21"/>
                      <w:highlight w:val="none"/>
                      <w:vertAlign w:val="superscript"/>
                    </w:rPr>
                    <w:t>3</w:t>
                  </w:r>
                  <w:r>
                    <w:rPr>
                      <w:b/>
                      <w:bCs/>
                      <w:color w:val="auto"/>
                      <w:kern w:val="2"/>
                      <w:sz w:val="21"/>
                      <w:szCs w:val="21"/>
                      <w:highlight w:val="none"/>
                    </w:rPr>
                    <w:t>/h</w:t>
                  </w:r>
                </w:p>
              </w:tc>
            </w:tr>
            <w:tr w14:paraId="52D3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316" w:type="dxa"/>
                  <w:gridSpan w:val="8"/>
                  <w:vAlign w:val="center"/>
                </w:tcPr>
                <w:p w14:paraId="6EF59BE5">
                  <w:pPr>
                    <w:pageBreakBefore w:val="0"/>
                    <w:wordWrap w:val="0"/>
                    <w:topLinePunct/>
                    <w:bidi w:val="0"/>
                    <w:adjustRightInd w:val="0"/>
                    <w:spacing w:beforeAutospacing="0" w:afterAutospacing="0"/>
                    <w:jc w:val="center"/>
                    <w:rPr>
                      <w:color w:val="auto"/>
                      <w:kern w:val="2"/>
                      <w:sz w:val="21"/>
                      <w:szCs w:val="21"/>
                      <w:highlight w:val="none"/>
                    </w:rPr>
                  </w:pPr>
                  <w:r>
                    <w:rPr>
                      <w:b/>
                      <w:bCs/>
                      <w:color w:val="auto"/>
                      <w:sz w:val="21"/>
                      <w:szCs w:val="21"/>
                      <w:highlight w:val="none"/>
                      <w:lang w:val="pt-PT"/>
                    </w:rPr>
                    <w:t>漆粉涂装线</w:t>
                  </w:r>
                </w:p>
              </w:tc>
            </w:tr>
            <w:tr w14:paraId="1F14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665" w:type="dxa"/>
                  <w:vAlign w:val="center"/>
                </w:tcPr>
                <w:p w14:paraId="4B58EEF6">
                  <w:pPr>
                    <w:pageBreakBefore w:val="0"/>
                    <w:wordWrap w:val="0"/>
                    <w:topLinePunct/>
                    <w:bidi w:val="0"/>
                    <w:adjustRightInd w:val="0"/>
                    <w:spacing w:beforeAutospacing="0" w:afterAutospacing="0"/>
                    <w:jc w:val="center"/>
                    <w:rPr>
                      <w:rFonts w:hint="eastAsia" w:eastAsia="宋体"/>
                      <w:color w:val="auto"/>
                      <w:kern w:val="2"/>
                      <w:sz w:val="21"/>
                      <w:szCs w:val="21"/>
                      <w:highlight w:val="none"/>
                      <w:lang w:eastAsia="zh-CN"/>
                    </w:rPr>
                  </w:pPr>
                  <w:r>
                    <w:rPr>
                      <w:rFonts w:hint="eastAsia"/>
                      <w:color w:val="auto"/>
                      <w:kern w:val="2"/>
                      <w:sz w:val="21"/>
                      <w:szCs w:val="21"/>
                      <w:highlight w:val="none"/>
                      <w:lang w:val="en-US" w:eastAsia="zh-CN"/>
                    </w:rPr>
                    <w:t>固化炉排风机</w:t>
                  </w:r>
                </w:p>
              </w:tc>
              <w:tc>
                <w:tcPr>
                  <w:tcW w:w="1136" w:type="dxa"/>
                  <w:vAlign w:val="center"/>
                </w:tcPr>
                <w:p w14:paraId="4570CAFF">
                  <w:pPr>
                    <w:pageBreakBefore w:val="0"/>
                    <w:wordWrap w:val="0"/>
                    <w:topLinePunct/>
                    <w:bidi w:val="0"/>
                    <w:adjustRightInd w:val="0"/>
                    <w:spacing w:beforeAutospacing="0" w:afterAutospacing="0"/>
                    <w:jc w:val="center"/>
                    <w:rPr>
                      <w:rFonts w:hint="default"/>
                      <w:color w:val="auto"/>
                      <w:kern w:val="2"/>
                      <w:sz w:val="21"/>
                      <w:szCs w:val="21"/>
                      <w:highlight w:val="none"/>
                      <w:lang w:val="en-US"/>
                    </w:rPr>
                  </w:pPr>
                  <w:r>
                    <w:rPr>
                      <w:rFonts w:hint="eastAsia"/>
                      <w:color w:val="auto"/>
                      <w:kern w:val="2"/>
                      <w:sz w:val="21"/>
                      <w:szCs w:val="21"/>
                      <w:highlight w:val="none"/>
                      <w:lang w:val="en-US" w:eastAsia="zh-CN"/>
                    </w:rPr>
                    <w:t>直连风管+排风风机</w:t>
                  </w:r>
                </w:p>
              </w:tc>
              <w:tc>
                <w:tcPr>
                  <w:tcW w:w="632" w:type="dxa"/>
                  <w:vAlign w:val="center"/>
                </w:tcPr>
                <w:p w14:paraId="3D02FBFB">
                  <w:pPr>
                    <w:pageBreakBefore w:val="0"/>
                    <w:wordWrap w:val="0"/>
                    <w:topLinePunct/>
                    <w:bidi w:val="0"/>
                    <w:adjustRightInd w:val="0"/>
                    <w:spacing w:beforeAutospacing="0" w:afterAutospacing="0"/>
                    <w:jc w:val="center"/>
                    <w:rPr>
                      <w:rFonts w:hint="eastAsia" w:eastAsia="宋体"/>
                      <w:color w:val="auto"/>
                      <w:kern w:val="2"/>
                      <w:sz w:val="21"/>
                      <w:szCs w:val="21"/>
                      <w:highlight w:val="none"/>
                      <w:lang w:eastAsia="zh-CN"/>
                    </w:rPr>
                  </w:pPr>
                  <w:r>
                    <w:rPr>
                      <w:rFonts w:hint="eastAsia"/>
                      <w:color w:val="auto"/>
                      <w:kern w:val="2"/>
                      <w:sz w:val="21"/>
                      <w:szCs w:val="21"/>
                      <w:highlight w:val="none"/>
                      <w:lang w:val="en-US" w:eastAsia="zh-CN"/>
                    </w:rPr>
                    <w:t>/</w:t>
                  </w:r>
                </w:p>
              </w:tc>
              <w:tc>
                <w:tcPr>
                  <w:tcW w:w="677" w:type="dxa"/>
                  <w:vAlign w:val="center"/>
                </w:tcPr>
                <w:p w14:paraId="4D907147">
                  <w:pPr>
                    <w:pageBreakBefore w:val="0"/>
                    <w:wordWrap w:val="0"/>
                    <w:topLinePunct/>
                    <w:bidi w:val="0"/>
                    <w:adjustRightInd w:val="0"/>
                    <w:spacing w:beforeAutospacing="0" w:afterAutospacing="0"/>
                    <w:jc w:val="center"/>
                    <w:rPr>
                      <w:color w:val="auto"/>
                      <w:kern w:val="2"/>
                      <w:sz w:val="21"/>
                      <w:szCs w:val="21"/>
                      <w:highlight w:val="none"/>
                    </w:rPr>
                  </w:pPr>
                  <w:r>
                    <w:rPr>
                      <w:rFonts w:hint="eastAsia"/>
                      <w:color w:val="auto"/>
                      <w:kern w:val="2"/>
                      <w:sz w:val="21"/>
                      <w:szCs w:val="21"/>
                      <w:highlight w:val="none"/>
                      <w:lang w:val="en-US" w:eastAsia="zh-CN"/>
                    </w:rPr>
                    <w:t>1</w:t>
                  </w:r>
                  <w:r>
                    <w:rPr>
                      <w:color w:val="auto"/>
                      <w:kern w:val="2"/>
                      <w:sz w:val="21"/>
                      <w:szCs w:val="21"/>
                      <w:highlight w:val="none"/>
                    </w:rPr>
                    <w:t>个</w:t>
                  </w:r>
                </w:p>
              </w:tc>
              <w:tc>
                <w:tcPr>
                  <w:tcW w:w="1334" w:type="dxa"/>
                  <w:vAlign w:val="center"/>
                </w:tcPr>
                <w:p w14:paraId="28A7015C">
                  <w:pPr>
                    <w:pageBreakBefore w:val="0"/>
                    <w:wordWrap w:val="0"/>
                    <w:topLinePunct/>
                    <w:bidi w:val="0"/>
                    <w:adjustRightInd w:val="0"/>
                    <w:spacing w:beforeAutospacing="0" w:afterAutospacing="0"/>
                    <w:jc w:val="center"/>
                    <w:rPr>
                      <w:color w:val="auto"/>
                      <w:kern w:val="2"/>
                      <w:sz w:val="21"/>
                      <w:szCs w:val="21"/>
                      <w:highlight w:val="none"/>
                    </w:rPr>
                  </w:pPr>
                  <w:r>
                    <w:rPr>
                      <w:color w:val="auto"/>
                      <w:kern w:val="2"/>
                      <w:sz w:val="21"/>
                      <w:szCs w:val="21"/>
                      <w:highlight w:val="none"/>
                    </w:rPr>
                    <w:t>/</w:t>
                  </w:r>
                </w:p>
              </w:tc>
              <w:tc>
                <w:tcPr>
                  <w:tcW w:w="984" w:type="dxa"/>
                  <w:vAlign w:val="center"/>
                </w:tcPr>
                <w:p w14:paraId="58C979F0">
                  <w:pPr>
                    <w:pageBreakBefore w:val="0"/>
                    <w:wordWrap w:val="0"/>
                    <w:topLinePunct/>
                    <w:bidi w:val="0"/>
                    <w:adjustRightInd w:val="0"/>
                    <w:spacing w:beforeAutospacing="0" w:afterAutospacing="0"/>
                    <w:jc w:val="center"/>
                    <w:rPr>
                      <w:color w:val="auto"/>
                      <w:kern w:val="2"/>
                      <w:sz w:val="21"/>
                      <w:szCs w:val="21"/>
                      <w:highlight w:val="none"/>
                    </w:rPr>
                  </w:pPr>
                  <w:r>
                    <w:rPr>
                      <w:rFonts w:hint="eastAsia"/>
                      <w:color w:val="auto"/>
                      <w:kern w:val="2"/>
                      <w:sz w:val="21"/>
                      <w:szCs w:val="21"/>
                      <w:highlight w:val="none"/>
                      <w:lang w:val="en-US" w:eastAsia="zh-CN"/>
                    </w:rPr>
                    <w:t>/</w:t>
                  </w:r>
                </w:p>
              </w:tc>
              <w:tc>
                <w:tcPr>
                  <w:tcW w:w="1468" w:type="dxa"/>
                  <w:vAlign w:val="center"/>
                </w:tcPr>
                <w:p w14:paraId="2C7BB943">
                  <w:pPr>
                    <w:pageBreakBefore w:val="0"/>
                    <w:wordWrap w:val="0"/>
                    <w:topLinePunct/>
                    <w:bidi w:val="0"/>
                    <w:adjustRightInd w:val="0"/>
                    <w:spacing w:beforeAutospacing="0" w:afterAutospacing="0"/>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40000</w:t>
                  </w:r>
                </w:p>
              </w:tc>
              <w:tc>
                <w:tcPr>
                  <w:tcW w:w="1420" w:type="dxa"/>
                  <w:vAlign w:val="center"/>
                </w:tcPr>
                <w:p w14:paraId="0D9AF9A6">
                  <w:pPr>
                    <w:pageBreakBefore w:val="0"/>
                    <w:wordWrap w:val="0"/>
                    <w:topLinePunct/>
                    <w:bidi w:val="0"/>
                    <w:adjustRightInd w:val="0"/>
                    <w:spacing w:beforeAutospacing="0" w:afterAutospacing="0"/>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40000</w:t>
                  </w:r>
                </w:p>
              </w:tc>
            </w:tr>
            <w:tr w14:paraId="54C3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896" w:type="dxa"/>
                  <w:gridSpan w:val="7"/>
                  <w:vAlign w:val="center"/>
                </w:tcPr>
                <w:p w14:paraId="4CE2CD2F">
                  <w:pPr>
                    <w:pageBreakBefore w:val="0"/>
                    <w:wordWrap w:val="0"/>
                    <w:topLinePunct/>
                    <w:bidi w:val="0"/>
                    <w:adjustRightInd w:val="0"/>
                    <w:spacing w:beforeAutospacing="0" w:afterAutospacing="0"/>
                    <w:jc w:val="center"/>
                    <w:rPr>
                      <w:color w:val="auto"/>
                      <w:kern w:val="2"/>
                      <w:sz w:val="21"/>
                      <w:szCs w:val="21"/>
                      <w:highlight w:val="none"/>
                    </w:rPr>
                  </w:pPr>
                  <w:r>
                    <w:rPr>
                      <w:color w:val="auto"/>
                      <w:kern w:val="2"/>
                      <w:sz w:val="21"/>
                      <w:szCs w:val="21"/>
                      <w:highlight w:val="none"/>
                    </w:rPr>
                    <w:t>合计</w:t>
                  </w:r>
                </w:p>
              </w:tc>
              <w:tc>
                <w:tcPr>
                  <w:tcW w:w="1420" w:type="dxa"/>
                  <w:vAlign w:val="center"/>
                </w:tcPr>
                <w:p w14:paraId="1D852521">
                  <w:pPr>
                    <w:pageBreakBefore w:val="0"/>
                    <w:wordWrap w:val="0"/>
                    <w:topLinePunct/>
                    <w:bidi w:val="0"/>
                    <w:adjustRightInd w:val="0"/>
                    <w:spacing w:beforeAutospacing="0" w:afterAutospacing="0"/>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40000</w:t>
                  </w:r>
                </w:p>
              </w:tc>
            </w:tr>
          </w:tbl>
          <w:p w14:paraId="52F12E62">
            <w:pPr>
              <w:pStyle w:val="158"/>
              <w:pageBreakBefore w:val="0"/>
              <w:wordWrap w:val="0"/>
              <w:topLinePunct/>
              <w:bidi w:val="0"/>
              <w:snapToGrid/>
              <w:spacing w:beforeAutospacing="0" w:afterAutospacing="0"/>
              <w:ind w:firstLine="480"/>
              <w:rPr>
                <w:rFonts w:hint="default" w:ascii="Times New Roman" w:hAnsi="Times New Roman" w:cs="Times New Roman"/>
                <w:b w:val="0"/>
                <w:bCs w:val="0"/>
                <w:color w:val="auto"/>
                <w:spacing w:val="-3"/>
                <w:sz w:val="24"/>
                <w:szCs w:val="24"/>
                <w:lang w:val="en-US" w:eastAsia="zh-CN"/>
              </w:rPr>
            </w:pPr>
            <w:r>
              <w:rPr>
                <w:rFonts w:hint="eastAsia"/>
                <w:color w:val="auto"/>
                <w:highlight w:val="none"/>
              </w:rPr>
              <w:t>固化工序产生的有机废气治理效率</w:t>
            </w:r>
            <w:r>
              <w:rPr>
                <w:rFonts w:hint="default" w:ascii="Times New Roman" w:hAnsi="Times New Roman" w:cs="Times New Roman"/>
                <w:color w:val="auto"/>
                <w:sz w:val="24"/>
              </w:rPr>
              <w:t>参考《广东省家具行业挥发性有机化合物废气治理技术指南》（粤环</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z w:val="24"/>
              </w:rPr>
              <w:t>2013</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z w:val="24"/>
              </w:rPr>
              <w:t>79号）中对有机废气治理设施的治理效率可得，吸附法处理效率为50～80%（本报告一级活性炭处理效率取</w:t>
            </w:r>
            <w:r>
              <w:rPr>
                <w:rFonts w:hint="eastAsia" w:cs="Times New Roman"/>
                <w:color w:val="auto"/>
                <w:sz w:val="24"/>
                <w:lang w:val="en-US" w:eastAsia="zh-CN"/>
              </w:rPr>
              <w:t>6</w:t>
            </w:r>
            <w:r>
              <w:rPr>
                <w:rFonts w:hint="default" w:ascii="Times New Roman" w:hAnsi="Times New Roman" w:cs="Times New Roman"/>
                <w:color w:val="auto"/>
                <w:sz w:val="24"/>
              </w:rPr>
              <w:t>0%，二级活性炭处理效率取50%），项目采取两级活性炭串联方式，当存在两种或两种以上治理设施联合治理时，治理效率可按公式η=1-（1-η</w:t>
            </w:r>
            <w:r>
              <w:rPr>
                <w:rFonts w:hint="default" w:ascii="Times New Roman" w:hAnsi="Times New Roman" w:cs="Times New Roman"/>
                <w:color w:val="auto"/>
                <w:sz w:val="24"/>
                <w:vertAlign w:val="subscript"/>
              </w:rPr>
              <w:t>1</w:t>
            </w:r>
            <w:r>
              <w:rPr>
                <w:rFonts w:hint="default" w:ascii="Times New Roman" w:hAnsi="Times New Roman" w:cs="Times New Roman"/>
                <w:color w:val="auto"/>
                <w:sz w:val="24"/>
              </w:rPr>
              <w:t>）×（1-η</w:t>
            </w:r>
            <w:r>
              <w:rPr>
                <w:rFonts w:hint="default" w:ascii="Times New Roman" w:hAnsi="Times New Roman" w:cs="Times New Roman"/>
                <w:color w:val="auto"/>
                <w:sz w:val="24"/>
                <w:vertAlign w:val="subscript"/>
              </w:rPr>
              <w:t>2</w:t>
            </w:r>
            <w:r>
              <w:rPr>
                <w:rFonts w:hint="default" w:ascii="Times New Roman" w:hAnsi="Times New Roman" w:cs="Times New Roman"/>
                <w:color w:val="auto"/>
                <w:sz w:val="24"/>
              </w:rPr>
              <w:t>）...（1-η</w:t>
            </w:r>
            <w:r>
              <w:rPr>
                <w:rFonts w:hint="default" w:ascii="Times New Roman" w:hAnsi="Times New Roman" w:cs="Times New Roman"/>
                <w:color w:val="auto"/>
                <w:sz w:val="24"/>
                <w:vertAlign w:val="subscript"/>
              </w:rPr>
              <w:t>n</w:t>
            </w:r>
            <w:r>
              <w:rPr>
                <w:rFonts w:hint="default" w:ascii="Times New Roman" w:hAnsi="Times New Roman" w:cs="Times New Roman"/>
                <w:color w:val="auto"/>
                <w:sz w:val="24"/>
              </w:rPr>
              <w:t>）进行计算，则本项目废气处理工艺对有机废气总处理效率合计为1-（1-</w:t>
            </w:r>
            <w:r>
              <w:rPr>
                <w:rFonts w:hint="eastAsia" w:cs="Times New Roman"/>
                <w:color w:val="auto"/>
                <w:sz w:val="24"/>
                <w:lang w:val="en-US" w:eastAsia="zh-CN"/>
              </w:rPr>
              <w:t>6</w:t>
            </w:r>
            <w:r>
              <w:rPr>
                <w:rFonts w:hint="default" w:ascii="Times New Roman" w:hAnsi="Times New Roman" w:cs="Times New Roman"/>
                <w:color w:val="auto"/>
                <w:sz w:val="24"/>
              </w:rPr>
              <w:t>0%）×（1-50%）=</w:t>
            </w:r>
            <w:r>
              <w:rPr>
                <w:rFonts w:hint="eastAsia" w:cs="Times New Roman"/>
                <w:color w:val="auto"/>
                <w:sz w:val="24"/>
                <w:lang w:val="en-US" w:eastAsia="zh-CN"/>
              </w:rPr>
              <w:t>80</w:t>
            </w:r>
            <w:r>
              <w:rPr>
                <w:rFonts w:hint="default" w:ascii="Times New Roman" w:hAnsi="Times New Roman" w:cs="Times New Roman"/>
                <w:color w:val="auto"/>
                <w:sz w:val="24"/>
              </w:rPr>
              <w:t>%。</w:t>
            </w:r>
          </w:p>
          <w:p w14:paraId="589F1D12">
            <w:pPr>
              <w:widowControl w:val="0"/>
              <w:wordWrap w:val="0"/>
              <w:topLinePunct/>
              <w:adjustRightInd w:val="0"/>
              <w:snapToGrid/>
              <w:spacing w:line="360" w:lineRule="auto"/>
              <w:ind w:firstLine="482" w:firstLineChars="200"/>
              <w:jc w:val="both"/>
              <w:rPr>
                <w:rFonts w:ascii="Times New Roman" w:hAnsi="Times New Roman" w:eastAsia="宋体" w:cs="Times New Roman"/>
                <w:b/>
                <w:bCs/>
                <w:color w:val="auto"/>
                <w:spacing w:val="0"/>
                <w:kern w:val="2"/>
                <w:sz w:val="24"/>
                <w:szCs w:val="24"/>
                <w:highlight w:val="none"/>
                <w:lang w:val="en-US" w:eastAsia="zh-CN" w:bidi="ar-SA"/>
              </w:rPr>
            </w:pPr>
            <w:bookmarkStart w:id="25" w:name="_Toc14680"/>
            <w:r>
              <w:rPr>
                <w:rFonts w:hint="eastAsia" w:cs="Times New Roman"/>
                <w:b/>
                <w:bCs/>
                <w:color w:val="auto"/>
                <w:spacing w:val="0"/>
                <w:kern w:val="2"/>
                <w:sz w:val="24"/>
                <w:szCs w:val="24"/>
                <w:highlight w:val="none"/>
                <w:lang w:val="en-US" w:eastAsia="zh-CN" w:bidi="ar-SA"/>
              </w:rPr>
              <w:t>1</w:t>
            </w:r>
            <w:r>
              <w:rPr>
                <w:rFonts w:hint="eastAsia" w:ascii="Times New Roman" w:hAnsi="Times New Roman" w:eastAsia="宋体" w:cs="Times New Roman"/>
                <w:b/>
                <w:bCs/>
                <w:color w:val="auto"/>
                <w:spacing w:val="0"/>
                <w:kern w:val="2"/>
                <w:sz w:val="24"/>
                <w:szCs w:val="24"/>
                <w:highlight w:val="none"/>
                <w:lang w:val="en-US" w:eastAsia="zh-CN" w:bidi="ar-SA"/>
              </w:rPr>
              <w:t>.</w:t>
            </w:r>
            <w:r>
              <w:rPr>
                <w:rFonts w:hint="eastAsia" w:cs="Times New Roman"/>
                <w:b/>
                <w:bCs/>
                <w:color w:val="auto"/>
                <w:spacing w:val="0"/>
                <w:kern w:val="2"/>
                <w:sz w:val="24"/>
                <w:szCs w:val="24"/>
                <w:highlight w:val="none"/>
                <w:lang w:val="en-US" w:eastAsia="zh-CN" w:bidi="ar-SA"/>
              </w:rPr>
              <w:t>2</w:t>
            </w:r>
            <w:r>
              <w:rPr>
                <w:rFonts w:hint="eastAsia" w:ascii="Times New Roman" w:hAnsi="Times New Roman" w:eastAsia="宋体" w:cs="Times New Roman"/>
                <w:b/>
                <w:bCs/>
                <w:color w:val="auto"/>
                <w:spacing w:val="0"/>
                <w:kern w:val="2"/>
                <w:sz w:val="24"/>
                <w:szCs w:val="24"/>
                <w:highlight w:val="none"/>
                <w:lang w:val="en-US" w:eastAsia="zh-CN" w:bidi="ar-SA"/>
              </w:rPr>
              <w:t>.7</w:t>
            </w:r>
            <w:r>
              <w:rPr>
                <w:rFonts w:ascii="Times New Roman" w:hAnsi="Times New Roman" w:eastAsia="宋体" w:cs="Times New Roman"/>
                <w:b/>
                <w:bCs/>
                <w:color w:val="auto"/>
                <w:spacing w:val="0"/>
                <w:kern w:val="2"/>
                <w:sz w:val="24"/>
                <w:szCs w:val="24"/>
                <w:highlight w:val="none"/>
                <w:lang w:val="en-US" w:eastAsia="zh-CN" w:bidi="ar-SA"/>
              </w:rPr>
              <w:t>喷枪清洗有机废气</w:t>
            </w:r>
            <w:bookmarkEnd w:id="25"/>
          </w:p>
          <w:p w14:paraId="754D3DAE">
            <w:pPr>
              <w:pStyle w:val="158"/>
              <w:pageBreakBefore w:val="0"/>
              <w:wordWrap w:val="0"/>
              <w:topLinePunct/>
              <w:bidi w:val="0"/>
              <w:snapToGrid/>
              <w:spacing w:beforeAutospacing="0" w:afterAutospacing="0"/>
              <w:ind w:firstLine="480"/>
              <w:rPr>
                <w:color w:val="auto"/>
                <w:highlight w:val="none"/>
              </w:rPr>
            </w:pPr>
            <w:r>
              <w:rPr>
                <w:rFonts w:ascii="Times New Roman" w:hAnsi="Times New Roman" w:eastAsia="宋体" w:cs="Times New Roman"/>
                <w:color w:val="auto"/>
                <w:spacing w:val="0"/>
                <w:kern w:val="2"/>
                <w:sz w:val="24"/>
                <w:szCs w:val="24"/>
                <w:highlight w:val="none"/>
                <w:lang w:val="en-US" w:eastAsia="zh-CN" w:bidi="ar-SA"/>
              </w:rPr>
              <w:t>本项目喷枪需要定期清洗，在流平室进行，拆卸喷枪后放入</w:t>
            </w:r>
            <w:r>
              <w:rPr>
                <w:rFonts w:hint="eastAsia" w:cs="Times New Roman"/>
                <w:color w:val="auto"/>
                <w:spacing w:val="0"/>
                <w:kern w:val="2"/>
                <w:sz w:val="24"/>
                <w:szCs w:val="24"/>
                <w:highlight w:val="none"/>
                <w:lang w:val="en-US" w:eastAsia="zh-CN" w:bidi="ar-SA"/>
              </w:rPr>
              <w:t>清洗剂</w:t>
            </w:r>
            <w:r>
              <w:rPr>
                <w:rFonts w:ascii="Times New Roman" w:hAnsi="Times New Roman" w:eastAsia="宋体" w:cs="Times New Roman"/>
                <w:color w:val="auto"/>
                <w:spacing w:val="0"/>
                <w:kern w:val="2"/>
                <w:sz w:val="24"/>
                <w:szCs w:val="24"/>
                <w:highlight w:val="none"/>
                <w:lang w:val="en-US" w:eastAsia="zh-CN" w:bidi="ar-SA"/>
              </w:rPr>
              <w:t>原料桶内，加盖浸泡一段时间后取出，完成清洗。该过程会无组织排放少量有机废气，由于产生量较小，因此喷枪清洗有机废气仅考虑定性分析，使用后的</w:t>
            </w:r>
            <w:r>
              <w:rPr>
                <w:rFonts w:hint="eastAsia" w:cs="Times New Roman"/>
                <w:color w:val="auto"/>
                <w:spacing w:val="0"/>
                <w:kern w:val="2"/>
                <w:sz w:val="24"/>
                <w:szCs w:val="24"/>
                <w:highlight w:val="none"/>
                <w:lang w:val="en-US" w:eastAsia="zh-CN" w:bidi="ar-SA"/>
              </w:rPr>
              <w:t>清洗</w:t>
            </w:r>
            <w:r>
              <w:rPr>
                <w:rFonts w:ascii="Times New Roman" w:hAnsi="Times New Roman" w:eastAsia="宋体" w:cs="Times New Roman"/>
                <w:color w:val="auto"/>
                <w:spacing w:val="0"/>
                <w:kern w:val="2"/>
                <w:sz w:val="24"/>
                <w:szCs w:val="24"/>
                <w:highlight w:val="none"/>
                <w:lang w:val="en-US" w:eastAsia="zh-CN" w:bidi="ar-SA"/>
              </w:rPr>
              <w:t>剂及原料桶作为危废处理。</w:t>
            </w:r>
          </w:p>
          <w:p w14:paraId="4C70C59B">
            <w:pPr>
              <w:pStyle w:val="158"/>
              <w:pageBreakBefore w:val="0"/>
              <w:wordWrap w:val="0"/>
              <w:topLinePunct/>
              <w:bidi w:val="0"/>
              <w:snapToGrid/>
              <w:spacing w:beforeAutospacing="0" w:afterAutospacing="0"/>
              <w:ind w:firstLine="480"/>
              <w:rPr>
                <w:rFonts w:hint="default" w:eastAsia="宋体"/>
                <w:color w:val="auto"/>
                <w:highlight w:val="none"/>
                <w:lang w:val="en-US" w:eastAsia="zh-CN"/>
              </w:rPr>
            </w:pPr>
            <w:r>
              <w:rPr>
                <w:color w:val="auto"/>
              </w:rPr>
              <w:t>综上，</w:t>
            </w:r>
            <w:r>
              <w:rPr>
                <w:rFonts w:hint="eastAsia"/>
                <w:color w:val="auto"/>
                <w:lang w:val="en-US" w:eastAsia="zh-CN"/>
              </w:rPr>
              <w:t>项目喷粉废气经过</w:t>
            </w:r>
            <w:r>
              <w:rPr>
                <w:color w:val="auto"/>
              </w:rPr>
              <w:t>“大旋风+滤芯式二级回收系统”</w:t>
            </w:r>
            <w:r>
              <w:rPr>
                <w:rFonts w:hint="eastAsia"/>
                <w:color w:val="auto"/>
                <w:lang w:val="en-US" w:eastAsia="zh-CN"/>
              </w:rPr>
              <w:t>处理后无组织排放，</w:t>
            </w:r>
            <w:r>
              <w:rPr>
                <w:color w:val="auto"/>
              </w:rPr>
              <w:t>喷漆工序产生的漆雾</w:t>
            </w:r>
            <w:r>
              <w:rPr>
                <w:rFonts w:hint="eastAsia"/>
                <w:color w:val="auto"/>
                <w:lang w:eastAsia="zh-CN"/>
              </w:rPr>
              <w:t>经水帘</w:t>
            </w:r>
            <w:r>
              <w:rPr>
                <w:rFonts w:hint="eastAsia"/>
                <w:color w:val="auto"/>
                <w:lang w:val="en-US" w:eastAsia="zh-CN"/>
              </w:rPr>
              <w:t>柜</w:t>
            </w:r>
            <w:r>
              <w:rPr>
                <w:rFonts w:hint="eastAsia"/>
                <w:color w:val="auto"/>
                <w:lang w:eastAsia="zh-CN"/>
              </w:rPr>
              <w:t>预处理后</w:t>
            </w:r>
            <w:r>
              <w:rPr>
                <w:color w:val="auto"/>
              </w:rPr>
              <w:t>进入“</w:t>
            </w:r>
            <w:r>
              <w:rPr>
                <w:rFonts w:hint="eastAsia"/>
                <w:color w:val="auto"/>
                <w:lang w:eastAsia="zh-CN"/>
              </w:rPr>
              <w:t>喷淋塔+干式过滤器+活性炭吸脱附催化燃烧</w:t>
            </w:r>
            <w:r>
              <w:rPr>
                <w:rFonts w:hint="eastAsia"/>
                <w:color w:val="auto"/>
                <w:lang w:val="en-US" w:eastAsia="zh-CN"/>
              </w:rPr>
              <w:t>+活性炭吸附</w:t>
            </w:r>
            <w:r>
              <w:rPr>
                <w:color w:val="auto"/>
                <w:highlight w:val="none"/>
              </w:rPr>
              <w:t>”</w:t>
            </w:r>
            <w:r>
              <w:rPr>
                <w:rFonts w:hint="eastAsia"/>
                <w:color w:val="auto"/>
                <w:highlight w:val="none"/>
                <w:lang w:eastAsia="zh-CN"/>
              </w:rPr>
              <w:t>装置</w:t>
            </w:r>
            <w:r>
              <w:rPr>
                <w:color w:val="auto"/>
                <w:highlight w:val="none"/>
              </w:rPr>
              <w:t>处理</w:t>
            </w:r>
            <w:r>
              <w:rPr>
                <w:rFonts w:hint="eastAsia"/>
                <w:color w:val="auto"/>
                <w:highlight w:val="none"/>
                <w:lang w:eastAsia="zh-CN"/>
              </w:rPr>
              <w:t>，经</w:t>
            </w:r>
            <w:r>
              <w:rPr>
                <w:rFonts w:hint="eastAsia"/>
                <w:color w:val="auto"/>
                <w:highlight w:val="none"/>
                <w:lang w:val="en-US" w:eastAsia="zh-CN"/>
              </w:rPr>
              <w:t>DA001排气筒排放</w:t>
            </w:r>
            <w:r>
              <w:rPr>
                <w:color w:val="auto"/>
                <w:highlight w:val="none"/>
              </w:rPr>
              <w:t>。</w:t>
            </w:r>
            <w:r>
              <w:rPr>
                <w:rFonts w:hint="eastAsia"/>
                <w:color w:val="auto"/>
                <w:highlight w:val="none"/>
                <w:lang w:val="en-US" w:eastAsia="zh-CN"/>
              </w:rPr>
              <w:t>固化废气经</w:t>
            </w:r>
            <w:r>
              <w:rPr>
                <w:color w:val="auto"/>
              </w:rPr>
              <w:t>“</w:t>
            </w:r>
            <w:r>
              <w:rPr>
                <w:rFonts w:hint="eastAsia"/>
                <w:color w:val="auto"/>
                <w:lang w:eastAsia="zh-CN"/>
              </w:rPr>
              <w:t>喷淋塔+干式过滤器+</w:t>
            </w:r>
            <w:r>
              <w:rPr>
                <w:rFonts w:hint="eastAsia"/>
                <w:color w:val="auto"/>
                <w:lang w:val="en-US" w:eastAsia="zh-CN"/>
              </w:rPr>
              <w:t>二级活性炭吸附</w:t>
            </w:r>
            <w:r>
              <w:rPr>
                <w:color w:val="auto"/>
                <w:highlight w:val="none"/>
              </w:rPr>
              <w:t>”</w:t>
            </w:r>
            <w:r>
              <w:rPr>
                <w:rFonts w:hint="eastAsia"/>
                <w:color w:val="auto"/>
                <w:highlight w:val="none"/>
                <w:lang w:eastAsia="zh-CN"/>
              </w:rPr>
              <w:t>装置</w:t>
            </w:r>
            <w:r>
              <w:rPr>
                <w:color w:val="auto"/>
                <w:highlight w:val="none"/>
              </w:rPr>
              <w:t>处理</w:t>
            </w:r>
            <w:r>
              <w:rPr>
                <w:rFonts w:hint="eastAsia"/>
                <w:color w:val="auto"/>
                <w:highlight w:val="none"/>
                <w:lang w:eastAsia="zh-CN"/>
              </w:rPr>
              <w:t>，</w:t>
            </w:r>
            <w:r>
              <w:rPr>
                <w:rFonts w:hint="eastAsia"/>
                <w:color w:val="auto"/>
                <w:highlight w:val="none"/>
                <w:lang w:val="en-US" w:eastAsia="zh-CN"/>
              </w:rPr>
              <w:t>与天然气燃烧废气一同</w:t>
            </w:r>
            <w:r>
              <w:rPr>
                <w:rFonts w:hint="eastAsia"/>
                <w:color w:val="auto"/>
                <w:highlight w:val="none"/>
                <w:lang w:eastAsia="zh-CN"/>
              </w:rPr>
              <w:t>经</w:t>
            </w:r>
            <w:r>
              <w:rPr>
                <w:rFonts w:hint="eastAsia"/>
                <w:color w:val="auto"/>
                <w:highlight w:val="none"/>
                <w:lang w:val="en-US" w:eastAsia="zh-CN"/>
              </w:rPr>
              <w:t>DA002排气筒排放。</w:t>
            </w:r>
          </w:p>
          <w:p w14:paraId="5B8CC7E9">
            <w:pPr>
              <w:pStyle w:val="158"/>
              <w:keepNext w:val="0"/>
              <w:keepLines w:val="0"/>
              <w:numPr>
                <w:ilvl w:val="0"/>
                <w:numId w:val="0"/>
              </w:numPr>
              <w:suppressLineNumbers w:val="0"/>
              <w:tabs>
                <w:tab w:val="left" w:pos="0"/>
              </w:tabs>
              <w:snapToGrid/>
              <w:spacing w:before="0" w:beforeAutospacing="0" w:after="0" w:afterAutospacing="0"/>
              <w:ind w:left="0" w:leftChars="0" w:right="0" w:rightChars="0" w:firstLine="40" w:firstLineChars="0"/>
              <w:jc w:val="center"/>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pacing w:val="0"/>
                <w:kern w:val="2"/>
                <w:sz w:val="21"/>
                <w:szCs w:val="21"/>
                <w:lang w:val="en-US" w:eastAsia="zh-CN" w:bidi="ar-SA"/>
              </w:rPr>
              <w:t>表4-1</w:t>
            </w:r>
            <w:r>
              <w:rPr>
                <w:rFonts w:hint="eastAsia" w:cs="Times New Roman"/>
                <w:b/>
                <w:bCs/>
                <w:color w:val="auto"/>
                <w:spacing w:val="0"/>
                <w:kern w:val="2"/>
                <w:sz w:val="21"/>
                <w:szCs w:val="21"/>
                <w:lang w:val="en-US" w:eastAsia="zh-CN" w:bidi="ar-SA"/>
              </w:rPr>
              <w:t>8</w:t>
            </w:r>
            <w:r>
              <w:rPr>
                <w:b/>
                <w:bCs/>
                <w:color w:val="auto"/>
                <w:sz w:val="21"/>
                <w:szCs w:val="21"/>
              </w:rPr>
              <w:t>项目各污染物收集、治理、排放方式一览表</w:t>
            </w:r>
          </w:p>
          <w:tbl>
            <w:tblPr>
              <w:tblStyle w:val="49"/>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720"/>
              <w:gridCol w:w="669"/>
              <w:gridCol w:w="1045"/>
              <w:gridCol w:w="1221"/>
              <w:gridCol w:w="905"/>
              <w:gridCol w:w="1134"/>
              <w:gridCol w:w="622"/>
              <w:gridCol w:w="575"/>
              <w:gridCol w:w="739"/>
            </w:tblGrid>
            <w:tr w14:paraId="7816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Align w:val="center"/>
                </w:tcPr>
                <w:p w14:paraId="6B195445">
                  <w:pPr>
                    <w:pageBreakBefore w:val="0"/>
                    <w:wordWrap w:val="0"/>
                    <w:topLinePunct/>
                    <w:bidi w:val="0"/>
                    <w:spacing w:beforeAutospacing="0" w:afterAutospacing="0"/>
                    <w:jc w:val="center"/>
                    <w:rPr>
                      <w:rFonts w:eastAsiaTheme="minorEastAsia"/>
                      <w:b/>
                      <w:bCs/>
                      <w:color w:val="auto"/>
                      <w:sz w:val="21"/>
                      <w:szCs w:val="21"/>
                    </w:rPr>
                  </w:pPr>
                  <w:r>
                    <w:rPr>
                      <w:b/>
                      <w:bCs/>
                      <w:color w:val="auto"/>
                      <w:sz w:val="21"/>
                      <w:szCs w:val="21"/>
                    </w:rPr>
                    <w:t>所在车间</w:t>
                  </w:r>
                </w:p>
              </w:tc>
              <w:tc>
                <w:tcPr>
                  <w:tcW w:w="428" w:type="pct"/>
                  <w:vAlign w:val="center"/>
                </w:tcPr>
                <w:p w14:paraId="45F51A06">
                  <w:pPr>
                    <w:pageBreakBefore w:val="0"/>
                    <w:wordWrap w:val="0"/>
                    <w:topLinePunct/>
                    <w:bidi w:val="0"/>
                    <w:spacing w:beforeAutospacing="0" w:afterAutospacing="0"/>
                    <w:jc w:val="center"/>
                    <w:rPr>
                      <w:rFonts w:eastAsiaTheme="minorEastAsia"/>
                      <w:b/>
                      <w:bCs/>
                      <w:color w:val="auto"/>
                      <w:sz w:val="21"/>
                      <w:szCs w:val="21"/>
                    </w:rPr>
                  </w:pPr>
                  <w:r>
                    <w:rPr>
                      <w:b/>
                      <w:bCs/>
                      <w:color w:val="auto"/>
                      <w:sz w:val="21"/>
                      <w:szCs w:val="21"/>
                    </w:rPr>
                    <w:t>生产线</w:t>
                  </w:r>
                </w:p>
              </w:tc>
              <w:tc>
                <w:tcPr>
                  <w:tcW w:w="398" w:type="pct"/>
                  <w:vAlign w:val="center"/>
                </w:tcPr>
                <w:p w14:paraId="76B8DE75">
                  <w:pPr>
                    <w:pageBreakBefore w:val="0"/>
                    <w:wordWrap w:val="0"/>
                    <w:topLinePunct/>
                    <w:bidi w:val="0"/>
                    <w:spacing w:beforeAutospacing="0" w:afterAutospacing="0"/>
                    <w:jc w:val="center"/>
                    <w:rPr>
                      <w:rFonts w:eastAsiaTheme="minorEastAsia"/>
                      <w:b/>
                      <w:bCs/>
                      <w:color w:val="auto"/>
                      <w:sz w:val="21"/>
                      <w:szCs w:val="21"/>
                    </w:rPr>
                  </w:pPr>
                  <w:r>
                    <w:rPr>
                      <w:b/>
                      <w:bCs/>
                      <w:color w:val="auto"/>
                      <w:sz w:val="21"/>
                      <w:szCs w:val="21"/>
                    </w:rPr>
                    <w:t>工序</w:t>
                  </w:r>
                </w:p>
              </w:tc>
              <w:tc>
                <w:tcPr>
                  <w:tcW w:w="622" w:type="pct"/>
                  <w:vAlign w:val="center"/>
                </w:tcPr>
                <w:p w14:paraId="0FD0F5D2">
                  <w:pPr>
                    <w:pageBreakBefore w:val="0"/>
                    <w:wordWrap w:val="0"/>
                    <w:topLinePunct/>
                    <w:bidi w:val="0"/>
                    <w:spacing w:beforeAutospacing="0" w:afterAutospacing="0"/>
                    <w:jc w:val="center"/>
                    <w:rPr>
                      <w:b/>
                      <w:bCs/>
                      <w:color w:val="auto"/>
                      <w:sz w:val="21"/>
                      <w:szCs w:val="21"/>
                    </w:rPr>
                  </w:pPr>
                  <w:r>
                    <w:rPr>
                      <w:b/>
                      <w:bCs/>
                      <w:color w:val="auto"/>
                      <w:sz w:val="21"/>
                      <w:szCs w:val="21"/>
                    </w:rPr>
                    <w:t>污染物</w:t>
                  </w:r>
                </w:p>
              </w:tc>
              <w:tc>
                <w:tcPr>
                  <w:tcW w:w="727" w:type="pct"/>
                  <w:vAlign w:val="center"/>
                </w:tcPr>
                <w:p w14:paraId="6C041185">
                  <w:pPr>
                    <w:pageBreakBefore w:val="0"/>
                    <w:wordWrap w:val="0"/>
                    <w:topLinePunct/>
                    <w:bidi w:val="0"/>
                    <w:spacing w:beforeAutospacing="0" w:afterAutospacing="0"/>
                    <w:jc w:val="center"/>
                    <w:rPr>
                      <w:b/>
                      <w:bCs/>
                      <w:color w:val="auto"/>
                      <w:sz w:val="21"/>
                      <w:szCs w:val="21"/>
                    </w:rPr>
                  </w:pPr>
                  <w:r>
                    <w:rPr>
                      <w:b/>
                      <w:bCs/>
                      <w:color w:val="auto"/>
                      <w:sz w:val="21"/>
                      <w:szCs w:val="21"/>
                    </w:rPr>
                    <w:t>收集方式</w:t>
                  </w:r>
                </w:p>
              </w:tc>
              <w:tc>
                <w:tcPr>
                  <w:tcW w:w="539" w:type="pct"/>
                  <w:vAlign w:val="center"/>
                </w:tcPr>
                <w:p w14:paraId="72219C25">
                  <w:pPr>
                    <w:pageBreakBefore w:val="0"/>
                    <w:wordWrap w:val="0"/>
                    <w:topLinePunct/>
                    <w:bidi w:val="0"/>
                    <w:spacing w:beforeAutospacing="0" w:afterAutospacing="0"/>
                    <w:jc w:val="center"/>
                    <w:rPr>
                      <w:rFonts w:hint="default" w:eastAsia="宋体"/>
                      <w:b/>
                      <w:bCs/>
                      <w:color w:val="auto"/>
                      <w:sz w:val="21"/>
                      <w:szCs w:val="21"/>
                      <w:lang w:val="en-US" w:eastAsia="zh-CN"/>
                    </w:rPr>
                  </w:pPr>
                  <w:r>
                    <w:rPr>
                      <w:rFonts w:hint="eastAsia"/>
                      <w:b/>
                      <w:bCs/>
                      <w:color w:val="auto"/>
                      <w:sz w:val="21"/>
                      <w:szCs w:val="21"/>
                      <w:lang w:val="en-US" w:eastAsia="zh-CN"/>
                    </w:rPr>
                    <w:t>集气效率%</w:t>
                  </w:r>
                </w:p>
              </w:tc>
              <w:tc>
                <w:tcPr>
                  <w:tcW w:w="675" w:type="pct"/>
                  <w:vAlign w:val="center"/>
                </w:tcPr>
                <w:p w14:paraId="132B4B79">
                  <w:pPr>
                    <w:pageBreakBefore w:val="0"/>
                    <w:wordWrap w:val="0"/>
                    <w:topLinePunct/>
                    <w:bidi w:val="0"/>
                    <w:spacing w:beforeAutospacing="0" w:afterAutospacing="0"/>
                    <w:jc w:val="center"/>
                    <w:rPr>
                      <w:rFonts w:eastAsiaTheme="minorEastAsia"/>
                      <w:b/>
                      <w:bCs/>
                      <w:color w:val="auto"/>
                      <w:sz w:val="21"/>
                      <w:szCs w:val="21"/>
                    </w:rPr>
                  </w:pPr>
                  <w:r>
                    <w:rPr>
                      <w:b/>
                      <w:bCs/>
                      <w:color w:val="auto"/>
                      <w:sz w:val="21"/>
                      <w:szCs w:val="21"/>
                    </w:rPr>
                    <w:t>治理措施</w:t>
                  </w:r>
                </w:p>
              </w:tc>
              <w:tc>
                <w:tcPr>
                  <w:tcW w:w="370" w:type="pct"/>
                  <w:vAlign w:val="center"/>
                </w:tcPr>
                <w:p w14:paraId="320843C6">
                  <w:pPr>
                    <w:pageBreakBefore w:val="0"/>
                    <w:wordWrap w:val="0"/>
                    <w:topLinePunct/>
                    <w:bidi w:val="0"/>
                    <w:spacing w:beforeAutospacing="0" w:afterAutospacing="0"/>
                    <w:jc w:val="center"/>
                    <w:rPr>
                      <w:rFonts w:hint="default" w:eastAsia="宋体"/>
                      <w:b/>
                      <w:bCs/>
                      <w:color w:val="auto"/>
                      <w:sz w:val="21"/>
                      <w:szCs w:val="21"/>
                      <w:lang w:val="en-US" w:eastAsia="zh-CN"/>
                    </w:rPr>
                  </w:pPr>
                  <w:r>
                    <w:rPr>
                      <w:rFonts w:hint="eastAsia"/>
                      <w:b/>
                      <w:bCs/>
                      <w:color w:val="auto"/>
                      <w:sz w:val="21"/>
                      <w:szCs w:val="21"/>
                      <w:lang w:val="en-US" w:eastAsia="zh-CN"/>
                    </w:rPr>
                    <w:t>处理效率%</w:t>
                  </w:r>
                </w:p>
              </w:tc>
              <w:tc>
                <w:tcPr>
                  <w:tcW w:w="342" w:type="pct"/>
                  <w:vAlign w:val="center"/>
                </w:tcPr>
                <w:p w14:paraId="524E2D89">
                  <w:pPr>
                    <w:pageBreakBefore w:val="0"/>
                    <w:wordWrap w:val="0"/>
                    <w:topLinePunct/>
                    <w:bidi w:val="0"/>
                    <w:spacing w:beforeAutospacing="0" w:afterAutospacing="0"/>
                    <w:jc w:val="center"/>
                    <w:rPr>
                      <w:rFonts w:eastAsiaTheme="minorEastAsia"/>
                      <w:b/>
                      <w:bCs/>
                      <w:color w:val="auto"/>
                      <w:sz w:val="21"/>
                      <w:szCs w:val="21"/>
                    </w:rPr>
                  </w:pPr>
                  <w:r>
                    <w:rPr>
                      <w:b/>
                      <w:bCs/>
                      <w:color w:val="auto"/>
                      <w:sz w:val="21"/>
                      <w:szCs w:val="21"/>
                    </w:rPr>
                    <w:t>排放形式</w:t>
                  </w:r>
                </w:p>
              </w:tc>
              <w:tc>
                <w:tcPr>
                  <w:tcW w:w="440" w:type="pct"/>
                  <w:vAlign w:val="center"/>
                </w:tcPr>
                <w:p w14:paraId="2D71E12E">
                  <w:pPr>
                    <w:pageBreakBefore w:val="0"/>
                    <w:wordWrap w:val="0"/>
                    <w:topLinePunct/>
                    <w:bidi w:val="0"/>
                    <w:spacing w:beforeAutospacing="0" w:afterAutospacing="0"/>
                    <w:jc w:val="center"/>
                    <w:rPr>
                      <w:rFonts w:eastAsiaTheme="minorEastAsia"/>
                      <w:b/>
                      <w:bCs/>
                      <w:color w:val="auto"/>
                      <w:sz w:val="21"/>
                      <w:szCs w:val="21"/>
                    </w:rPr>
                  </w:pPr>
                  <w:r>
                    <w:rPr>
                      <w:b/>
                      <w:bCs/>
                      <w:color w:val="auto"/>
                      <w:sz w:val="21"/>
                      <w:szCs w:val="21"/>
                    </w:rPr>
                    <w:t>排气筒编号</w:t>
                  </w:r>
                </w:p>
              </w:tc>
            </w:tr>
            <w:tr w14:paraId="65FC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Align w:val="center"/>
                </w:tcPr>
                <w:p w14:paraId="1E2A3983">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1#车间</w:t>
                  </w:r>
                </w:p>
              </w:tc>
              <w:tc>
                <w:tcPr>
                  <w:tcW w:w="428" w:type="pct"/>
                  <w:vAlign w:val="center"/>
                </w:tcPr>
                <w:p w14:paraId="4291859C">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切割粉尘</w:t>
                  </w:r>
                </w:p>
              </w:tc>
              <w:tc>
                <w:tcPr>
                  <w:tcW w:w="398" w:type="pct"/>
                  <w:vAlign w:val="center"/>
                </w:tcPr>
                <w:p w14:paraId="15C303AB">
                  <w:pPr>
                    <w:pageBreakBefore w:val="0"/>
                    <w:wordWrap w:val="0"/>
                    <w:topLinePunct/>
                    <w:bidi w:val="0"/>
                    <w:spacing w:beforeAutospacing="0" w:afterAutospacing="0"/>
                    <w:jc w:val="center"/>
                    <w:rPr>
                      <w:rFonts w:hint="eastAsia" w:eastAsia="宋体"/>
                      <w:b w:val="0"/>
                      <w:bCs w:val="0"/>
                      <w:color w:val="auto"/>
                      <w:sz w:val="21"/>
                      <w:szCs w:val="21"/>
                      <w:lang w:val="en-US" w:eastAsia="zh-CN"/>
                    </w:rPr>
                  </w:pPr>
                  <w:r>
                    <w:rPr>
                      <w:rFonts w:hint="eastAsia"/>
                      <w:b w:val="0"/>
                      <w:bCs w:val="0"/>
                      <w:color w:val="auto"/>
                      <w:sz w:val="21"/>
                      <w:szCs w:val="21"/>
                      <w:lang w:val="en-US" w:eastAsia="zh-CN"/>
                    </w:rPr>
                    <w:t>切割</w:t>
                  </w:r>
                </w:p>
              </w:tc>
              <w:tc>
                <w:tcPr>
                  <w:tcW w:w="622" w:type="pct"/>
                  <w:vAlign w:val="center"/>
                </w:tcPr>
                <w:p w14:paraId="6D88CE97">
                  <w:pPr>
                    <w:pageBreakBefore w:val="0"/>
                    <w:wordWrap w:val="0"/>
                    <w:topLinePunct/>
                    <w:bidi w:val="0"/>
                    <w:spacing w:beforeAutospacing="0" w:afterAutospacing="0"/>
                    <w:jc w:val="center"/>
                    <w:rPr>
                      <w:rFonts w:hint="eastAsia" w:eastAsia="宋体"/>
                      <w:b w:val="0"/>
                      <w:bCs w:val="0"/>
                      <w:color w:val="auto"/>
                      <w:sz w:val="21"/>
                      <w:szCs w:val="21"/>
                      <w:lang w:val="en-US" w:eastAsia="zh-CN"/>
                    </w:rPr>
                  </w:pPr>
                  <w:r>
                    <w:rPr>
                      <w:rFonts w:hint="eastAsia"/>
                      <w:b w:val="0"/>
                      <w:bCs w:val="0"/>
                      <w:color w:val="auto"/>
                      <w:sz w:val="21"/>
                      <w:szCs w:val="21"/>
                      <w:lang w:val="en-US" w:eastAsia="zh-CN"/>
                    </w:rPr>
                    <w:t>颗粒物</w:t>
                  </w:r>
                </w:p>
              </w:tc>
              <w:tc>
                <w:tcPr>
                  <w:tcW w:w="727" w:type="pct"/>
                  <w:vAlign w:val="center"/>
                </w:tcPr>
                <w:p w14:paraId="0F0F33D2">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集气罩</w:t>
                  </w:r>
                </w:p>
              </w:tc>
              <w:tc>
                <w:tcPr>
                  <w:tcW w:w="539" w:type="pct"/>
                  <w:vAlign w:val="center"/>
                </w:tcPr>
                <w:p w14:paraId="76F0E2FB">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w:t>
                  </w:r>
                </w:p>
              </w:tc>
              <w:tc>
                <w:tcPr>
                  <w:tcW w:w="675" w:type="pct"/>
                  <w:vAlign w:val="center"/>
                </w:tcPr>
                <w:p w14:paraId="05C13A49">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自然沉降</w:t>
                  </w:r>
                </w:p>
              </w:tc>
              <w:tc>
                <w:tcPr>
                  <w:tcW w:w="370" w:type="pct"/>
                  <w:vAlign w:val="center"/>
                </w:tcPr>
                <w:p w14:paraId="34DADFB0">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w:t>
                  </w:r>
                </w:p>
              </w:tc>
              <w:tc>
                <w:tcPr>
                  <w:tcW w:w="342" w:type="pct"/>
                  <w:vAlign w:val="center"/>
                </w:tcPr>
                <w:p w14:paraId="5B862AEA">
                  <w:pPr>
                    <w:pageBreakBefore w:val="0"/>
                    <w:wordWrap w:val="0"/>
                    <w:topLinePunct/>
                    <w:bidi w:val="0"/>
                    <w:spacing w:beforeAutospacing="0" w:afterAutospacing="0"/>
                    <w:jc w:val="center"/>
                    <w:rPr>
                      <w:b w:val="0"/>
                      <w:bCs w:val="0"/>
                      <w:color w:val="auto"/>
                      <w:sz w:val="21"/>
                      <w:szCs w:val="21"/>
                    </w:rPr>
                  </w:pPr>
                  <w:r>
                    <w:rPr>
                      <w:b w:val="0"/>
                      <w:bCs w:val="0"/>
                      <w:color w:val="auto"/>
                      <w:sz w:val="21"/>
                      <w:szCs w:val="21"/>
                    </w:rPr>
                    <w:t>无组织</w:t>
                  </w:r>
                </w:p>
              </w:tc>
              <w:tc>
                <w:tcPr>
                  <w:tcW w:w="440" w:type="pct"/>
                  <w:vAlign w:val="center"/>
                </w:tcPr>
                <w:p w14:paraId="60C778DA">
                  <w:pPr>
                    <w:pageBreakBefore w:val="0"/>
                    <w:wordWrap w:val="0"/>
                    <w:topLinePunct/>
                    <w:bidi w:val="0"/>
                    <w:spacing w:beforeAutospacing="0" w:afterAutospacing="0"/>
                    <w:jc w:val="center"/>
                    <w:rPr>
                      <w:b w:val="0"/>
                      <w:bCs w:val="0"/>
                      <w:color w:val="auto"/>
                      <w:sz w:val="21"/>
                      <w:szCs w:val="21"/>
                    </w:rPr>
                  </w:pPr>
                  <w:r>
                    <w:rPr>
                      <w:b w:val="0"/>
                      <w:bCs w:val="0"/>
                      <w:color w:val="auto"/>
                      <w:sz w:val="21"/>
                      <w:szCs w:val="21"/>
                    </w:rPr>
                    <w:t>/</w:t>
                  </w:r>
                </w:p>
              </w:tc>
            </w:tr>
            <w:tr w14:paraId="28EE6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Align w:val="center"/>
                </w:tcPr>
                <w:p w14:paraId="6F1108B8">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3#车间</w:t>
                  </w:r>
                </w:p>
              </w:tc>
              <w:tc>
                <w:tcPr>
                  <w:tcW w:w="428" w:type="pct"/>
                  <w:vAlign w:val="center"/>
                </w:tcPr>
                <w:p w14:paraId="228FEDC8">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焊接烟尘</w:t>
                  </w:r>
                </w:p>
              </w:tc>
              <w:tc>
                <w:tcPr>
                  <w:tcW w:w="398" w:type="pct"/>
                  <w:vAlign w:val="center"/>
                </w:tcPr>
                <w:p w14:paraId="1F7CE71D">
                  <w:pPr>
                    <w:pageBreakBefore w:val="0"/>
                    <w:wordWrap w:val="0"/>
                    <w:topLinePunct/>
                    <w:bidi w:val="0"/>
                    <w:spacing w:beforeAutospacing="0" w:afterAutospacing="0"/>
                    <w:jc w:val="center"/>
                    <w:rPr>
                      <w:rFonts w:hint="eastAsia" w:eastAsia="宋体"/>
                      <w:b w:val="0"/>
                      <w:bCs w:val="0"/>
                      <w:color w:val="auto"/>
                      <w:sz w:val="21"/>
                      <w:szCs w:val="21"/>
                      <w:lang w:val="en-US" w:eastAsia="zh-CN"/>
                    </w:rPr>
                  </w:pPr>
                  <w:r>
                    <w:rPr>
                      <w:rFonts w:hint="eastAsia"/>
                      <w:b w:val="0"/>
                      <w:bCs w:val="0"/>
                      <w:color w:val="auto"/>
                      <w:sz w:val="21"/>
                      <w:szCs w:val="21"/>
                      <w:lang w:val="en-US" w:eastAsia="zh-CN"/>
                    </w:rPr>
                    <w:t>焊接</w:t>
                  </w:r>
                </w:p>
              </w:tc>
              <w:tc>
                <w:tcPr>
                  <w:tcW w:w="622" w:type="pct"/>
                  <w:vAlign w:val="center"/>
                </w:tcPr>
                <w:p w14:paraId="623EA365">
                  <w:pPr>
                    <w:pageBreakBefore w:val="0"/>
                    <w:wordWrap w:val="0"/>
                    <w:topLinePunct/>
                    <w:bidi w:val="0"/>
                    <w:spacing w:beforeAutospacing="0" w:afterAutospacing="0"/>
                    <w:jc w:val="center"/>
                    <w:rPr>
                      <w:b w:val="0"/>
                      <w:bCs w:val="0"/>
                      <w:color w:val="auto"/>
                      <w:sz w:val="21"/>
                      <w:szCs w:val="21"/>
                    </w:rPr>
                  </w:pPr>
                  <w:r>
                    <w:rPr>
                      <w:rFonts w:hint="eastAsia"/>
                      <w:b w:val="0"/>
                      <w:bCs w:val="0"/>
                      <w:color w:val="auto"/>
                      <w:sz w:val="21"/>
                      <w:szCs w:val="21"/>
                      <w:lang w:val="en-US" w:eastAsia="zh-CN"/>
                    </w:rPr>
                    <w:t>颗粒物</w:t>
                  </w:r>
                </w:p>
              </w:tc>
              <w:tc>
                <w:tcPr>
                  <w:tcW w:w="727" w:type="pct"/>
                  <w:vAlign w:val="center"/>
                </w:tcPr>
                <w:p w14:paraId="6E04AD27">
                  <w:pPr>
                    <w:pageBreakBefore w:val="0"/>
                    <w:wordWrap w:val="0"/>
                    <w:topLinePunct/>
                    <w:bidi w:val="0"/>
                    <w:spacing w:beforeAutospacing="0" w:afterAutospacing="0"/>
                    <w:jc w:val="center"/>
                    <w:rPr>
                      <w:rFonts w:hint="eastAsia" w:eastAsia="宋体"/>
                      <w:b w:val="0"/>
                      <w:bCs w:val="0"/>
                      <w:color w:val="auto"/>
                      <w:sz w:val="21"/>
                      <w:szCs w:val="21"/>
                      <w:lang w:val="en-US" w:eastAsia="zh-CN"/>
                    </w:rPr>
                  </w:pPr>
                  <w:r>
                    <w:rPr>
                      <w:rFonts w:hint="eastAsia"/>
                      <w:b w:val="0"/>
                      <w:bCs w:val="0"/>
                      <w:color w:val="auto"/>
                      <w:sz w:val="21"/>
                      <w:szCs w:val="21"/>
                      <w:lang w:val="en-US" w:eastAsia="zh-CN"/>
                    </w:rPr>
                    <w:t>集气罩</w:t>
                  </w:r>
                </w:p>
              </w:tc>
              <w:tc>
                <w:tcPr>
                  <w:tcW w:w="539" w:type="pct"/>
                  <w:vAlign w:val="center"/>
                </w:tcPr>
                <w:p w14:paraId="1D50DAD0">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30%</w:t>
                  </w:r>
                </w:p>
              </w:tc>
              <w:tc>
                <w:tcPr>
                  <w:tcW w:w="675" w:type="pct"/>
                  <w:vAlign w:val="center"/>
                </w:tcPr>
                <w:p w14:paraId="2792F5F8">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移动式焊烟净化器</w:t>
                  </w:r>
                </w:p>
              </w:tc>
              <w:tc>
                <w:tcPr>
                  <w:tcW w:w="370" w:type="pct"/>
                  <w:vAlign w:val="center"/>
                </w:tcPr>
                <w:p w14:paraId="79A1E2CE">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90%</w:t>
                  </w:r>
                </w:p>
              </w:tc>
              <w:tc>
                <w:tcPr>
                  <w:tcW w:w="342" w:type="pct"/>
                  <w:vAlign w:val="center"/>
                </w:tcPr>
                <w:p w14:paraId="24DE7318">
                  <w:pPr>
                    <w:pageBreakBefore w:val="0"/>
                    <w:wordWrap w:val="0"/>
                    <w:topLinePunct/>
                    <w:bidi w:val="0"/>
                    <w:spacing w:beforeAutospacing="0" w:afterAutospacing="0"/>
                    <w:jc w:val="center"/>
                    <w:rPr>
                      <w:b w:val="0"/>
                      <w:bCs w:val="0"/>
                      <w:color w:val="auto"/>
                      <w:sz w:val="21"/>
                      <w:szCs w:val="21"/>
                    </w:rPr>
                  </w:pPr>
                  <w:r>
                    <w:rPr>
                      <w:b w:val="0"/>
                      <w:bCs w:val="0"/>
                      <w:color w:val="auto"/>
                      <w:sz w:val="21"/>
                      <w:szCs w:val="21"/>
                    </w:rPr>
                    <w:t>无组织</w:t>
                  </w:r>
                </w:p>
              </w:tc>
              <w:tc>
                <w:tcPr>
                  <w:tcW w:w="440" w:type="pct"/>
                  <w:vAlign w:val="center"/>
                </w:tcPr>
                <w:p w14:paraId="2D4736A4">
                  <w:pPr>
                    <w:pageBreakBefore w:val="0"/>
                    <w:wordWrap w:val="0"/>
                    <w:topLinePunct/>
                    <w:bidi w:val="0"/>
                    <w:spacing w:beforeAutospacing="0" w:afterAutospacing="0"/>
                    <w:jc w:val="center"/>
                    <w:rPr>
                      <w:b w:val="0"/>
                      <w:bCs w:val="0"/>
                      <w:color w:val="auto"/>
                      <w:sz w:val="21"/>
                      <w:szCs w:val="21"/>
                    </w:rPr>
                  </w:pPr>
                  <w:r>
                    <w:rPr>
                      <w:b w:val="0"/>
                      <w:bCs w:val="0"/>
                      <w:color w:val="auto"/>
                      <w:sz w:val="21"/>
                      <w:szCs w:val="21"/>
                    </w:rPr>
                    <w:t>/</w:t>
                  </w:r>
                </w:p>
              </w:tc>
            </w:tr>
            <w:tr w14:paraId="24EA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Align w:val="center"/>
                </w:tcPr>
                <w:p w14:paraId="31A2639C">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3#车间</w:t>
                  </w:r>
                </w:p>
              </w:tc>
              <w:tc>
                <w:tcPr>
                  <w:tcW w:w="428" w:type="pct"/>
                  <w:vAlign w:val="center"/>
                </w:tcPr>
                <w:p w14:paraId="4D0C25D4">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打磨粉尘</w:t>
                  </w:r>
                </w:p>
              </w:tc>
              <w:tc>
                <w:tcPr>
                  <w:tcW w:w="398" w:type="pct"/>
                  <w:vAlign w:val="center"/>
                </w:tcPr>
                <w:p w14:paraId="392BD65D">
                  <w:pPr>
                    <w:pageBreakBefore w:val="0"/>
                    <w:wordWrap w:val="0"/>
                    <w:topLinePunct/>
                    <w:bidi w:val="0"/>
                    <w:spacing w:beforeAutospacing="0" w:afterAutospacing="0"/>
                    <w:jc w:val="center"/>
                    <w:rPr>
                      <w:rFonts w:hint="eastAsia" w:eastAsia="宋体"/>
                      <w:b w:val="0"/>
                      <w:bCs w:val="0"/>
                      <w:color w:val="auto"/>
                      <w:sz w:val="21"/>
                      <w:szCs w:val="21"/>
                      <w:lang w:val="en-US" w:eastAsia="zh-CN"/>
                    </w:rPr>
                  </w:pPr>
                  <w:r>
                    <w:rPr>
                      <w:rFonts w:hint="eastAsia"/>
                      <w:b w:val="0"/>
                      <w:bCs w:val="0"/>
                      <w:color w:val="auto"/>
                      <w:sz w:val="21"/>
                      <w:szCs w:val="21"/>
                      <w:lang w:val="en-US" w:eastAsia="zh-CN"/>
                    </w:rPr>
                    <w:t>打磨抛光</w:t>
                  </w:r>
                </w:p>
              </w:tc>
              <w:tc>
                <w:tcPr>
                  <w:tcW w:w="622" w:type="pct"/>
                  <w:vAlign w:val="center"/>
                </w:tcPr>
                <w:p w14:paraId="2FC82CF5">
                  <w:pPr>
                    <w:pageBreakBefore w:val="0"/>
                    <w:wordWrap w:val="0"/>
                    <w:topLinePunct/>
                    <w:bidi w:val="0"/>
                    <w:spacing w:beforeAutospacing="0" w:afterAutospacing="0"/>
                    <w:jc w:val="center"/>
                    <w:rPr>
                      <w:b w:val="0"/>
                      <w:bCs w:val="0"/>
                      <w:color w:val="auto"/>
                      <w:sz w:val="21"/>
                      <w:szCs w:val="21"/>
                    </w:rPr>
                  </w:pPr>
                  <w:r>
                    <w:rPr>
                      <w:rFonts w:hint="eastAsia"/>
                      <w:b w:val="0"/>
                      <w:bCs w:val="0"/>
                      <w:color w:val="auto"/>
                      <w:sz w:val="21"/>
                      <w:szCs w:val="21"/>
                      <w:lang w:val="en-US" w:eastAsia="zh-CN"/>
                    </w:rPr>
                    <w:t>颗粒物</w:t>
                  </w:r>
                </w:p>
              </w:tc>
              <w:tc>
                <w:tcPr>
                  <w:tcW w:w="727" w:type="pct"/>
                  <w:vAlign w:val="center"/>
                </w:tcPr>
                <w:p w14:paraId="143DB07E">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密闭收集</w:t>
                  </w:r>
                </w:p>
              </w:tc>
              <w:tc>
                <w:tcPr>
                  <w:tcW w:w="539" w:type="pct"/>
                  <w:vAlign w:val="center"/>
                </w:tcPr>
                <w:p w14:paraId="4782E5F6">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w:t>
                  </w:r>
                </w:p>
              </w:tc>
              <w:tc>
                <w:tcPr>
                  <w:tcW w:w="675" w:type="pct"/>
                  <w:vAlign w:val="center"/>
                </w:tcPr>
                <w:p w14:paraId="2CB9F691">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自然沉降</w:t>
                  </w:r>
                </w:p>
              </w:tc>
              <w:tc>
                <w:tcPr>
                  <w:tcW w:w="370" w:type="pct"/>
                  <w:vAlign w:val="center"/>
                </w:tcPr>
                <w:p w14:paraId="2C07AC2F">
                  <w:pPr>
                    <w:pageBreakBefore w:val="0"/>
                    <w:wordWrap w:val="0"/>
                    <w:topLinePunct/>
                    <w:bidi w:val="0"/>
                    <w:spacing w:beforeAutospacing="0" w:afterAutospacing="0"/>
                    <w:jc w:val="center"/>
                    <w:rPr>
                      <w:rFonts w:hint="default"/>
                      <w:b w:val="0"/>
                      <w:bCs w:val="0"/>
                      <w:color w:val="auto"/>
                      <w:sz w:val="21"/>
                      <w:szCs w:val="21"/>
                      <w:lang w:val="en-US" w:eastAsia="zh-CN"/>
                    </w:rPr>
                  </w:pPr>
                  <w:r>
                    <w:rPr>
                      <w:rFonts w:hint="eastAsia"/>
                      <w:b w:val="0"/>
                      <w:bCs w:val="0"/>
                      <w:color w:val="auto"/>
                      <w:sz w:val="21"/>
                      <w:szCs w:val="21"/>
                      <w:lang w:val="en-US" w:eastAsia="zh-CN"/>
                    </w:rPr>
                    <w:t>/</w:t>
                  </w:r>
                </w:p>
              </w:tc>
              <w:tc>
                <w:tcPr>
                  <w:tcW w:w="342" w:type="pct"/>
                  <w:vAlign w:val="center"/>
                </w:tcPr>
                <w:p w14:paraId="732AE67E">
                  <w:pPr>
                    <w:pageBreakBefore w:val="0"/>
                    <w:wordWrap w:val="0"/>
                    <w:topLinePunct/>
                    <w:bidi w:val="0"/>
                    <w:spacing w:beforeAutospacing="0" w:afterAutospacing="0"/>
                    <w:jc w:val="center"/>
                    <w:rPr>
                      <w:rFonts w:hint="eastAsia" w:eastAsia="宋体"/>
                      <w:b w:val="0"/>
                      <w:bCs w:val="0"/>
                      <w:color w:val="auto"/>
                      <w:sz w:val="21"/>
                      <w:szCs w:val="21"/>
                      <w:lang w:val="en-US" w:eastAsia="zh-CN"/>
                    </w:rPr>
                  </w:pPr>
                  <w:r>
                    <w:rPr>
                      <w:rFonts w:hint="eastAsia"/>
                      <w:b w:val="0"/>
                      <w:bCs w:val="0"/>
                      <w:color w:val="auto"/>
                      <w:sz w:val="21"/>
                      <w:szCs w:val="21"/>
                      <w:lang w:val="en-US" w:eastAsia="zh-CN"/>
                    </w:rPr>
                    <w:t>无组织</w:t>
                  </w:r>
                </w:p>
              </w:tc>
              <w:tc>
                <w:tcPr>
                  <w:tcW w:w="440" w:type="pct"/>
                  <w:vAlign w:val="center"/>
                </w:tcPr>
                <w:p w14:paraId="6BCA221E">
                  <w:pPr>
                    <w:pageBreakBefore w:val="0"/>
                    <w:wordWrap w:val="0"/>
                    <w:topLinePunct/>
                    <w:bidi w:val="0"/>
                    <w:spacing w:beforeAutospacing="0" w:afterAutospacing="0"/>
                    <w:jc w:val="center"/>
                    <w:rPr>
                      <w:rFonts w:hint="default" w:eastAsia="宋体"/>
                      <w:b w:val="0"/>
                      <w:bCs w:val="0"/>
                      <w:color w:val="auto"/>
                      <w:sz w:val="21"/>
                      <w:szCs w:val="21"/>
                      <w:lang w:val="en-US" w:eastAsia="zh-CN"/>
                    </w:rPr>
                  </w:pPr>
                  <w:r>
                    <w:rPr>
                      <w:rFonts w:hint="eastAsia"/>
                      <w:b w:val="0"/>
                      <w:bCs w:val="0"/>
                      <w:color w:val="auto"/>
                      <w:sz w:val="21"/>
                      <w:szCs w:val="21"/>
                      <w:lang w:val="en-US" w:eastAsia="zh-CN"/>
                    </w:rPr>
                    <w:t>/</w:t>
                  </w:r>
                </w:p>
              </w:tc>
            </w:tr>
            <w:tr w14:paraId="4CBA4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restart"/>
                  <w:vAlign w:val="center"/>
                </w:tcPr>
                <w:p w14:paraId="490B3030">
                  <w:pPr>
                    <w:pageBreakBefore w:val="0"/>
                    <w:wordWrap w:val="0"/>
                    <w:topLinePunct/>
                    <w:bidi w:val="0"/>
                    <w:spacing w:beforeAutospacing="0" w:afterAutospacing="0"/>
                    <w:jc w:val="center"/>
                    <w:rPr>
                      <w:rFonts w:hint="default" w:eastAsiaTheme="minorEastAsia"/>
                      <w:color w:val="auto"/>
                      <w:sz w:val="21"/>
                      <w:szCs w:val="21"/>
                      <w:lang w:val="en-US" w:eastAsia="zh-CN"/>
                    </w:rPr>
                  </w:pPr>
                  <w:r>
                    <w:rPr>
                      <w:rFonts w:hint="eastAsia" w:eastAsiaTheme="minorEastAsia"/>
                      <w:color w:val="auto"/>
                      <w:sz w:val="21"/>
                      <w:szCs w:val="21"/>
                      <w:lang w:val="en-US" w:eastAsia="zh-CN"/>
                    </w:rPr>
                    <w:t>4#车间</w:t>
                  </w:r>
                </w:p>
              </w:tc>
              <w:tc>
                <w:tcPr>
                  <w:tcW w:w="428" w:type="pct"/>
                  <w:vMerge w:val="restart"/>
                  <w:vAlign w:val="center"/>
                </w:tcPr>
                <w:p w14:paraId="3E156347">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喷粉喷漆漆工序</w:t>
                  </w:r>
                </w:p>
              </w:tc>
              <w:tc>
                <w:tcPr>
                  <w:tcW w:w="398" w:type="pct"/>
                  <w:vAlign w:val="center"/>
                </w:tcPr>
                <w:p w14:paraId="00B5E9F4">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静电喷粉</w:t>
                  </w:r>
                </w:p>
              </w:tc>
              <w:tc>
                <w:tcPr>
                  <w:tcW w:w="622" w:type="pct"/>
                  <w:vAlign w:val="center"/>
                </w:tcPr>
                <w:p w14:paraId="2CD63691">
                  <w:pPr>
                    <w:pageBreakBefore w:val="0"/>
                    <w:wordWrap w:val="0"/>
                    <w:topLinePunct/>
                    <w:bidi w:val="0"/>
                    <w:spacing w:beforeAutospacing="0" w:afterAutospacing="0"/>
                    <w:jc w:val="center"/>
                    <w:rPr>
                      <w:color w:val="auto"/>
                      <w:sz w:val="21"/>
                      <w:szCs w:val="21"/>
                    </w:rPr>
                  </w:pPr>
                  <w:r>
                    <w:rPr>
                      <w:color w:val="auto"/>
                      <w:sz w:val="21"/>
                      <w:szCs w:val="21"/>
                    </w:rPr>
                    <w:t>颗粒物</w:t>
                  </w:r>
                </w:p>
              </w:tc>
              <w:tc>
                <w:tcPr>
                  <w:tcW w:w="727" w:type="pct"/>
                  <w:vAlign w:val="center"/>
                </w:tcPr>
                <w:p w14:paraId="6BFA553D">
                  <w:pPr>
                    <w:pageBreakBefore w:val="0"/>
                    <w:wordWrap w:val="0"/>
                    <w:topLinePunct/>
                    <w:bidi w:val="0"/>
                    <w:spacing w:beforeAutospacing="0" w:afterAutospacing="0"/>
                    <w:jc w:val="center"/>
                    <w:rPr>
                      <w:color w:val="auto"/>
                      <w:sz w:val="21"/>
                      <w:szCs w:val="21"/>
                    </w:rPr>
                  </w:pPr>
                  <w:r>
                    <w:rPr>
                      <w:color w:val="auto"/>
                      <w:sz w:val="21"/>
                      <w:szCs w:val="21"/>
                    </w:rPr>
                    <w:t>密闭收集</w:t>
                  </w:r>
                </w:p>
              </w:tc>
              <w:tc>
                <w:tcPr>
                  <w:tcW w:w="539" w:type="pct"/>
                  <w:vAlign w:val="center"/>
                </w:tcPr>
                <w:p w14:paraId="3D494476">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90%</w:t>
                  </w:r>
                </w:p>
              </w:tc>
              <w:tc>
                <w:tcPr>
                  <w:tcW w:w="675" w:type="pct"/>
                  <w:vAlign w:val="center"/>
                </w:tcPr>
                <w:p w14:paraId="61BF3B89">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大旋风+滤芯式二级回收系统</w:t>
                  </w:r>
                </w:p>
              </w:tc>
              <w:tc>
                <w:tcPr>
                  <w:tcW w:w="370" w:type="pct"/>
                  <w:vAlign w:val="center"/>
                </w:tcPr>
                <w:p w14:paraId="2E5EA6E5">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99%</w:t>
                  </w:r>
                </w:p>
              </w:tc>
              <w:tc>
                <w:tcPr>
                  <w:tcW w:w="342" w:type="pct"/>
                  <w:vAlign w:val="center"/>
                </w:tcPr>
                <w:p w14:paraId="7BEB28F1">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无组织</w:t>
                  </w:r>
                </w:p>
              </w:tc>
              <w:tc>
                <w:tcPr>
                  <w:tcW w:w="440" w:type="pct"/>
                  <w:vAlign w:val="center"/>
                </w:tcPr>
                <w:p w14:paraId="6BEAAC5E">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w:t>
                  </w:r>
                </w:p>
              </w:tc>
            </w:tr>
            <w:tr w14:paraId="18937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2E5D112A">
                  <w:pPr>
                    <w:pageBreakBefore w:val="0"/>
                    <w:wordWrap w:val="0"/>
                    <w:topLinePunct/>
                    <w:bidi w:val="0"/>
                    <w:spacing w:beforeAutospacing="0" w:afterAutospacing="0"/>
                    <w:jc w:val="center"/>
                    <w:rPr>
                      <w:color w:val="auto"/>
                      <w:sz w:val="21"/>
                      <w:szCs w:val="21"/>
                    </w:rPr>
                  </w:pPr>
                </w:p>
              </w:tc>
              <w:tc>
                <w:tcPr>
                  <w:tcW w:w="428" w:type="pct"/>
                  <w:vMerge w:val="continue"/>
                  <w:vAlign w:val="center"/>
                </w:tcPr>
                <w:p w14:paraId="43B093B6">
                  <w:pPr>
                    <w:pageBreakBefore w:val="0"/>
                    <w:wordWrap w:val="0"/>
                    <w:topLinePunct/>
                    <w:bidi w:val="0"/>
                    <w:spacing w:beforeAutospacing="0" w:afterAutospacing="0"/>
                    <w:jc w:val="center"/>
                    <w:rPr>
                      <w:color w:val="auto"/>
                      <w:sz w:val="21"/>
                      <w:szCs w:val="21"/>
                    </w:rPr>
                  </w:pPr>
                </w:p>
              </w:tc>
              <w:tc>
                <w:tcPr>
                  <w:tcW w:w="398" w:type="pct"/>
                  <w:vAlign w:val="center"/>
                </w:tcPr>
                <w:p w14:paraId="63CDB46B">
                  <w:pPr>
                    <w:pageBreakBefore w:val="0"/>
                    <w:wordWrap w:val="0"/>
                    <w:topLinePunct/>
                    <w:bidi w:val="0"/>
                    <w:spacing w:beforeAutospacing="0" w:afterAutospacing="0"/>
                    <w:jc w:val="center"/>
                    <w:rPr>
                      <w:rFonts w:hint="eastAsia" w:eastAsia="宋体"/>
                      <w:color w:val="auto"/>
                      <w:sz w:val="21"/>
                      <w:szCs w:val="21"/>
                      <w:lang w:eastAsia="zh-CN"/>
                    </w:rPr>
                  </w:pPr>
                  <w:r>
                    <w:rPr>
                      <w:color w:val="auto"/>
                      <w:sz w:val="21"/>
                      <w:szCs w:val="21"/>
                    </w:rPr>
                    <w:t>静电</w:t>
                  </w:r>
                  <w:r>
                    <w:rPr>
                      <w:rFonts w:hint="eastAsia"/>
                      <w:color w:val="auto"/>
                      <w:sz w:val="21"/>
                      <w:szCs w:val="21"/>
                      <w:lang w:eastAsia="zh-CN"/>
                    </w:rPr>
                    <w:t>喷粉</w:t>
                  </w:r>
                </w:p>
              </w:tc>
              <w:tc>
                <w:tcPr>
                  <w:tcW w:w="622" w:type="pct"/>
                  <w:vAlign w:val="center"/>
                </w:tcPr>
                <w:p w14:paraId="2E2D3562">
                  <w:pPr>
                    <w:pageBreakBefore w:val="0"/>
                    <w:wordWrap w:val="0"/>
                    <w:topLinePunct/>
                    <w:bidi w:val="0"/>
                    <w:spacing w:beforeAutospacing="0" w:afterAutospacing="0"/>
                    <w:jc w:val="center"/>
                    <w:rPr>
                      <w:rFonts w:hint="eastAsia" w:eastAsia="宋体"/>
                      <w:color w:val="auto"/>
                      <w:sz w:val="21"/>
                      <w:szCs w:val="21"/>
                      <w:lang w:eastAsia="zh-CN"/>
                    </w:rPr>
                  </w:pPr>
                  <w:r>
                    <w:rPr>
                      <w:rFonts w:hint="eastAsia"/>
                      <w:color w:val="auto"/>
                      <w:sz w:val="21"/>
                      <w:szCs w:val="21"/>
                      <w:lang w:eastAsia="zh-CN"/>
                    </w:rPr>
                    <w:t>固化有机废气</w:t>
                  </w:r>
                </w:p>
              </w:tc>
              <w:tc>
                <w:tcPr>
                  <w:tcW w:w="727" w:type="pct"/>
                  <w:vAlign w:val="center"/>
                </w:tcPr>
                <w:p w14:paraId="7315095B">
                  <w:pPr>
                    <w:pageBreakBefore w:val="0"/>
                    <w:wordWrap w:val="0"/>
                    <w:topLinePunct/>
                    <w:bidi w:val="0"/>
                    <w:spacing w:beforeAutospacing="0" w:afterAutospacing="0"/>
                    <w:jc w:val="center"/>
                    <w:rPr>
                      <w:color w:val="auto"/>
                      <w:sz w:val="21"/>
                      <w:szCs w:val="21"/>
                    </w:rPr>
                  </w:pPr>
                  <w:r>
                    <w:rPr>
                      <w:color w:val="auto"/>
                      <w:sz w:val="21"/>
                      <w:szCs w:val="21"/>
                    </w:rPr>
                    <w:t>集气罩、</w:t>
                  </w:r>
                  <w:r>
                    <w:rPr>
                      <w:color w:val="auto"/>
                      <w:kern w:val="2"/>
                      <w:sz w:val="21"/>
                      <w:szCs w:val="21"/>
                    </w:rPr>
                    <w:t>直连排风管</w:t>
                  </w:r>
                </w:p>
              </w:tc>
              <w:tc>
                <w:tcPr>
                  <w:tcW w:w="539" w:type="pct"/>
                  <w:vAlign w:val="center"/>
                </w:tcPr>
                <w:p w14:paraId="5254A2F6">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90%</w:t>
                  </w:r>
                </w:p>
              </w:tc>
              <w:tc>
                <w:tcPr>
                  <w:tcW w:w="675" w:type="pct"/>
                  <w:vMerge w:val="restart"/>
                  <w:vAlign w:val="center"/>
                </w:tcPr>
                <w:p w14:paraId="363BF520">
                  <w:pPr>
                    <w:pageBreakBefore w:val="0"/>
                    <w:wordWrap w:val="0"/>
                    <w:topLinePunct/>
                    <w:bidi w:val="0"/>
                    <w:spacing w:beforeAutospacing="0" w:afterAutospacing="0"/>
                    <w:jc w:val="center"/>
                    <w:rPr>
                      <w:color w:val="auto"/>
                      <w:sz w:val="21"/>
                      <w:szCs w:val="21"/>
                    </w:rPr>
                  </w:pPr>
                  <w:r>
                    <w:rPr>
                      <w:rFonts w:hint="eastAsia"/>
                      <w:color w:val="auto"/>
                      <w:sz w:val="21"/>
                      <w:szCs w:val="21"/>
                      <w:lang w:eastAsia="zh-CN"/>
                    </w:rPr>
                    <w:t>水帘柜</w:t>
                  </w:r>
                  <w:r>
                    <w:rPr>
                      <w:rFonts w:hint="eastAsia"/>
                      <w:color w:val="auto"/>
                      <w:sz w:val="21"/>
                      <w:szCs w:val="21"/>
                      <w:lang w:val="en-US" w:eastAsia="zh-CN"/>
                    </w:rPr>
                    <w:t>喷淋</w:t>
                  </w:r>
                  <w:r>
                    <w:rPr>
                      <w:color w:val="auto"/>
                      <w:sz w:val="21"/>
                      <w:szCs w:val="21"/>
                    </w:rPr>
                    <w:t>+干式过滤器+</w:t>
                  </w:r>
                  <w:r>
                    <w:rPr>
                      <w:rFonts w:hint="eastAsia"/>
                      <w:color w:val="auto"/>
                      <w:sz w:val="21"/>
                      <w:szCs w:val="21"/>
                      <w:lang w:eastAsia="zh-CN"/>
                    </w:rPr>
                    <w:t>活性炭吸脱附催化燃烧</w:t>
                  </w:r>
                </w:p>
              </w:tc>
              <w:tc>
                <w:tcPr>
                  <w:tcW w:w="370" w:type="pct"/>
                  <w:vAlign w:val="center"/>
                </w:tcPr>
                <w:p w14:paraId="527663B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80%</w:t>
                  </w:r>
                </w:p>
              </w:tc>
              <w:tc>
                <w:tcPr>
                  <w:tcW w:w="342" w:type="pct"/>
                  <w:vMerge w:val="restart"/>
                  <w:vAlign w:val="center"/>
                </w:tcPr>
                <w:p w14:paraId="043FB628">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有组织</w:t>
                  </w:r>
                </w:p>
              </w:tc>
              <w:tc>
                <w:tcPr>
                  <w:tcW w:w="440" w:type="pct"/>
                  <w:vMerge w:val="restart"/>
                  <w:vAlign w:val="center"/>
                </w:tcPr>
                <w:p w14:paraId="048B853C">
                  <w:pPr>
                    <w:pageBreakBefore w:val="0"/>
                    <w:wordWrap w:val="0"/>
                    <w:topLinePunct/>
                    <w:bidi w:val="0"/>
                    <w:spacing w:beforeAutospacing="0" w:afterAutospacing="0"/>
                    <w:jc w:val="center"/>
                    <w:rPr>
                      <w:rFonts w:hint="eastAsia" w:eastAsia="宋体"/>
                      <w:color w:val="auto"/>
                      <w:sz w:val="21"/>
                      <w:szCs w:val="21"/>
                      <w:lang w:eastAsia="zh-CN"/>
                    </w:rPr>
                  </w:pPr>
                  <w:r>
                    <w:rPr>
                      <w:rFonts w:hint="eastAsia"/>
                      <w:color w:val="auto"/>
                      <w:sz w:val="21"/>
                      <w:szCs w:val="21"/>
                      <w:lang w:eastAsia="zh-CN"/>
                    </w:rPr>
                    <w:t>DA00</w:t>
                  </w:r>
                  <w:r>
                    <w:rPr>
                      <w:rFonts w:hint="eastAsia"/>
                      <w:color w:val="auto"/>
                      <w:sz w:val="21"/>
                      <w:szCs w:val="21"/>
                      <w:lang w:val="en-US" w:eastAsia="zh-CN"/>
                    </w:rPr>
                    <w:t>1</w:t>
                  </w:r>
                </w:p>
              </w:tc>
            </w:tr>
            <w:tr w14:paraId="0070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282EB19F">
                  <w:pPr>
                    <w:pageBreakBefore w:val="0"/>
                    <w:wordWrap w:val="0"/>
                    <w:topLinePunct/>
                    <w:bidi w:val="0"/>
                    <w:spacing w:beforeAutospacing="0" w:afterAutospacing="0"/>
                    <w:jc w:val="center"/>
                    <w:rPr>
                      <w:color w:val="auto"/>
                      <w:sz w:val="21"/>
                      <w:szCs w:val="21"/>
                    </w:rPr>
                  </w:pPr>
                </w:p>
              </w:tc>
              <w:tc>
                <w:tcPr>
                  <w:tcW w:w="428" w:type="pct"/>
                  <w:vMerge w:val="continue"/>
                  <w:vAlign w:val="center"/>
                </w:tcPr>
                <w:p w14:paraId="2E01E527">
                  <w:pPr>
                    <w:pageBreakBefore w:val="0"/>
                    <w:wordWrap w:val="0"/>
                    <w:topLinePunct/>
                    <w:bidi w:val="0"/>
                    <w:spacing w:beforeAutospacing="0" w:afterAutospacing="0"/>
                    <w:jc w:val="center"/>
                    <w:rPr>
                      <w:color w:val="auto"/>
                      <w:sz w:val="21"/>
                      <w:szCs w:val="21"/>
                    </w:rPr>
                  </w:pPr>
                </w:p>
              </w:tc>
              <w:tc>
                <w:tcPr>
                  <w:tcW w:w="398" w:type="pct"/>
                  <w:vAlign w:val="center"/>
                </w:tcPr>
                <w:p w14:paraId="4F4C03D8">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喷漆</w:t>
                  </w:r>
                </w:p>
              </w:tc>
              <w:tc>
                <w:tcPr>
                  <w:tcW w:w="622" w:type="pct"/>
                  <w:vAlign w:val="center"/>
                </w:tcPr>
                <w:p w14:paraId="36848117">
                  <w:pPr>
                    <w:pageBreakBefore w:val="0"/>
                    <w:wordWrap w:val="0"/>
                    <w:topLinePunct/>
                    <w:bidi w:val="0"/>
                    <w:spacing w:beforeAutospacing="0" w:afterAutospacing="0"/>
                    <w:jc w:val="center"/>
                    <w:rPr>
                      <w:color w:val="auto"/>
                      <w:sz w:val="21"/>
                      <w:szCs w:val="21"/>
                    </w:rPr>
                  </w:pPr>
                  <w:r>
                    <w:rPr>
                      <w:color w:val="auto"/>
                      <w:sz w:val="21"/>
                      <w:szCs w:val="21"/>
                    </w:rPr>
                    <w:t>有机废气（VOCs、</w:t>
                  </w:r>
                  <w:r>
                    <w:rPr>
                      <w:rFonts w:hint="eastAsia"/>
                      <w:color w:val="auto"/>
                      <w:sz w:val="21"/>
                      <w:szCs w:val="21"/>
                      <w:lang w:val="en-US" w:eastAsia="zh-CN"/>
                    </w:rPr>
                    <w:t>苯系物、臭气浓度</w:t>
                  </w:r>
                  <w:r>
                    <w:rPr>
                      <w:color w:val="auto"/>
                      <w:sz w:val="21"/>
                      <w:szCs w:val="21"/>
                    </w:rPr>
                    <w:t>）</w:t>
                  </w:r>
                </w:p>
              </w:tc>
              <w:tc>
                <w:tcPr>
                  <w:tcW w:w="727" w:type="pct"/>
                  <w:vAlign w:val="center"/>
                </w:tcPr>
                <w:p w14:paraId="27582827">
                  <w:pPr>
                    <w:pageBreakBefore w:val="0"/>
                    <w:wordWrap w:val="0"/>
                    <w:topLinePunct/>
                    <w:bidi w:val="0"/>
                    <w:spacing w:beforeAutospacing="0" w:afterAutospacing="0"/>
                    <w:jc w:val="center"/>
                    <w:rPr>
                      <w:color w:val="auto"/>
                      <w:sz w:val="21"/>
                      <w:szCs w:val="21"/>
                    </w:rPr>
                  </w:pPr>
                  <w:r>
                    <w:rPr>
                      <w:color w:val="auto"/>
                      <w:sz w:val="21"/>
                      <w:szCs w:val="21"/>
                    </w:rPr>
                    <w:t>密闭收集</w:t>
                  </w:r>
                </w:p>
              </w:tc>
              <w:tc>
                <w:tcPr>
                  <w:tcW w:w="539" w:type="pct"/>
                  <w:vAlign w:val="center"/>
                </w:tcPr>
                <w:p w14:paraId="3514FCF5">
                  <w:pPr>
                    <w:pageBreakBefore w:val="0"/>
                    <w:wordWrap w:val="0"/>
                    <w:topLinePunct/>
                    <w:bidi w:val="0"/>
                    <w:spacing w:beforeAutospacing="0" w:afterAutospacing="0"/>
                    <w:jc w:val="center"/>
                    <w:rPr>
                      <w:color w:val="auto"/>
                      <w:sz w:val="21"/>
                      <w:szCs w:val="21"/>
                    </w:rPr>
                  </w:pPr>
                  <w:r>
                    <w:rPr>
                      <w:rFonts w:hint="eastAsia"/>
                      <w:color w:val="auto"/>
                      <w:sz w:val="21"/>
                      <w:szCs w:val="21"/>
                      <w:lang w:val="en-US" w:eastAsia="zh-CN"/>
                    </w:rPr>
                    <w:t>90%</w:t>
                  </w:r>
                </w:p>
              </w:tc>
              <w:tc>
                <w:tcPr>
                  <w:tcW w:w="675" w:type="pct"/>
                  <w:vMerge w:val="continue"/>
                  <w:vAlign w:val="center"/>
                </w:tcPr>
                <w:p w14:paraId="1621E2CB">
                  <w:pPr>
                    <w:pageBreakBefore w:val="0"/>
                    <w:wordWrap w:val="0"/>
                    <w:topLinePunct/>
                    <w:bidi w:val="0"/>
                    <w:spacing w:beforeAutospacing="0" w:afterAutospacing="0"/>
                    <w:jc w:val="center"/>
                    <w:rPr>
                      <w:color w:val="auto"/>
                      <w:sz w:val="21"/>
                      <w:szCs w:val="21"/>
                    </w:rPr>
                  </w:pPr>
                </w:p>
              </w:tc>
              <w:tc>
                <w:tcPr>
                  <w:tcW w:w="370" w:type="pct"/>
                  <w:vAlign w:val="center"/>
                </w:tcPr>
                <w:p w14:paraId="2C4CAC1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80%</w:t>
                  </w:r>
                </w:p>
              </w:tc>
              <w:tc>
                <w:tcPr>
                  <w:tcW w:w="342" w:type="pct"/>
                  <w:vMerge w:val="continue"/>
                  <w:vAlign w:val="center"/>
                </w:tcPr>
                <w:p w14:paraId="2B739A78">
                  <w:pPr>
                    <w:pageBreakBefore w:val="0"/>
                    <w:wordWrap w:val="0"/>
                    <w:topLinePunct/>
                    <w:bidi w:val="0"/>
                    <w:spacing w:beforeAutospacing="0" w:afterAutospacing="0"/>
                    <w:jc w:val="center"/>
                    <w:rPr>
                      <w:rFonts w:eastAsiaTheme="minorEastAsia"/>
                      <w:color w:val="auto"/>
                      <w:sz w:val="21"/>
                      <w:szCs w:val="21"/>
                    </w:rPr>
                  </w:pPr>
                </w:p>
              </w:tc>
              <w:tc>
                <w:tcPr>
                  <w:tcW w:w="440" w:type="pct"/>
                  <w:vMerge w:val="continue"/>
                  <w:vAlign w:val="center"/>
                </w:tcPr>
                <w:p w14:paraId="26255E83">
                  <w:pPr>
                    <w:pageBreakBefore w:val="0"/>
                    <w:wordWrap w:val="0"/>
                    <w:topLinePunct/>
                    <w:bidi w:val="0"/>
                    <w:spacing w:beforeAutospacing="0" w:afterAutospacing="0"/>
                    <w:jc w:val="center"/>
                    <w:rPr>
                      <w:color w:val="auto"/>
                      <w:sz w:val="21"/>
                      <w:szCs w:val="21"/>
                    </w:rPr>
                  </w:pPr>
                </w:p>
              </w:tc>
            </w:tr>
            <w:tr w14:paraId="6C97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48DAAF98">
                  <w:pPr>
                    <w:pageBreakBefore w:val="0"/>
                    <w:wordWrap w:val="0"/>
                    <w:topLinePunct/>
                    <w:bidi w:val="0"/>
                    <w:spacing w:beforeAutospacing="0" w:afterAutospacing="0"/>
                    <w:jc w:val="center"/>
                    <w:rPr>
                      <w:color w:val="auto"/>
                      <w:sz w:val="21"/>
                      <w:szCs w:val="21"/>
                    </w:rPr>
                  </w:pPr>
                </w:p>
              </w:tc>
              <w:tc>
                <w:tcPr>
                  <w:tcW w:w="428" w:type="pct"/>
                  <w:vMerge w:val="continue"/>
                  <w:vAlign w:val="center"/>
                </w:tcPr>
                <w:p w14:paraId="3D1B846D">
                  <w:pPr>
                    <w:pageBreakBefore w:val="0"/>
                    <w:wordWrap w:val="0"/>
                    <w:topLinePunct/>
                    <w:bidi w:val="0"/>
                    <w:spacing w:beforeAutospacing="0" w:afterAutospacing="0"/>
                    <w:jc w:val="center"/>
                    <w:rPr>
                      <w:color w:val="auto"/>
                      <w:sz w:val="21"/>
                      <w:szCs w:val="21"/>
                    </w:rPr>
                  </w:pPr>
                </w:p>
              </w:tc>
              <w:tc>
                <w:tcPr>
                  <w:tcW w:w="398" w:type="pct"/>
                  <w:vAlign w:val="center"/>
                </w:tcPr>
                <w:p w14:paraId="7369E5D0">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喷漆</w:t>
                  </w:r>
                </w:p>
              </w:tc>
              <w:tc>
                <w:tcPr>
                  <w:tcW w:w="622" w:type="pct"/>
                  <w:vAlign w:val="center"/>
                </w:tcPr>
                <w:p w14:paraId="7014E5F3">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漆雾（颗粒物）</w:t>
                  </w:r>
                </w:p>
              </w:tc>
              <w:tc>
                <w:tcPr>
                  <w:tcW w:w="727" w:type="pct"/>
                  <w:vAlign w:val="center"/>
                </w:tcPr>
                <w:p w14:paraId="1FA55E89">
                  <w:pPr>
                    <w:pageBreakBefore w:val="0"/>
                    <w:wordWrap w:val="0"/>
                    <w:topLinePunct/>
                    <w:bidi w:val="0"/>
                    <w:spacing w:beforeAutospacing="0" w:afterAutospacing="0"/>
                    <w:jc w:val="center"/>
                    <w:rPr>
                      <w:color w:val="auto"/>
                      <w:sz w:val="21"/>
                      <w:szCs w:val="21"/>
                    </w:rPr>
                  </w:pPr>
                  <w:r>
                    <w:rPr>
                      <w:color w:val="auto"/>
                      <w:sz w:val="21"/>
                      <w:szCs w:val="21"/>
                    </w:rPr>
                    <w:t>密闭收集</w:t>
                  </w:r>
                </w:p>
              </w:tc>
              <w:tc>
                <w:tcPr>
                  <w:tcW w:w="539" w:type="pct"/>
                  <w:vAlign w:val="center"/>
                </w:tcPr>
                <w:p w14:paraId="43740B91">
                  <w:pPr>
                    <w:pageBreakBefore w:val="0"/>
                    <w:wordWrap w:val="0"/>
                    <w:topLinePunct/>
                    <w:bidi w:val="0"/>
                    <w:spacing w:beforeAutospacing="0" w:afterAutospacing="0"/>
                    <w:jc w:val="center"/>
                    <w:rPr>
                      <w:color w:val="auto"/>
                      <w:sz w:val="21"/>
                      <w:szCs w:val="21"/>
                    </w:rPr>
                  </w:pPr>
                  <w:r>
                    <w:rPr>
                      <w:rFonts w:hint="eastAsia"/>
                      <w:color w:val="auto"/>
                      <w:sz w:val="21"/>
                      <w:szCs w:val="21"/>
                      <w:lang w:val="en-US" w:eastAsia="zh-CN"/>
                    </w:rPr>
                    <w:t>90%</w:t>
                  </w:r>
                </w:p>
              </w:tc>
              <w:tc>
                <w:tcPr>
                  <w:tcW w:w="675" w:type="pct"/>
                  <w:vMerge w:val="continue"/>
                  <w:vAlign w:val="center"/>
                </w:tcPr>
                <w:p w14:paraId="679E7CB5">
                  <w:pPr>
                    <w:pageBreakBefore w:val="0"/>
                    <w:wordWrap w:val="0"/>
                    <w:topLinePunct/>
                    <w:bidi w:val="0"/>
                    <w:spacing w:beforeAutospacing="0" w:afterAutospacing="0"/>
                    <w:jc w:val="center"/>
                    <w:rPr>
                      <w:color w:val="auto"/>
                      <w:sz w:val="21"/>
                      <w:szCs w:val="21"/>
                    </w:rPr>
                  </w:pPr>
                </w:p>
              </w:tc>
              <w:tc>
                <w:tcPr>
                  <w:tcW w:w="370" w:type="pct"/>
                  <w:vAlign w:val="center"/>
                </w:tcPr>
                <w:p w14:paraId="3BF4B8AE">
                  <w:pPr>
                    <w:pageBreakBefore w:val="0"/>
                    <w:wordWrap w:val="0"/>
                    <w:topLinePunct/>
                    <w:bidi w:val="0"/>
                    <w:spacing w:beforeAutospacing="0" w:afterAutospacing="0"/>
                    <w:jc w:val="center"/>
                    <w:rPr>
                      <w:color w:val="auto"/>
                      <w:sz w:val="21"/>
                      <w:szCs w:val="21"/>
                    </w:rPr>
                  </w:pPr>
                  <w:r>
                    <w:rPr>
                      <w:rFonts w:hint="eastAsia"/>
                      <w:color w:val="auto"/>
                      <w:sz w:val="21"/>
                      <w:szCs w:val="21"/>
                      <w:lang w:val="en-US" w:eastAsia="zh-CN"/>
                    </w:rPr>
                    <w:t>99%</w:t>
                  </w:r>
                </w:p>
              </w:tc>
              <w:tc>
                <w:tcPr>
                  <w:tcW w:w="342" w:type="pct"/>
                  <w:vMerge w:val="continue"/>
                  <w:vAlign w:val="center"/>
                </w:tcPr>
                <w:p w14:paraId="3EF0013D">
                  <w:pPr>
                    <w:pageBreakBefore w:val="0"/>
                    <w:wordWrap w:val="0"/>
                    <w:topLinePunct/>
                    <w:bidi w:val="0"/>
                    <w:spacing w:beforeAutospacing="0" w:afterAutospacing="0"/>
                    <w:jc w:val="center"/>
                    <w:rPr>
                      <w:color w:val="auto"/>
                      <w:sz w:val="21"/>
                      <w:szCs w:val="21"/>
                    </w:rPr>
                  </w:pPr>
                </w:p>
              </w:tc>
              <w:tc>
                <w:tcPr>
                  <w:tcW w:w="440" w:type="pct"/>
                  <w:vMerge w:val="continue"/>
                  <w:vAlign w:val="center"/>
                </w:tcPr>
                <w:p w14:paraId="6B5D281E">
                  <w:pPr>
                    <w:pageBreakBefore w:val="0"/>
                    <w:wordWrap w:val="0"/>
                    <w:topLinePunct/>
                    <w:bidi w:val="0"/>
                    <w:spacing w:beforeAutospacing="0" w:afterAutospacing="0"/>
                    <w:jc w:val="center"/>
                    <w:rPr>
                      <w:color w:val="auto"/>
                      <w:sz w:val="21"/>
                      <w:szCs w:val="21"/>
                    </w:rPr>
                  </w:pPr>
                </w:p>
              </w:tc>
            </w:tr>
            <w:tr w14:paraId="1D1D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07CEF7FB">
                  <w:pPr>
                    <w:pageBreakBefore w:val="0"/>
                    <w:wordWrap w:val="0"/>
                    <w:topLinePunct/>
                    <w:bidi w:val="0"/>
                    <w:spacing w:beforeAutospacing="0" w:afterAutospacing="0"/>
                    <w:jc w:val="center"/>
                    <w:rPr>
                      <w:color w:val="auto"/>
                      <w:sz w:val="21"/>
                      <w:szCs w:val="21"/>
                    </w:rPr>
                  </w:pPr>
                </w:p>
              </w:tc>
              <w:tc>
                <w:tcPr>
                  <w:tcW w:w="428" w:type="pct"/>
                  <w:vMerge w:val="continue"/>
                  <w:vAlign w:val="center"/>
                </w:tcPr>
                <w:p w14:paraId="456EF9A9">
                  <w:pPr>
                    <w:pageBreakBefore w:val="0"/>
                    <w:wordWrap w:val="0"/>
                    <w:topLinePunct/>
                    <w:bidi w:val="0"/>
                    <w:spacing w:beforeAutospacing="0" w:afterAutospacing="0"/>
                    <w:jc w:val="center"/>
                    <w:rPr>
                      <w:color w:val="auto"/>
                      <w:sz w:val="21"/>
                      <w:szCs w:val="21"/>
                    </w:rPr>
                  </w:pPr>
                </w:p>
              </w:tc>
              <w:tc>
                <w:tcPr>
                  <w:tcW w:w="398" w:type="pct"/>
                  <w:vAlign w:val="center"/>
                </w:tcPr>
                <w:p w14:paraId="37DD5FB9">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喷枪清洗</w:t>
                  </w:r>
                </w:p>
              </w:tc>
              <w:tc>
                <w:tcPr>
                  <w:tcW w:w="622" w:type="pct"/>
                  <w:vAlign w:val="center"/>
                </w:tcPr>
                <w:p w14:paraId="6CD62CA3">
                  <w:pPr>
                    <w:pageBreakBefore w:val="0"/>
                    <w:wordWrap w:val="0"/>
                    <w:topLinePunct/>
                    <w:bidi w:val="0"/>
                    <w:spacing w:beforeAutospacing="0" w:afterAutospacing="0"/>
                    <w:jc w:val="center"/>
                    <w:rPr>
                      <w:color w:val="auto"/>
                      <w:sz w:val="21"/>
                      <w:szCs w:val="21"/>
                    </w:rPr>
                  </w:pPr>
                  <w:r>
                    <w:rPr>
                      <w:color w:val="auto"/>
                      <w:sz w:val="21"/>
                      <w:szCs w:val="21"/>
                    </w:rPr>
                    <w:t>有机废气</w:t>
                  </w:r>
                </w:p>
              </w:tc>
              <w:tc>
                <w:tcPr>
                  <w:tcW w:w="727" w:type="pct"/>
                  <w:vAlign w:val="center"/>
                </w:tcPr>
                <w:p w14:paraId="325D86F8">
                  <w:pPr>
                    <w:pageBreakBefore w:val="0"/>
                    <w:wordWrap w:val="0"/>
                    <w:topLinePunct/>
                    <w:bidi w:val="0"/>
                    <w:spacing w:beforeAutospacing="0" w:afterAutospacing="0"/>
                    <w:jc w:val="center"/>
                    <w:rPr>
                      <w:color w:val="auto"/>
                      <w:sz w:val="21"/>
                      <w:szCs w:val="21"/>
                    </w:rPr>
                  </w:pPr>
                  <w:r>
                    <w:rPr>
                      <w:color w:val="auto"/>
                      <w:sz w:val="21"/>
                      <w:szCs w:val="21"/>
                    </w:rPr>
                    <w:t>密闭收集</w:t>
                  </w:r>
                </w:p>
              </w:tc>
              <w:tc>
                <w:tcPr>
                  <w:tcW w:w="539" w:type="pct"/>
                  <w:vAlign w:val="center"/>
                </w:tcPr>
                <w:p w14:paraId="2F680674">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w:t>
                  </w:r>
                </w:p>
              </w:tc>
              <w:tc>
                <w:tcPr>
                  <w:tcW w:w="675" w:type="pct"/>
                  <w:vMerge w:val="continue"/>
                  <w:vAlign w:val="center"/>
                </w:tcPr>
                <w:p w14:paraId="694CBBD9">
                  <w:pPr>
                    <w:pageBreakBefore w:val="0"/>
                    <w:wordWrap w:val="0"/>
                    <w:topLinePunct/>
                    <w:bidi w:val="0"/>
                    <w:spacing w:beforeAutospacing="0" w:afterAutospacing="0"/>
                    <w:jc w:val="center"/>
                    <w:rPr>
                      <w:color w:val="auto"/>
                      <w:sz w:val="21"/>
                      <w:szCs w:val="21"/>
                    </w:rPr>
                  </w:pPr>
                </w:p>
              </w:tc>
              <w:tc>
                <w:tcPr>
                  <w:tcW w:w="370" w:type="pct"/>
                  <w:vAlign w:val="center"/>
                </w:tcPr>
                <w:p w14:paraId="661F0B58">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w:t>
                  </w:r>
                </w:p>
              </w:tc>
              <w:tc>
                <w:tcPr>
                  <w:tcW w:w="342" w:type="pct"/>
                  <w:vMerge w:val="continue"/>
                  <w:vAlign w:val="center"/>
                </w:tcPr>
                <w:p w14:paraId="784456CA">
                  <w:pPr>
                    <w:pageBreakBefore w:val="0"/>
                    <w:wordWrap w:val="0"/>
                    <w:topLinePunct/>
                    <w:bidi w:val="0"/>
                    <w:spacing w:beforeAutospacing="0" w:afterAutospacing="0"/>
                    <w:jc w:val="center"/>
                    <w:rPr>
                      <w:color w:val="auto"/>
                      <w:sz w:val="21"/>
                      <w:szCs w:val="21"/>
                    </w:rPr>
                  </w:pPr>
                </w:p>
              </w:tc>
              <w:tc>
                <w:tcPr>
                  <w:tcW w:w="440" w:type="pct"/>
                  <w:vMerge w:val="continue"/>
                  <w:vAlign w:val="center"/>
                </w:tcPr>
                <w:p w14:paraId="52ED12C4">
                  <w:pPr>
                    <w:pageBreakBefore w:val="0"/>
                    <w:wordWrap w:val="0"/>
                    <w:topLinePunct/>
                    <w:bidi w:val="0"/>
                    <w:spacing w:beforeAutospacing="0" w:afterAutospacing="0"/>
                    <w:jc w:val="center"/>
                    <w:rPr>
                      <w:color w:val="auto"/>
                      <w:sz w:val="21"/>
                      <w:szCs w:val="21"/>
                    </w:rPr>
                  </w:pPr>
                </w:p>
              </w:tc>
            </w:tr>
            <w:tr w14:paraId="1B9D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restart"/>
                  <w:vAlign w:val="center"/>
                </w:tcPr>
                <w:p w14:paraId="2DDBC08B">
                  <w:pPr>
                    <w:pageBreakBefore w:val="0"/>
                    <w:wordWrap w:val="0"/>
                    <w:topLinePunct/>
                    <w:bidi w:val="0"/>
                    <w:spacing w:beforeAutospacing="0" w:afterAutospacing="0"/>
                    <w:jc w:val="center"/>
                    <w:rPr>
                      <w:rFonts w:hint="default" w:eastAsiaTheme="minorEastAsia"/>
                      <w:color w:val="auto"/>
                      <w:sz w:val="21"/>
                      <w:szCs w:val="21"/>
                      <w:lang w:val="en-US" w:eastAsia="zh-CN"/>
                    </w:rPr>
                  </w:pPr>
                  <w:r>
                    <w:rPr>
                      <w:rFonts w:hint="eastAsia" w:eastAsiaTheme="minorEastAsia"/>
                      <w:color w:val="auto"/>
                      <w:sz w:val="21"/>
                      <w:szCs w:val="21"/>
                      <w:lang w:val="en-US" w:eastAsia="zh-CN"/>
                    </w:rPr>
                    <w:t>4#车间</w:t>
                  </w:r>
                </w:p>
              </w:tc>
              <w:tc>
                <w:tcPr>
                  <w:tcW w:w="428" w:type="pct"/>
                  <w:vMerge w:val="restart"/>
                  <w:vAlign w:val="center"/>
                </w:tcPr>
                <w:p w14:paraId="5B2266C5">
                  <w:pPr>
                    <w:pageBreakBefore w:val="0"/>
                    <w:wordWrap w:val="0"/>
                    <w:topLinePunct/>
                    <w:bidi w:val="0"/>
                    <w:spacing w:beforeAutospacing="0" w:afterAutospacing="0"/>
                    <w:jc w:val="center"/>
                    <w:rPr>
                      <w:rFonts w:hint="default" w:eastAsiaTheme="minorEastAsia"/>
                      <w:color w:val="auto"/>
                      <w:sz w:val="21"/>
                      <w:szCs w:val="21"/>
                      <w:lang w:val="en-US" w:eastAsia="zh-CN"/>
                    </w:rPr>
                  </w:pPr>
                  <w:r>
                    <w:rPr>
                      <w:rFonts w:hint="eastAsia" w:eastAsiaTheme="minorEastAsia"/>
                      <w:color w:val="auto"/>
                      <w:sz w:val="21"/>
                      <w:szCs w:val="21"/>
                      <w:lang w:val="en-US" w:eastAsia="zh-CN"/>
                    </w:rPr>
                    <w:t>固化工序</w:t>
                  </w:r>
                </w:p>
              </w:tc>
              <w:tc>
                <w:tcPr>
                  <w:tcW w:w="398" w:type="pct"/>
                  <w:vAlign w:val="center"/>
                </w:tcPr>
                <w:p w14:paraId="62F73B3B">
                  <w:pPr>
                    <w:pageBreakBefore w:val="0"/>
                    <w:wordWrap w:val="0"/>
                    <w:topLinePunct/>
                    <w:bidi w:val="0"/>
                    <w:spacing w:beforeAutospacing="0" w:afterAutospacing="0"/>
                    <w:jc w:val="center"/>
                    <w:rPr>
                      <w:rFonts w:hint="eastAsia" w:eastAsiaTheme="minorEastAsia"/>
                      <w:color w:val="auto"/>
                      <w:sz w:val="21"/>
                      <w:szCs w:val="21"/>
                      <w:lang w:eastAsia="zh-CN"/>
                    </w:rPr>
                  </w:pPr>
                  <w:r>
                    <w:rPr>
                      <w:rFonts w:hint="eastAsia" w:eastAsiaTheme="minorEastAsia"/>
                      <w:color w:val="auto"/>
                      <w:sz w:val="21"/>
                      <w:szCs w:val="21"/>
                      <w:lang w:val="en-US" w:eastAsia="zh-CN"/>
                    </w:rPr>
                    <w:t>固化</w:t>
                  </w:r>
                </w:p>
              </w:tc>
              <w:tc>
                <w:tcPr>
                  <w:tcW w:w="622" w:type="pct"/>
                  <w:vAlign w:val="center"/>
                </w:tcPr>
                <w:p w14:paraId="60478C4B">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有机废气（VOCs、</w:t>
                  </w:r>
                  <w:r>
                    <w:rPr>
                      <w:rFonts w:hint="eastAsia"/>
                      <w:color w:val="auto"/>
                      <w:sz w:val="21"/>
                      <w:szCs w:val="21"/>
                      <w:lang w:val="en-US" w:eastAsia="zh-CN"/>
                    </w:rPr>
                    <w:t>苯系物</w:t>
                  </w:r>
                  <w:r>
                    <w:rPr>
                      <w:rFonts w:hint="eastAsia"/>
                      <w:color w:val="auto"/>
                      <w:sz w:val="21"/>
                      <w:szCs w:val="21"/>
                      <w:lang w:eastAsia="zh-CN"/>
                    </w:rPr>
                    <w:t>、</w:t>
                  </w:r>
                  <w:r>
                    <w:rPr>
                      <w:rFonts w:hint="eastAsia"/>
                      <w:color w:val="auto"/>
                      <w:sz w:val="21"/>
                      <w:szCs w:val="21"/>
                      <w:lang w:val="en-US" w:eastAsia="zh-CN"/>
                    </w:rPr>
                    <w:t>臭气浓度</w:t>
                  </w:r>
                  <w:r>
                    <w:rPr>
                      <w:color w:val="auto"/>
                      <w:sz w:val="21"/>
                      <w:szCs w:val="21"/>
                    </w:rPr>
                    <w:t>）</w:t>
                  </w:r>
                </w:p>
              </w:tc>
              <w:tc>
                <w:tcPr>
                  <w:tcW w:w="727" w:type="pct"/>
                  <w:vAlign w:val="center"/>
                </w:tcPr>
                <w:p w14:paraId="51DA0C33">
                  <w:pPr>
                    <w:pageBreakBefore w:val="0"/>
                    <w:wordWrap w:val="0"/>
                    <w:topLinePunct/>
                    <w:bidi w:val="0"/>
                    <w:spacing w:beforeAutospacing="0" w:afterAutospacing="0"/>
                    <w:jc w:val="center"/>
                    <w:rPr>
                      <w:color w:val="auto"/>
                      <w:sz w:val="21"/>
                      <w:szCs w:val="21"/>
                    </w:rPr>
                  </w:pPr>
                  <w:r>
                    <w:rPr>
                      <w:color w:val="auto"/>
                      <w:sz w:val="21"/>
                      <w:szCs w:val="21"/>
                    </w:rPr>
                    <w:t>密闭负压收集</w:t>
                  </w:r>
                </w:p>
              </w:tc>
              <w:tc>
                <w:tcPr>
                  <w:tcW w:w="539" w:type="pct"/>
                  <w:vAlign w:val="center"/>
                </w:tcPr>
                <w:p w14:paraId="16D595B7">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95%</w:t>
                  </w:r>
                </w:p>
              </w:tc>
              <w:tc>
                <w:tcPr>
                  <w:tcW w:w="675" w:type="pct"/>
                  <w:vMerge w:val="restart"/>
                  <w:vAlign w:val="center"/>
                </w:tcPr>
                <w:p w14:paraId="05FD7E8E">
                  <w:pPr>
                    <w:pageBreakBefore w:val="0"/>
                    <w:wordWrap w:val="0"/>
                    <w:topLinePunct/>
                    <w:bidi w:val="0"/>
                    <w:spacing w:beforeAutospacing="0" w:afterAutospacing="0"/>
                    <w:jc w:val="center"/>
                    <w:rPr>
                      <w:color w:val="auto"/>
                      <w:sz w:val="21"/>
                      <w:szCs w:val="21"/>
                    </w:rPr>
                  </w:pPr>
                  <w:r>
                    <w:rPr>
                      <w:color w:val="auto"/>
                      <w:sz w:val="21"/>
                      <w:szCs w:val="21"/>
                    </w:rPr>
                    <w:t>喷淋塔+干式过滤器+</w:t>
                  </w:r>
                  <w:r>
                    <w:rPr>
                      <w:rFonts w:hint="eastAsia"/>
                      <w:color w:val="auto"/>
                      <w:lang w:val="en-US" w:eastAsia="zh-CN"/>
                    </w:rPr>
                    <w:t>二级活性炭吸附</w:t>
                  </w:r>
                </w:p>
              </w:tc>
              <w:tc>
                <w:tcPr>
                  <w:tcW w:w="370" w:type="pct"/>
                  <w:vAlign w:val="center"/>
                </w:tcPr>
                <w:p w14:paraId="6B30C190">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80%</w:t>
                  </w:r>
                </w:p>
              </w:tc>
              <w:tc>
                <w:tcPr>
                  <w:tcW w:w="342" w:type="pct"/>
                  <w:vMerge w:val="restart"/>
                  <w:vAlign w:val="center"/>
                </w:tcPr>
                <w:p w14:paraId="34E9013D">
                  <w:pPr>
                    <w:pageBreakBefore w:val="0"/>
                    <w:wordWrap w:val="0"/>
                    <w:topLinePunct/>
                    <w:bidi w:val="0"/>
                    <w:spacing w:beforeAutospacing="0" w:afterAutospacing="0"/>
                    <w:jc w:val="center"/>
                    <w:rPr>
                      <w:rFonts w:eastAsiaTheme="minorEastAsia"/>
                      <w:color w:val="auto"/>
                      <w:sz w:val="21"/>
                      <w:szCs w:val="21"/>
                    </w:rPr>
                  </w:pPr>
                  <w:r>
                    <w:rPr>
                      <w:color w:val="auto"/>
                      <w:sz w:val="21"/>
                      <w:szCs w:val="21"/>
                    </w:rPr>
                    <w:t>有组织</w:t>
                  </w:r>
                </w:p>
              </w:tc>
              <w:tc>
                <w:tcPr>
                  <w:tcW w:w="440" w:type="pct"/>
                  <w:vMerge w:val="restart"/>
                  <w:vAlign w:val="center"/>
                </w:tcPr>
                <w:p w14:paraId="00B65598">
                  <w:pPr>
                    <w:pageBreakBefore w:val="0"/>
                    <w:wordWrap w:val="0"/>
                    <w:topLinePunct/>
                    <w:bidi w:val="0"/>
                    <w:spacing w:beforeAutospacing="0" w:afterAutospacing="0"/>
                    <w:jc w:val="center"/>
                    <w:rPr>
                      <w:rFonts w:hint="eastAsia" w:eastAsia="宋体"/>
                      <w:color w:val="auto"/>
                      <w:sz w:val="21"/>
                      <w:szCs w:val="21"/>
                      <w:lang w:eastAsia="zh-CN"/>
                    </w:rPr>
                  </w:pPr>
                  <w:r>
                    <w:rPr>
                      <w:rFonts w:hint="eastAsia"/>
                      <w:color w:val="auto"/>
                      <w:sz w:val="21"/>
                      <w:szCs w:val="21"/>
                      <w:lang w:eastAsia="zh-CN"/>
                    </w:rPr>
                    <w:t>DA00</w:t>
                  </w:r>
                  <w:r>
                    <w:rPr>
                      <w:rFonts w:hint="eastAsia"/>
                      <w:color w:val="auto"/>
                      <w:sz w:val="21"/>
                      <w:szCs w:val="21"/>
                      <w:lang w:val="en-US" w:eastAsia="zh-CN"/>
                    </w:rPr>
                    <w:t>2</w:t>
                  </w:r>
                </w:p>
              </w:tc>
            </w:tr>
            <w:tr w14:paraId="5248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2EE69F3E">
                  <w:pPr>
                    <w:pageBreakBefore w:val="0"/>
                    <w:wordWrap w:val="0"/>
                    <w:topLinePunct/>
                    <w:bidi w:val="0"/>
                    <w:spacing w:beforeAutospacing="0" w:afterAutospacing="0"/>
                    <w:jc w:val="center"/>
                    <w:rPr>
                      <w:color w:val="auto"/>
                      <w:sz w:val="21"/>
                      <w:szCs w:val="21"/>
                    </w:rPr>
                  </w:pPr>
                </w:p>
              </w:tc>
              <w:tc>
                <w:tcPr>
                  <w:tcW w:w="428" w:type="pct"/>
                  <w:vMerge w:val="continue"/>
                  <w:vAlign w:val="center"/>
                </w:tcPr>
                <w:p w14:paraId="1B80390B">
                  <w:pPr>
                    <w:pageBreakBefore w:val="0"/>
                    <w:wordWrap w:val="0"/>
                    <w:topLinePunct/>
                    <w:bidi w:val="0"/>
                    <w:spacing w:beforeAutospacing="0" w:afterAutospacing="0"/>
                    <w:jc w:val="center"/>
                    <w:rPr>
                      <w:color w:val="auto"/>
                      <w:sz w:val="21"/>
                      <w:szCs w:val="21"/>
                    </w:rPr>
                  </w:pPr>
                </w:p>
              </w:tc>
              <w:tc>
                <w:tcPr>
                  <w:tcW w:w="398" w:type="pct"/>
                  <w:vAlign w:val="center"/>
                </w:tcPr>
                <w:p w14:paraId="056DFB0E">
                  <w:pPr>
                    <w:pageBreakBefore w:val="0"/>
                    <w:wordWrap w:val="0"/>
                    <w:topLinePunct/>
                    <w:bidi w:val="0"/>
                    <w:spacing w:beforeAutospacing="0" w:afterAutospacing="0"/>
                    <w:jc w:val="center"/>
                    <w:rPr>
                      <w:color w:val="auto"/>
                      <w:sz w:val="21"/>
                      <w:szCs w:val="21"/>
                    </w:rPr>
                  </w:pPr>
                  <w:r>
                    <w:rPr>
                      <w:color w:val="auto"/>
                      <w:sz w:val="21"/>
                      <w:szCs w:val="21"/>
                    </w:rPr>
                    <w:t>天然气燃烧</w:t>
                  </w:r>
                </w:p>
              </w:tc>
              <w:tc>
                <w:tcPr>
                  <w:tcW w:w="622" w:type="pct"/>
                  <w:vAlign w:val="center"/>
                </w:tcPr>
                <w:p w14:paraId="2BCC69E2">
                  <w:pPr>
                    <w:pageBreakBefore w:val="0"/>
                    <w:wordWrap w:val="0"/>
                    <w:topLinePunct/>
                    <w:bidi w:val="0"/>
                    <w:spacing w:beforeAutospacing="0" w:afterAutospacing="0"/>
                    <w:jc w:val="center"/>
                    <w:rPr>
                      <w:color w:val="auto"/>
                      <w:sz w:val="21"/>
                      <w:szCs w:val="21"/>
                    </w:rPr>
                  </w:pPr>
                  <w:r>
                    <w:rPr>
                      <w:color w:val="auto"/>
                      <w:sz w:val="21"/>
                      <w:szCs w:val="21"/>
                    </w:rPr>
                    <w:t>二氧化硫、氮氧化物、烟尘</w:t>
                  </w:r>
                </w:p>
              </w:tc>
              <w:tc>
                <w:tcPr>
                  <w:tcW w:w="727" w:type="pct"/>
                  <w:vAlign w:val="center"/>
                </w:tcPr>
                <w:p w14:paraId="7DABC373">
                  <w:pPr>
                    <w:pageBreakBefore w:val="0"/>
                    <w:wordWrap w:val="0"/>
                    <w:topLinePunct/>
                    <w:bidi w:val="0"/>
                    <w:spacing w:beforeAutospacing="0" w:afterAutospacing="0"/>
                    <w:jc w:val="center"/>
                    <w:rPr>
                      <w:color w:val="auto"/>
                      <w:sz w:val="21"/>
                      <w:szCs w:val="21"/>
                    </w:rPr>
                  </w:pPr>
                  <w:r>
                    <w:rPr>
                      <w:color w:val="auto"/>
                      <w:kern w:val="2"/>
                      <w:sz w:val="21"/>
                      <w:szCs w:val="21"/>
                    </w:rPr>
                    <w:t>直连排风管</w:t>
                  </w:r>
                </w:p>
              </w:tc>
              <w:tc>
                <w:tcPr>
                  <w:tcW w:w="539" w:type="pct"/>
                  <w:vAlign w:val="center"/>
                </w:tcPr>
                <w:p w14:paraId="3EE086E2">
                  <w:pPr>
                    <w:pageBreakBefore w:val="0"/>
                    <w:wordWrap w:val="0"/>
                    <w:topLinePunct/>
                    <w:bidi w:val="0"/>
                    <w:spacing w:beforeAutospacing="0" w:afterAutospacing="0"/>
                    <w:jc w:val="center"/>
                    <w:rPr>
                      <w:rFonts w:hint="default" w:eastAsia="宋体"/>
                      <w:color w:val="auto"/>
                      <w:kern w:val="2"/>
                      <w:sz w:val="21"/>
                      <w:szCs w:val="21"/>
                      <w:lang w:val="en-US" w:eastAsia="zh-CN"/>
                    </w:rPr>
                  </w:pPr>
                  <w:r>
                    <w:rPr>
                      <w:rFonts w:hint="eastAsia"/>
                      <w:color w:val="auto"/>
                      <w:kern w:val="2"/>
                      <w:sz w:val="21"/>
                      <w:szCs w:val="21"/>
                      <w:lang w:val="en-US" w:eastAsia="zh-CN"/>
                    </w:rPr>
                    <w:t>100%</w:t>
                  </w:r>
                </w:p>
              </w:tc>
              <w:tc>
                <w:tcPr>
                  <w:tcW w:w="675" w:type="pct"/>
                  <w:vMerge w:val="continue"/>
                  <w:vAlign w:val="center"/>
                </w:tcPr>
                <w:p w14:paraId="070C1528">
                  <w:pPr>
                    <w:pageBreakBefore w:val="0"/>
                    <w:wordWrap w:val="0"/>
                    <w:topLinePunct/>
                    <w:bidi w:val="0"/>
                    <w:spacing w:beforeAutospacing="0" w:afterAutospacing="0"/>
                    <w:jc w:val="center"/>
                    <w:rPr>
                      <w:color w:val="auto"/>
                      <w:sz w:val="21"/>
                      <w:szCs w:val="21"/>
                    </w:rPr>
                  </w:pPr>
                </w:p>
              </w:tc>
              <w:tc>
                <w:tcPr>
                  <w:tcW w:w="370" w:type="pct"/>
                  <w:vAlign w:val="center"/>
                </w:tcPr>
                <w:p w14:paraId="52A1EB99">
                  <w:pPr>
                    <w:pageBreakBefore w:val="0"/>
                    <w:wordWrap w:val="0"/>
                    <w:topLinePunct/>
                    <w:bidi w:val="0"/>
                    <w:spacing w:beforeAutospacing="0" w:afterAutospacing="0"/>
                    <w:jc w:val="center"/>
                    <w:rPr>
                      <w:rFonts w:hint="eastAsia" w:eastAsia="宋体"/>
                      <w:color w:val="auto"/>
                      <w:sz w:val="21"/>
                      <w:szCs w:val="21"/>
                      <w:lang w:val="en-US" w:eastAsia="zh-CN"/>
                    </w:rPr>
                  </w:pPr>
                  <w:r>
                    <w:rPr>
                      <w:rFonts w:hint="eastAsia"/>
                      <w:color w:val="auto"/>
                      <w:sz w:val="21"/>
                      <w:szCs w:val="21"/>
                      <w:lang w:val="en-US" w:eastAsia="zh-CN"/>
                    </w:rPr>
                    <w:t>/</w:t>
                  </w:r>
                </w:p>
              </w:tc>
              <w:tc>
                <w:tcPr>
                  <w:tcW w:w="342" w:type="pct"/>
                  <w:vMerge w:val="continue"/>
                  <w:vAlign w:val="center"/>
                </w:tcPr>
                <w:p w14:paraId="48D5406D">
                  <w:pPr>
                    <w:pageBreakBefore w:val="0"/>
                    <w:wordWrap w:val="0"/>
                    <w:topLinePunct/>
                    <w:bidi w:val="0"/>
                    <w:spacing w:beforeAutospacing="0" w:afterAutospacing="0"/>
                    <w:jc w:val="center"/>
                    <w:rPr>
                      <w:color w:val="auto"/>
                      <w:sz w:val="21"/>
                      <w:szCs w:val="21"/>
                    </w:rPr>
                  </w:pPr>
                </w:p>
              </w:tc>
              <w:tc>
                <w:tcPr>
                  <w:tcW w:w="440" w:type="pct"/>
                  <w:vMerge w:val="continue"/>
                  <w:vAlign w:val="center"/>
                </w:tcPr>
                <w:p w14:paraId="3AC277BC">
                  <w:pPr>
                    <w:pageBreakBefore w:val="0"/>
                    <w:wordWrap w:val="0"/>
                    <w:topLinePunct/>
                    <w:bidi w:val="0"/>
                    <w:spacing w:beforeAutospacing="0" w:afterAutospacing="0"/>
                    <w:jc w:val="center"/>
                    <w:rPr>
                      <w:color w:val="auto"/>
                      <w:sz w:val="21"/>
                      <w:szCs w:val="21"/>
                    </w:rPr>
                  </w:pPr>
                </w:p>
              </w:tc>
            </w:tr>
            <w:tr w14:paraId="4182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restart"/>
                  <w:vAlign w:val="center"/>
                </w:tcPr>
                <w:p w14:paraId="6E2DEC12">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5#车间</w:t>
                  </w:r>
                </w:p>
              </w:tc>
              <w:tc>
                <w:tcPr>
                  <w:tcW w:w="428" w:type="pct"/>
                  <w:vMerge w:val="restart"/>
                  <w:vAlign w:val="center"/>
                </w:tcPr>
                <w:p w14:paraId="210157E0">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前处理工序</w:t>
                  </w:r>
                </w:p>
              </w:tc>
              <w:tc>
                <w:tcPr>
                  <w:tcW w:w="398" w:type="pct"/>
                  <w:vMerge w:val="restart"/>
                  <w:vAlign w:val="center"/>
                </w:tcPr>
                <w:p w14:paraId="7AB750E9">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表面预处理废气</w:t>
                  </w:r>
                </w:p>
              </w:tc>
              <w:tc>
                <w:tcPr>
                  <w:tcW w:w="622" w:type="pct"/>
                  <w:vAlign w:val="center"/>
                </w:tcPr>
                <w:p w14:paraId="3F96520B">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氟化物</w:t>
                  </w:r>
                </w:p>
              </w:tc>
              <w:tc>
                <w:tcPr>
                  <w:tcW w:w="727" w:type="pct"/>
                  <w:vAlign w:val="center"/>
                </w:tcPr>
                <w:p w14:paraId="4100A767">
                  <w:pPr>
                    <w:pageBreakBefore w:val="0"/>
                    <w:wordWrap w:val="0"/>
                    <w:topLinePunct/>
                    <w:bidi w:val="0"/>
                    <w:spacing w:beforeAutospacing="0" w:afterAutospacing="0"/>
                    <w:jc w:val="center"/>
                    <w:rPr>
                      <w:color w:val="auto"/>
                      <w:kern w:val="2"/>
                      <w:sz w:val="21"/>
                      <w:szCs w:val="21"/>
                    </w:rPr>
                  </w:pPr>
                  <w:r>
                    <w:rPr>
                      <w:color w:val="auto"/>
                      <w:sz w:val="21"/>
                      <w:szCs w:val="21"/>
                    </w:rPr>
                    <w:t>密闭负压收集</w:t>
                  </w:r>
                </w:p>
              </w:tc>
              <w:tc>
                <w:tcPr>
                  <w:tcW w:w="539" w:type="pct"/>
                  <w:vAlign w:val="center"/>
                </w:tcPr>
                <w:p w14:paraId="370D3959">
                  <w:pPr>
                    <w:pageBreakBefore w:val="0"/>
                    <w:wordWrap w:val="0"/>
                    <w:topLinePunct/>
                    <w:bidi w:val="0"/>
                    <w:spacing w:beforeAutospacing="0" w:afterAutospacing="0"/>
                    <w:jc w:val="center"/>
                    <w:rPr>
                      <w:rFonts w:hint="eastAsia"/>
                      <w:color w:val="auto"/>
                      <w:kern w:val="2"/>
                      <w:sz w:val="21"/>
                      <w:szCs w:val="21"/>
                      <w:lang w:val="en-US" w:eastAsia="zh-CN"/>
                    </w:rPr>
                  </w:pPr>
                  <w:r>
                    <w:rPr>
                      <w:rFonts w:hint="eastAsia"/>
                      <w:color w:val="auto"/>
                      <w:sz w:val="21"/>
                      <w:szCs w:val="21"/>
                      <w:lang w:val="en-US" w:eastAsia="zh-CN"/>
                    </w:rPr>
                    <w:t>95%</w:t>
                  </w:r>
                </w:p>
              </w:tc>
              <w:tc>
                <w:tcPr>
                  <w:tcW w:w="675" w:type="pct"/>
                  <w:vMerge w:val="restart"/>
                  <w:vAlign w:val="center"/>
                </w:tcPr>
                <w:p w14:paraId="6F42554A">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碱液喷淋</w:t>
                  </w:r>
                </w:p>
              </w:tc>
              <w:tc>
                <w:tcPr>
                  <w:tcW w:w="370" w:type="pct"/>
                  <w:vAlign w:val="center"/>
                </w:tcPr>
                <w:p w14:paraId="30E3862F">
                  <w:pPr>
                    <w:pageBreakBefore w:val="0"/>
                    <w:wordWrap w:val="0"/>
                    <w:topLinePunct/>
                    <w:bidi w:val="0"/>
                    <w:spacing w:beforeAutospacing="0" w:afterAutospacing="0"/>
                    <w:jc w:val="center"/>
                    <w:rPr>
                      <w:rFonts w:hint="default"/>
                      <w:color w:val="auto"/>
                      <w:sz w:val="21"/>
                      <w:szCs w:val="21"/>
                      <w:lang w:val="en-US" w:eastAsia="zh-CN"/>
                    </w:rPr>
                  </w:pPr>
                  <w:r>
                    <w:rPr>
                      <w:rFonts w:hint="eastAsia"/>
                      <w:color w:val="auto"/>
                      <w:sz w:val="21"/>
                      <w:szCs w:val="21"/>
                      <w:lang w:val="en-US" w:eastAsia="zh-CN"/>
                    </w:rPr>
                    <w:t>85%</w:t>
                  </w:r>
                </w:p>
              </w:tc>
              <w:tc>
                <w:tcPr>
                  <w:tcW w:w="342" w:type="pct"/>
                  <w:vMerge w:val="restart"/>
                  <w:vAlign w:val="center"/>
                </w:tcPr>
                <w:p w14:paraId="3C045F77">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有组织</w:t>
                  </w:r>
                </w:p>
              </w:tc>
              <w:tc>
                <w:tcPr>
                  <w:tcW w:w="440" w:type="pct"/>
                  <w:vMerge w:val="restart"/>
                  <w:vAlign w:val="center"/>
                </w:tcPr>
                <w:p w14:paraId="0D3E365F">
                  <w:pPr>
                    <w:pageBreakBefore w:val="0"/>
                    <w:wordWrap w:val="0"/>
                    <w:topLinePunct/>
                    <w:bidi w:val="0"/>
                    <w:spacing w:beforeAutospacing="0" w:afterAutospacing="0"/>
                    <w:jc w:val="center"/>
                    <w:rPr>
                      <w:rFonts w:hint="default" w:eastAsia="宋体"/>
                      <w:color w:val="auto"/>
                      <w:sz w:val="21"/>
                      <w:szCs w:val="21"/>
                      <w:lang w:val="en-US" w:eastAsia="zh-CN"/>
                    </w:rPr>
                  </w:pPr>
                  <w:r>
                    <w:rPr>
                      <w:rFonts w:hint="eastAsia"/>
                      <w:color w:val="auto"/>
                      <w:sz w:val="21"/>
                      <w:szCs w:val="21"/>
                      <w:lang w:val="en-US" w:eastAsia="zh-CN"/>
                    </w:rPr>
                    <w:t>DA003</w:t>
                  </w:r>
                </w:p>
              </w:tc>
            </w:tr>
            <w:tr w14:paraId="30E9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54" w:type="pct"/>
                  <w:vMerge w:val="continue"/>
                  <w:vAlign w:val="center"/>
                </w:tcPr>
                <w:p w14:paraId="1D13638A">
                  <w:pPr>
                    <w:pageBreakBefore w:val="0"/>
                    <w:wordWrap w:val="0"/>
                    <w:topLinePunct/>
                    <w:bidi w:val="0"/>
                    <w:spacing w:beforeAutospacing="0" w:afterAutospacing="0"/>
                    <w:jc w:val="center"/>
                    <w:rPr>
                      <w:color w:val="auto"/>
                      <w:sz w:val="21"/>
                      <w:szCs w:val="21"/>
                    </w:rPr>
                  </w:pPr>
                </w:p>
              </w:tc>
              <w:tc>
                <w:tcPr>
                  <w:tcW w:w="428" w:type="pct"/>
                  <w:vMerge w:val="continue"/>
                  <w:vAlign w:val="center"/>
                </w:tcPr>
                <w:p w14:paraId="1033D406">
                  <w:pPr>
                    <w:pageBreakBefore w:val="0"/>
                    <w:wordWrap w:val="0"/>
                    <w:topLinePunct/>
                    <w:bidi w:val="0"/>
                    <w:spacing w:beforeAutospacing="0" w:afterAutospacing="0"/>
                    <w:jc w:val="center"/>
                    <w:rPr>
                      <w:rFonts w:hint="eastAsia"/>
                      <w:color w:val="auto"/>
                      <w:sz w:val="21"/>
                      <w:szCs w:val="21"/>
                      <w:lang w:val="en-US" w:eastAsia="zh-CN"/>
                    </w:rPr>
                  </w:pPr>
                </w:p>
              </w:tc>
              <w:tc>
                <w:tcPr>
                  <w:tcW w:w="398" w:type="pct"/>
                  <w:vMerge w:val="continue"/>
                  <w:vAlign w:val="center"/>
                </w:tcPr>
                <w:p w14:paraId="18765B8B">
                  <w:pPr>
                    <w:pageBreakBefore w:val="0"/>
                    <w:wordWrap w:val="0"/>
                    <w:topLinePunct/>
                    <w:bidi w:val="0"/>
                    <w:spacing w:beforeAutospacing="0" w:afterAutospacing="0"/>
                    <w:jc w:val="center"/>
                    <w:rPr>
                      <w:rFonts w:hint="default"/>
                      <w:color w:val="auto"/>
                      <w:sz w:val="21"/>
                      <w:szCs w:val="21"/>
                      <w:lang w:val="en-US" w:eastAsia="zh-CN"/>
                    </w:rPr>
                  </w:pPr>
                </w:p>
              </w:tc>
              <w:tc>
                <w:tcPr>
                  <w:tcW w:w="622" w:type="pct"/>
                  <w:vAlign w:val="center"/>
                </w:tcPr>
                <w:p w14:paraId="52638EA2">
                  <w:pPr>
                    <w:pageBreakBefore w:val="0"/>
                    <w:wordWrap w:val="0"/>
                    <w:topLinePunct/>
                    <w:bidi w:val="0"/>
                    <w:spacing w:beforeAutospacing="0" w:afterAutospacing="0"/>
                    <w:jc w:val="center"/>
                    <w:rPr>
                      <w:rFonts w:hint="eastAsia" w:eastAsia="宋体"/>
                      <w:color w:val="auto"/>
                      <w:sz w:val="21"/>
                      <w:szCs w:val="21"/>
                      <w:lang w:val="en-US" w:eastAsia="zh-CN"/>
                    </w:rPr>
                  </w:pPr>
                  <w:r>
                    <w:rPr>
                      <w:color w:val="auto"/>
                      <w:sz w:val="21"/>
                      <w:szCs w:val="21"/>
                    </w:rPr>
                    <w:t>二氧化硫、氮氧化物、烟尘</w:t>
                  </w:r>
                </w:p>
              </w:tc>
              <w:tc>
                <w:tcPr>
                  <w:tcW w:w="727" w:type="pct"/>
                  <w:vAlign w:val="center"/>
                </w:tcPr>
                <w:p w14:paraId="32AE1C76">
                  <w:pPr>
                    <w:pageBreakBefore w:val="0"/>
                    <w:wordWrap w:val="0"/>
                    <w:topLinePunct/>
                    <w:bidi w:val="0"/>
                    <w:spacing w:beforeAutospacing="0" w:afterAutospacing="0"/>
                    <w:jc w:val="center"/>
                    <w:rPr>
                      <w:color w:val="auto"/>
                      <w:kern w:val="2"/>
                      <w:sz w:val="21"/>
                      <w:szCs w:val="21"/>
                    </w:rPr>
                  </w:pPr>
                  <w:r>
                    <w:rPr>
                      <w:color w:val="auto"/>
                      <w:kern w:val="2"/>
                      <w:sz w:val="21"/>
                      <w:szCs w:val="21"/>
                    </w:rPr>
                    <w:t>直连排风管</w:t>
                  </w:r>
                </w:p>
              </w:tc>
              <w:tc>
                <w:tcPr>
                  <w:tcW w:w="539" w:type="pct"/>
                  <w:vAlign w:val="center"/>
                </w:tcPr>
                <w:p w14:paraId="1EFA1ABA">
                  <w:pPr>
                    <w:pageBreakBefore w:val="0"/>
                    <w:wordWrap w:val="0"/>
                    <w:topLinePunct/>
                    <w:bidi w:val="0"/>
                    <w:spacing w:beforeAutospacing="0" w:afterAutospacing="0"/>
                    <w:jc w:val="center"/>
                    <w:rPr>
                      <w:rFonts w:hint="eastAsia"/>
                      <w:color w:val="auto"/>
                      <w:kern w:val="2"/>
                      <w:sz w:val="21"/>
                      <w:szCs w:val="21"/>
                      <w:lang w:val="en-US" w:eastAsia="zh-CN"/>
                    </w:rPr>
                  </w:pPr>
                  <w:r>
                    <w:rPr>
                      <w:rFonts w:hint="eastAsia"/>
                      <w:color w:val="auto"/>
                      <w:kern w:val="2"/>
                      <w:sz w:val="21"/>
                      <w:szCs w:val="21"/>
                      <w:lang w:val="en-US" w:eastAsia="zh-CN"/>
                    </w:rPr>
                    <w:t>100%</w:t>
                  </w:r>
                </w:p>
              </w:tc>
              <w:tc>
                <w:tcPr>
                  <w:tcW w:w="675" w:type="pct"/>
                  <w:vMerge w:val="continue"/>
                  <w:vAlign w:val="center"/>
                </w:tcPr>
                <w:p w14:paraId="7E317F8E">
                  <w:pPr>
                    <w:pageBreakBefore w:val="0"/>
                    <w:wordWrap w:val="0"/>
                    <w:topLinePunct/>
                    <w:bidi w:val="0"/>
                    <w:spacing w:beforeAutospacing="0" w:afterAutospacing="0"/>
                    <w:jc w:val="center"/>
                    <w:rPr>
                      <w:color w:val="auto"/>
                      <w:sz w:val="21"/>
                      <w:szCs w:val="21"/>
                    </w:rPr>
                  </w:pPr>
                </w:p>
              </w:tc>
              <w:tc>
                <w:tcPr>
                  <w:tcW w:w="370" w:type="pct"/>
                  <w:vAlign w:val="center"/>
                </w:tcPr>
                <w:p w14:paraId="118662C6">
                  <w:pPr>
                    <w:pageBreakBefore w:val="0"/>
                    <w:wordWrap w:val="0"/>
                    <w:topLinePunct/>
                    <w:bidi w:val="0"/>
                    <w:spacing w:beforeAutospacing="0" w:afterAutospacing="0"/>
                    <w:jc w:val="center"/>
                    <w:rPr>
                      <w:rFonts w:hint="default"/>
                      <w:color w:val="auto"/>
                      <w:sz w:val="21"/>
                      <w:szCs w:val="21"/>
                      <w:lang w:val="en-US" w:eastAsia="zh-CN"/>
                    </w:rPr>
                  </w:pPr>
                  <w:r>
                    <w:rPr>
                      <w:rFonts w:hint="eastAsia"/>
                      <w:color w:val="auto"/>
                      <w:sz w:val="21"/>
                      <w:szCs w:val="21"/>
                      <w:lang w:val="en-US" w:eastAsia="zh-CN"/>
                    </w:rPr>
                    <w:t>/</w:t>
                  </w:r>
                </w:p>
              </w:tc>
              <w:tc>
                <w:tcPr>
                  <w:tcW w:w="342" w:type="pct"/>
                  <w:vMerge w:val="continue"/>
                  <w:vAlign w:val="center"/>
                </w:tcPr>
                <w:p w14:paraId="683EFD67">
                  <w:pPr>
                    <w:pageBreakBefore w:val="0"/>
                    <w:wordWrap w:val="0"/>
                    <w:topLinePunct/>
                    <w:bidi w:val="0"/>
                    <w:spacing w:beforeAutospacing="0" w:afterAutospacing="0"/>
                    <w:jc w:val="center"/>
                    <w:rPr>
                      <w:color w:val="auto"/>
                      <w:sz w:val="21"/>
                      <w:szCs w:val="21"/>
                    </w:rPr>
                  </w:pPr>
                </w:p>
              </w:tc>
              <w:tc>
                <w:tcPr>
                  <w:tcW w:w="440" w:type="pct"/>
                  <w:vMerge w:val="continue"/>
                  <w:vAlign w:val="center"/>
                </w:tcPr>
                <w:p w14:paraId="6E13CC93">
                  <w:pPr>
                    <w:pageBreakBefore w:val="0"/>
                    <w:wordWrap w:val="0"/>
                    <w:topLinePunct/>
                    <w:bidi w:val="0"/>
                    <w:spacing w:beforeAutospacing="0" w:afterAutospacing="0"/>
                    <w:jc w:val="center"/>
                    <w:rPr>
                      <w:color w:val="auto"/>
                      <w:sz w:val="21"/>
                      <w:szCs w:val="21"/>
                    </w:rPr>
                  </w:pPr>
                </w:p>
              </w:tc>
            </w:tr>
          </w:tbl>
          <w:p w14:paraId="3A9AB251">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w:t>
            </w:r>
            <w:r>
              <w:rPr>
                <w:rFonts w:hint="eastAsia" w:ascii="Times New Roman" w:hAnsi="Times New Roman" w:cs="Times New Roman"/>
                <w:b/>
                <w:bCs/>
                <w:color w:val="auto"/>
                <w:sz w:val="24"/>
                <w:szCs w:val="24"/>
                <w:highlight w:val="none"/>
                <w:lang w:val="en-US" w:eastAsia="zh-CN"/>
              </w:rPr>
              <w:t>.</w:t>
            </w:r>
            <w:r>
              <w:rPr>
                <w:rFonts w:hint="eastAsia" w:cs="Times New Roman"/>
                <w:b/>
                <w:bCs/>
                <w:color w:val="auto"/>
                <w:sz w:val="24"/>
                <w:szCs w:val="24"/>
                <w:highlight w:val="none"/>
                <w:lang w:val="en-US" w:eastAsia="zh-CN"/>
              </w:rPr>
              <w:t>2</w:t>
            </w:r>
            <w:r>
              <w:rPr>
                <w:rFonts w:hint="eastAsia" w:ascii="Times New Roman" w:hAnsi="Times New Roman" w:cs="Times New Roman"/>
                <w:b/>
                <w:bCs/>
                <w:color w:val="auto"/>
                <w:sz w:val="24"/>
                <w:szCs w:val="24"/>
                <w:highlight w:val="none"/>
                <w:lang w:val="en-US" w:eastAsia="zh-CN"/>
              </w:rPr>
              <w:t xml:space="preserve">.8 </w:t>
            </w:r>
            <w:r>
              <w:rPr>
                <w:rFonts w:hint="default" w:ascii="Times New Roman" w:hAnsi="Times New Roman" w:cs="Times New Roman"/>
                <w:b/>
                <w:bCs/>
                <w:color w:val="auto"/>
                <w:sz w:val="24"/>
                <w:szCs w:val="24"/>
                <w:highlight w:val="none"/>
                <w:lang w:val="en-US" w:eastAsia="zh-CN"/>
              </w:rPr>
              <w:t>污水处理站恶臭</w:t>
            </w:r>
          </w:p>
          <w:p w14:paraId="62E28C9B">
            <w:pPr>
              <w:pStyle w:val="158"/>
              <w:keepNext w:val="0"/>
              <w:keepLines w:val="0"/>
              <w:suppressLineNumbers w:val="0"/>
              <w:snapToGrid/>
              <w:spacing w:before="0" w:beforeAutospacing="0" w:after="0" w:afterAutospacing="0" w:line="360" w:lineRule="auto"/>
              <w:ind w:left="0" w:right="0" w:firstLine="480"/>
              <w:outlineLvl w:val="9"/>
              <w:rPr>
                <w:rFonts w:hint="default" w:ascii="Times New Roman" w:hAnsi="Times New Roman" w:cs="Times New Roman"/>
                <w:b/>
                <w:bCs/>
                <w:color w:val="auto"/>
                <w:sz w:val="24"/>
                <w:szCs w:val="24"/>
                <w:highlight w:val="none"/>
              </w:rPr>
            </w:pPr>
            <w:r>
              <w:rPr>
                <w:rFonts w:hint="default" w:ascii="Times New Roman" w:hAnsi="Times New Roman" w:cs="Times New Roman"/>
                <w:color w:val="auto"/>
                <w:sz w:val="24"/>
                <w:szCs w:val="24"/>
                <w:highlight w:val="none"/>
              </w:rPr>
              <w:t>污水处理站废水处理产生的废气主要为硫化氢、氨、臭气浓度</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highlight w:val="none"/>
                <w:lang w:val="en-US" w:eastAsia="zh-CN"/>
              </w:rPr>
              <w:t>酸雾</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highlight w:val="none"/>
                <w:lang w:val="en-US" w:eastAsia="zh-CN"/>
              </w:rPr>
              <w:t>其中酸雾来源于pH调整剂（70%硫酸）的使用，由于其储存于密闭的容器中，非取用状态时加盖、封口，保持密闭，项目仅为调节废水pH，不存在酸洗等过程</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pH调整剂（70%硫酸）在常温及稀释状态下几乎不挥发，且储存容器密闭，因此不考虑其酸雾挥发对周围环境的影响，本项目忽略不计</w:t>
            </w:r>
            <w:r>
              <w:rPr>
                <w:rFonts w:hint="eastAsia" w:cs="Times New Roman"/>
                <w:color w:val="auto"/>
                <w:highlight w:val="none"/>
                <w:lang w:val="en-US" w:eastAsia="zh-CN"/>
              </w:rPr>
              <w:t>，</w:t>
            </w:r>
            <w:r>
              <w:rPr>
                <w:rFonts w:hint="default" w:ascii="Times New Roman" w:hAnsi="Times New Roman" w:cs="Times New Roman"/>
                <w:color w:val="auto"/>
                <w:sz w:val="24"/>
                <w:szCs w:val="24"/>
                <w:highlight w:val="none"/>
              </w:rPr>
              <w:t>不作定量分析，污水处理站采取加盖密闭、加强通风措施后无组织排放，经处理后预计能够满足《恶臭污染物排放标准》（GB14554-1993）表1恶臭污染物新扩改建厂界标准值二级标准，生产异味对周边环境的影响不大。</w:t>
            </w:r>
          </w:p>
          <w:p w14:paraId="7661A0DD">
            <w:pPr>
              <w:widowControl w:val="0"/>
              <w:kinsoku/>
              <w:autoSpaceDE/>
              <w:autoSpaceDN/>
              <w:adjustRightInd/>
              <w:snapToGrid/>
              <w:spacing w:line="360" w:lineRule="auto"/>
              <w:ind w:firstLine="470" w:firstLineChars="200"/>
              <w:jc w:val="both"/>
              <w:textAlignment w:val="auto"/>
              <w:rPr>
                <w:rFonts w:hint="default" w:ascii="Times New Roman" w:hAnsi="Times New Roman" w:cs="Times New Roman"/>
                <w:color w:val="auto"/>
                <w:sz w:val="24"/>
                <w:szCs w:val="24"/>
                <w:highlight w:val="none"/>
              </w:rPr>
            </w:pPr>
            <w:r>
              <w:rPr>
                <w:rFonts w:hint="eastAsia" w:cs="Times New Roman"/>
                <w:b/>
                <w:bCs/>
                <w:color w:val="auto"/>
                <w:spacing w:val="-3"/>
                <w:sz w:val="24"/>
                <w:szCs w:val="24"/>
                <w:highlight w:val="none"/>
                <w:lang w:val="en-US" w:eastAsia="zh-CN"/>
              </w:rPr>
              <w:t>1</w:t>
            </w:r>
            <w:r>
              <w:rPr>
                <w:rFonts w:hint="default" w:ascii="Times New Roman" w:hAnsi="Times New Roman" w:cs="Times New Roman"/>
                <w:b/>
                <w:bCs/>
                <w:color w:val="auto"/>
                <w:spacing w:val="-3"/>
                <w:sz w:val="24"/>
                <w:szCs w:val="24"/>
                <w:highlight w:val="none"/>
                <w:lang w:val="en-US" w:eastAsia="zh-CN"/>
              </w:rPr>
              <w:t>.</w:t>
            </w:r>
            <w:r>
              <w:rPr>
                <w:rFonts w:hint="eastAsia" w:cs="Times New Roman"/>
                <w:b/>
                <w:bCs/>
                <w:color w:val="auto"/>
                <w:spacing w:val="-3"/>
                <w:sz w:val="24"/>
                <w:szCs w:val="24"/>
                <w:highlight w:val="none"/>
                <w:lang w:val="en-US" w:eastAsia="zh-CN"/>
              </w:rPr>
              <w:t>2</w:t>
            </w:r>
            <w:r>
              <w:rPr>
                <w:rFonts w:hint="default" w:ascii="Times New Roman" w:hAnsi="Times New Roman" w:cs="Times New Roman"/>
                <w:b/>
                <w:bCs/>
                <w:color w:val="auto"/>
                <w:spacing w:val="-3"/>
                <w:sz w:val="24"/>
                <w:szCs w:val="24"/>
                <w:highlight w:val="none"/>
                <w:lang w:val="en-US" w:eastAsia="zh-CN"/>
              </w:rPr>
              <w:t>.</w:t>
            </w:r>
            <w:r>
              <w:rPr>
                <w:rFonts w:hint="eastAsia" w:ascii="Times New Roman" w:hAnsi="Times New Roman" w:cs="Times New Roman"/>
                <w:b/>
                <w:bCs/>
                <w:color w:val="auto"/>
                <w:spacing w:val="-3"/>
                <w:sz w:val="24"/>
                <w:szCs w:val="24"/>
                <w:highlight w:val="none"/>
                <w:lang w:val="en-US" w:eastAsia="zh-CN"/>
              </w:rPr>
              <w:t>9</w:t>
            </w:r>
            <w:r>
              <w:rPr>
                <w:rFonts w:hint="default" w:ascii="Times New Roman" w:hAnsi="Times New Roman" w:cs="Times New Roman"/>
                <w:b/>
                <w:bCs/>
                <w:color w:val="auto"/>
                <w:spacing w:val="-3"/>
                <w:sz w:val="24"/>
                <w:szCs w:val="24"/>
                <w:highlight w:val="none"/>
              </w:rPr>
              <w:t>厨房油烟废气</w:t>
            </w:r>
          </w:p>
          <w:p w14:paraId="1E72099A">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r>
              <w:rPr>
                <w:rFonts w:hint="default" w:ascii="Times New Roman" w:hAnsi="Times New Roman" w:eastAsia="宋体" w:cs="Times New Roman"/>
                <w:snapToGrid/>
                <w:color w:val="auto"/>
                <w:kern w:val="0"/>
                <w:sz w:val="24"/>
                <w:szCs w:val="24"/>
                <w:highlight w:val="none"/>
                <w:lang w:eastAsia="zh-CN"/>
              </w:rPr>
              <w:t>本项目拟设厨房灶炉</w:t>
            </w:r>
            <w:r>
              <w:rPr>
                <w:rFonts w:hint="default" w:ascii="Times New Roman" w:hAnsi="Times New Roman" w:eastAsia="宋体" w:cs="Times New Roman"/>
                <w:snapToGrid/>
                <w:color w:val="auto"/>
                <w:kern w:val="0"/>
                <w:sz w:val="24"/>
                <w:szCs w:val="24"/>
                <w:highlight w:val="none"/>
                <w:lang w:val="en-US" w:eastAsia="zh-CN"/>
              </w:rPr>
              <w:t>3</w:t>
            </w:r>
            <w:r>
              <w:rPr>
                <w:rFonts w:hint="default" w:ascii="Times New Roman" w:hAnsi="Times New Roman" w:eastAsia="宋体" w:cs="Times New Roman"/>
                <w:snapToGrid/>
                <w:color w:val="auto"/>
                <w:kern w:val="0"/>
                <w:sz w:val="24"/>
                <w:szCs w:val="24"/>
                <w:highlight w:val="none"/>
                <w:lang w:eastAsia="zh-CN"/>
              </w:rPr>
              <w:t>个，属于</w:t>
            </w:r>
            <w:r>
              <w:rPr>
                <w:rFonts w:hint="default" w:ascii="Times New Roman" w:hAnsi="Times New Roman" w:eastAsia="宋体" w:cs="Times New Roman"/>
                <w:snapToGrid/>
                <w:color w:val="auto"/>
                <w:kern w:val="0"/>
                <w:sz w:val="24"/>
                <w:szCs w:val="24"/>
                <w:highlight w:val="none"/>
                <w:lang w:val="en-US" w:eastAsia="zh-CN"/>
              </w:rPr>
              <w:t>中</w:t>
            </w:r>
            <w:r>
              <w:rPr>
                <w:rFonts w:hint="default" w:ascii="Times New Roman" w:hAnsi="Times New Roman" w:eastAsia="宋体" w:cs="Times New Roman"/>
                <w:snapToGrid/>
                <w:color w:val="auto"/>
                <w:kern w:val="0"/>
                <w:sz w:val="24"/>
                <w:szCs w:val="24"/>
                <w:highlight w:val="none"/>
                <w:lang w:eastAsia="zh-CN"/>
              </w:rPr>
              <w:t>型规模，以液化石油气为能源，是清洁能源，燃烧过程中产生的大气污染物较少，对环境影响不大。</w:t>
            </w:r>
            <w:r>
              <w:rPr>
                <w:rFonts w:hint="default" w:ascii="Times New Roman" w:hAnsi="Times New Roman" w:eastAsia="宋体" w:cs="Times New Roman"/>
                <w:color w:val="auto"/>
                <w:sz w:val="24"/>
                <w:szCs w:val="24"/>
                <w:highlight w:val="none"/>
              </w:rPr>
              <w:t>本项目拟雇佣员工1</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0人，</w:t>
            </w:r>
            <w:r>
              <w:rPr>
                <w:rFonts w:hint="default" w:ascii="Times New Roman" w:hAnsi="Times New Roman" w:eastAsia="宋体" w:cs="Times New Roman"/>
                <w:color w:val="auto"/>
                <w:sz w:val="24"/>
                <w:szCs w:val="24"/>
                <w:highlight w:val="none"/>
                <w:lang w:val="en-US" w:eastAsia="zh-CN"/>
              </w:rPr>
              <w:t>其中140人</w:t>
            </w:r>
            <w:r>
              <w:rPr>
                <w:rFonts w:hint="default" w:ascii="Times New Roman" w:hAnsi="Times New Roman" w:eastAsia="宋体" w:cs="Times New Roman"/>
                <w:color w:val="auto"/>
                <w:sz w:val="24"/>
                <w:szCs w:val="24"/>
                <w:highlight w:val="none"/>
              </w:rPr>
              <w:t>在厂区内就餐。</w:t>
            </w:r>
            <w:r>
              <w:rPr>
                <w:rFonts w:hint="default" w:ascii="Times New Roman" w:hAnsi="Times New Roman" w:eastAsia="宋体" w:cs="Times New Roman"/>
                <w:snapToGrid/>
                <w:color w:val="auto"/>
                <w:kern w:val="0"/>
                <w:sz w:val="24"/>
                <w:szCs w:val="24"/>
                <w:highlight w:val="none"/>
                <w:lang w:eastAsia="zh-CN"/>
              </w:rPr>
              <w:t>参考《中国居民膳食指南（2016版）》中提出“中国居民每天食用油摄入量不宜超过25g或30g”，本项目食用油消耗系数按30g/人·d计算，即食用油消耗量为</w:t>
            </w:r>
            <w:r>
              <w:rPr>
                <w:rFonts w:hint="default" w:ascii="Times New Roman" w:hAnsi="Times New Roman" w:eastAsia="宋体" w:cs="Times New Roman"/>
                <w:snapToGrid/>
                <w:color w:val="auto"/>
                <w:kern w:val="0"/>
                <w:sz w:val="24"/>
                <w:szCs w:val="24"/>
                <w:highlight w:val="none"/>
                <w:lang w:val="en-US" w:eastAsia="zh-CN"/>
              </w:rPr>
              <w:t>1.012</w:t>
            </w:r>
            <w:r>
              <w:rPr>
                <w:rFonts w:hint="default" w:ascii="Times New Roman" w:hAnsi="Times New Roman" w:eastAsia="宋体" w:cs="Times New Roman"/>
                <w:snapToGrid/>
                <w:color w:val="auto"/>
                <w:kern w:val="0"/>
                <w:sz w:val="24"/>
                <w:szCs w:val="24"/>
                <w:highlight w:val="none"/>
                <w:lang w:eastAsia="zh-CN"/>
              </w:rPr>
              <w:t>t/a。炒菜时油烟挥发量占总耗油量2%～4%之间，本评价取4%，则油烟产生量为0.0</w:t>
            </w:r>
            <w:r>
              <w:rPr>
                <w:rFonts w:hint="default" w:ascii="Times New Roman" w:hAnsi="Times New Roman" w:eastAsia="宋体" w:cs="Times New Roman"/>
                <w:snapToGrid/>
                <w:color w:val="auto"/>
                <w:kern w:val="0"/>
                <w:sz w:val="24"/>
                <w:szCs w:val="24"/>
                <w:highlight w:val="none"/>
                <w:lang w:val="en-US" w:eastAsia="zh-CN"/>
              </w:rPr>
              <w:t>40</w:t>
            </w:r>
            <w:r>
              <w:rPr>
                <w:rFonts w:hint="default" w:ascii="Times New Roman" w:hAnsi="Times New Roman" w:eastAsia="宋体" w:cs="Times New Roman"/>
                <w:snapToGrid/>
                <w:color w:val="auto"/>
                <w:kern w:val="0"/>
                <w:sz w:val="24"/>
                <w:szCs w:val="24"/>
                <w:highlight w:val="none"/>
                <w:lang w:eastAsia="zh-CN"/>
              </w:rPr>
              <w:t>t/a，</w:t>
            </w:r>
            <w:r>
              <w:rPr>
                <w:rFonts w:hint="default" w:ascii="Times New Roman" w:hAnsi="Times New Roman" w:eastAsia="宋体" w:cs="Times New Roman"/>
                <w:color w:val="auto"/>
                <w:sz w:val="24"/>
                <w:szCs w:val="24"/>
                <w:highlight w:val="none"/>
              </w:rPr>
              <w:t>开炉时间按4h/d计，</w:t>
            </w:r>
            <w:r>
              <w:rPr>
                <w:rFonts w:hint="default" w:ascii="Times New Roman" w:hAnsi="Times New Roman" w:eastAsia="宋体" w:cs="Times New Roman"/>
                <w:snapToGrid/>
                <w:color w:val="auto"/>
                <w:kern w:val="0"/>
                <w:sz w:val="24"/>
                <w:szCs w:val="24"/>
                <w:highlight w:val="none"/>
                <w:lang w:eastAsia="zh-CN"/>
              </w:rPr>
              <w:t>每个基准炉头的风量为2000m</w:t>
            </w:r>
            <w:r>
              <w:rPr>
                <w:rFonts w:hint="default" w:ascii="Times New Roman" w:hAnsi="Times New Roman" w:eastAsia="宋体" w:cs="Times New Roman"/>
                <w:snapToGrid/>
                <w:color w:val="auto"/>
                <w:kern w:val="0"/>
                <w:sz w:val="24"/>
                <w:szCs w:val="24"/>
                <w:highlight w:val="none"/>
                <w:vertAlign w:val="superscript"/>
                <w:lang w:eastAsia="zh-CN"/>
              </w:rPr>
              <w:t>3</w:t>
            </w:r>
            <w:r>
              <w:rPr>
                <w:rFonts w:hint="default" w:ascii="Times New Roman" w:hAnsi="Times New Roman" w:eastAsia="宋体" w:cs="Times New Roman"/>
                <w:snapToGrid/>
                <w:color w:val="auto"/>
                <w:kern w:val="0"/>
                <w:sz w:val="24"/>
                <w:szCs w:val="24"/>
                <w:highlight w:val="none"/>
                <w:lang w:eastAsia="zh-CN"/>
              </w:rPr>
              <w:t>/h。</w:t>
            </w:r>
          </w:p>
          <w:p w14:paraId="03C71147">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spacing w:val="-4"/>
                <w:kern w:val="2"/>
                <w:sz w:val="24"/>
                <w:szCs w:val="24"/>
                <w:highlight w:val="none"/>
                <w:lang w:eastAsia="zh-CN"/>
              </w:rPr>
            </w:pPr>
            <w:r>
              <w:rPr>
                <w:rFonts w:hint="default" w:ascii="Times New Roman" w:hAnsi="Times New Roman" w:eastAsia="宋体" w:cs="Times New Roman"/>
                <w:snapToGrid/>
                <w:color w:val="auto"/>
                <w:kern w:val="0"/>
                <w:sz w:val="24"/>
                <w:szCs w:val="24"/>
                <w:highlight w:val="none"/>
                <w:lang w:eastAsia="zh-CN"/>
              </w:rPr>
              <w:t>厨房油烟废气经收集后引至高效静电油烟净化器处理，处理达标后尾气引至</w:t>
            </w:r>
            <w:r>
              <w:rPr>
                <w:rFonts w:hint="default" w:ascii="Times New Roman" w:hAnsi="Times New Roman" w:eastAsia="宋体" w:cs="Times New Roman"/>
                <w:snapToGrid/>
                <w:color w:val="auto"/>
                <w:kern w:val="0"/>
                <w:sz w:val="24"/>
                <w:szCs w:val="24"/>
                <w:highlight w:val="none"/>
                <w:lang w:val="en-US" w:eastAsia="zh-CN"/>
              </w:rPr>
              <w:t>宿舍楼一楼</w:t>
            </w:r>
            <w:r>
              <w:rPr>
                <w:rFonts w:hint="default" w:ascii="Times New Roman" w:hAnsi="Times New Roman" w:eastAsia="宋体" w:cs="Times New Roman"/>
                <w:snapToGrid/>
                <w:color w:val="auto"/>
                <w:kern w:val="0"/>
                <w:sz w:val="24"/>
                <w:szCs w:val="24"/>
                <w:highlight w:val="none"/>
                <w:lang w:eastAsia="zh-CN"/>
              </w:rPr>
              <w:t>楼顶高空达标排放（</w:t>
            </w:r>
            <w:r>
              <w:rPr>
                <w:rFonts w:hint="eastAsia" w:cs="Times New Roman"/>
                <w:snapToGrid/>
                <w:color w:val="auto"/>
                <w:kern w:val="0"/>
                <w:sz w:val="24"/>
                <w:szCs w:val="24"/>
                <w:highlight w:val="none"/>
                <w:lang w:eastAsia="zh-CN"/>
              </w:rPr>
              <w:t>DA00</w:t>
            </w:r>
            <w:r>
              <w:rPr>
                <w:rFonts w:hint="eastAsia" w:cs="Times New Roman"/>
                <w:snapToGrid/>
                <w:color w:val="auto"/>
                <w:kern w:val="0"/>
                <w:sz w:val="24"/>
                <w:szCs w:val="24"/>
                <w:highlight w:val="none"/>
                <w:lang w:val="en-US" w:eastAsia="zh-CN"/>
              </w:rPr>
              <w:t>4</w:t>
            </w:r>
            <w:r>
              <w:rPr>
                <w:rFonts w:hint="default" w:ascii="Times New Roman" w:hAnsi="Times New Roman" w:eastAsia="宋体" w:cs="Times New Roman"/>
                <w:snapToGrid/>
                <w:color w:val="auto"/>
                <w:kern w:val="0"/>
                <w:sz w:val="24"/>
                <w:szCs w:val="24"/>
                <w:highlight w:val="none"/>
                <w:lang w:eastAsia="zh-CN"/>
              </w:rPr>
              <w:t>）。参考《新型静电油烟净化设备的特点及应用》（黄付平、覃理嘉等），在额定风量下静电油烟净化器对油烟的净化效率达93.9%，本评价保守估算为</w:t>
            </w:r>
            <w:r>
              <w:rPr>
                <w:rFonts w:hint="default" w:ascii="Times New Roman" w:hAnsi="Times New Roman" w:eastAsia="宋体" w:cs="Times New Roman"/>
                <w:snapToGrid/>
                <w:color w:val="auto"/>
                <w:kern w:val="0"/>
                <w:sz w:val="24"/>
                <w:szCs w:val="24"/>
                <w:highlight w:val="none"/>
                <w:lang w:val="en-US" w:eastAsia="zh-CN"/>
              </w:rPr>
              <w:t>75</w:t>
            </w:r>
            <w:r>
              <w:rPr>
                <w:rFonts w:hint="default" w:ascii="Times New Roman" w:hAnsi="Times New Roman" w:eastAsia="宋体" w:cs="Times New Roman"/>
                <w:snapToGrid/>
                <w:color w:val="auto"/>
                <w:kern w:val="0"/>
                <w:sz w:val="24"/>
                <w:szCs w:val="24"/>
                <w:highlight w:val="none"/>
                <w:lang w:eastAsia="zh-CN"/>
              </w:rPr>
              <w:t>%的净化效率，具体产排情况如上表4-</w:t>
            </w:r>
            <w:r>
              <w:rPr>
                <w:rFonts w:hint="eastAsia" w:cs="Times New Roman"/>
                <w:snapToGrid/>
                <w:color w:val="auto"/>
                <w:kern w:val="0"/>
                <w:sz w:val="24"/>
                <w:szCs w:val="24"/>
                <w:highlight w:val="none"/>
                <w:lang w:val="en-US" w:eastAsia="zh-CN"/>
              </w:rPr>
              <w:t>2</w:t>
            </w:r>
            <w:r>
              <w:rPr>
                <w:rFonts w:hint="default" w:ascii="Times New Roman" w:hAnsi="Times New Roman" w:eastAsia="宋体" w:cs="Times New Roman"/>
                <w:snapToGrid/>
                <w:color w:val="auto"/>
                <w:kern w:val="0"/>
                <w:sz w:val="24"/>
                <w:szCs w:val="24"/>
                <w:highlight w:val="none"/>
                <w:lang w:eastAsia="zh-CN"/>
              </w:rPr>
              <w:t>。</w:t>
            </w:r>
          </w:p>
          <w:p w14:paraId="2013CB3C">
            <w:pPr>
              <w:keepNext/>
              <w:keepLines/>
              <w:suppressLineNumbers w:val="0"/>
              <w:tabs>
                <w:tab w:val="left" w:pos="0"/>
              </w:tabs>
              <w:spacing w:before="0" w:beforeAutospacing="0" w:after="0" w:afterAutospacing="0" w:line="360" w:lineRule="auto"/>
              <w:ind w:left="0" w:right="0" w:firstLine="466" w:firstLineChars="200"/>
              <w:outlineLvl w:val="3"/>
              <w:rPr>
                <w:rFonts w:hint="eastAsia" w:cs="Times New Roman"/>
                <w:b/>
                <w:bCs/>
                <w:snapToGrid/>
                <w:color w:val="auto"/>
                <w:spacing w:val="-4"/>
                <w:kern w:val="2"/>
                <w:sz w:val="24"/>
                <w:szCs w:val="24"/>
                <w:highlight w:val="none"/>
                <w:lang w:val="en-US" w:eastAsia="zh-CN"/>
              </w:rPr>
            </w:pPr>
            <w:r>
              <w:rPr>
                <w:rFonts w:hint="eastAsia" w:cs="Times New Roman"/>
                <w:b/>
                <w:bCs/>
                <w:snapToGrid/>
                <w:color w:val="auto"/>
                <w:spacing w:val="-4"/>
                <w:kern w:val="2"/>
                <w:sz w:val="24"/>
                <w:szCs w:val="24"/>
                <w:highlight w:val="none"/>
                <w:lang w:val="en-US" w:eastAsia="zh-CN"/>
              </w:rPr>
              <w:t>1.2.10表面预处理废气</w:t>
            </w:r>
          </w:p>
          <w:p w14:paraId="04E0C7C4">
            <w:pPr>
              <w:keepNext/>
              <w:keepLines/>
              <w:suppressLineNumbers w:val="0"/>
              <w:tabs>
                <w:tab w:val="left" w:pos="0"/>
              </w:tabs>
              <w:spacing w:before="0" w:beforeAutospacing="0" w:after="0" w:afterAutospacing="0" w:line="360" w:lineRule="auto"/>
              <w:ind w:left="0" w:right="0" w:firstLine="464" w:firstLineChars="200"/>
              <w:outlineLvl w:val="3"/>
              <w:rPr>
                <w:rFonts w:hint="default" w:ascii="Times New Roman" w:hAnsi="Times New Roman" w:eastAsia="宋体" w:cs="Times New Roman"/>
                <w:b/>
                <w:bCs/>
                <w:snapToGrid/>
                <w:color w:val="auto"/>
                <w:spacing w:val="-4"/>
                <w:kern w:val="2"/>
                <w:sz w:val="24"/>
                <w:szCs w:val="24"/>
                <w:highlight w:val="none"/>
                <w:vertAlign w:val="baseline"/>
                <w:lang w:val="en-US" w:eastAsia="zh-CN"/>
              </w:rPr>
            </w:pPr>
            <w:r>
              <w:rPr>
                <w:rFonts w:hint="eastAsia" w:cs="Times New Roman"/>
                <w:b w:val="0"/>
                <w:bCs w:val="0"/>
                <w:snapToGrid/>
                <w:color w:val="auto"/>
                <w:spacing w:val="-4"/>
                <w:kern w:val="2"/>
                <w:sz w:val="24"/>
                <w:szCs w:val="24"/>
                <w:highlight w:val="none"/>
                <w:lang w:val="en-US" w:eastAsia="zh-CN"/>
              </w:rPr>
              <w:t>本项目表面预处理废气主要来自脱脂工序和无铬钝化工序，脱脂槽液面表面积合计为7×2×4=56m</w:t>
            </w:r>
            <w:r>
              <w:rPr>
                <w:rFonts w:hint="eastAsia" w:cs="Times New Roman"/>
                <w:b w:val="0"/>
                <w:bCs w:val="0"/>
                <w:snapToGrid/>
                <w:color w:val="auto"/>
                <w:spacing w:val="-4"/>
                <w:kern w:val="2"/>
                <w:sz w:val="24"/>
                <w:szCs w:val="24"/>
                <w:highlight w:val="none"/>
                <w:vertAlign w:val="superscript"/>
                <w:lang w:val="en-US" w:eastAsia="zh-CN"/>
              </w:rPr>
              <w:t>2</w:t>
            </w:r>
            <w:r>
              <w:rPr>
                <w:rFonts w:hint="eastAsia" w:cs="Times New Roman"/>
                <w:b w:val="0"/>
                <w:bCs w:val="0"/>
                <w:snapToGrid/>
                <w:color w:val="auto"/>
                <w:spacing w:val="-4"/>
                <w:kern w:val="2"/>
                <w:sz w:val="24"/>
                <w:szCs w:val="24"/>
                <w:highlight w:val="none"/>
                <w:lang w:val="en-US" w:eastAsia="zh-CN"/>
              </w:rPr>
              <w:t>，无铬钝化槽表面积合计为3.5×2×2=14m</w:t>
            </w:r>
            <w:r>
              <w:rPr>
                <w:rFonts w:hint="eastAsia" w:cs="Times New Roman"/>
                <w:b w:val="0"/>
                <w:bCs w:val="0"/>
                <w:snapToGrid/>
                <w:color w:val="auto"/>
                <w:spacing w:val="-4"/>
                <w:kern w:val="2"/>
                <w:sz w:val="24"/>
                <w:szCs w:val="24"/>
                <w:highlight w:val="none"/>
                <w:vertAlign w:val="superscript"/>
                <w:lang w:val="en-US" w:eastAsia="zh-CN"/>
              </w:rPr>
              <w:t>2</w:t>
            </w:r>
            <w:r>
              <w:rPr>
                <w:rFonts w:hint="eastAsia" w:cs="Times New Roman"/>
                <w:b w:val="0"/>
                <w:bCs w:val="0"/>
                <w:snapToGrid/>
                <w:color w:val="auto"/>
                <w:spacing w:val="-4"/>
                <w:kern w:val="2"/>
                <w:sz w:val="24"/>
                <w:szCs w:val="24"/>
                <w:highlight w:val="none"/>
                <w:lang w:val="en-US" w:eastAsia="zh-CN"/>
              </w:rPr>
              <w:t>。脱脂工序使用的除油剂成分中氢氟酸质量占比为 1%，无铬钝化剂中氟锆酸、氟钛酸量均为5~10%（均以10%计），氟锆酸（H₂ZrF₆）纯物质中总氟质量占比约 55.0%；氟钛酸（H₂TiF₆）纯物质中总氟质量占比约 69.6%，氟均以络合态 [ZrF₆]²⁻、[TiF₆]²⁻存在，正常钝化槽内游离氟离子占比很低，根据当地生态环保主管部门建议，本环评按保守计算，即按照总氟全挥发进行定量计算。因此脱脂、无铬钝化过程中会产生少量氟化物废气。根据建设单位提供资料，脱脂工序除油剂工艺浓度为3%，无铬钝化工艺浓度为1%，除油剂年使用量为27.746t、无铬钝化剂年使用量为3.750t/a，经核算可知，则脱脂工序氟化物产生量为27.746×3%×1%=0.0083t/a，无铬钝化工序氟化物产生量为3.750×1%×10%×（55.0%+69.6%）=0.0047t/a，合计氟化物产生量为0.013t/a，经集气罩收集后采用碱液喷淋处理，然后通过15m排气筒DA003高空排放。项目前处理线设置密闭通道并与烘水通道相连，《广东省工业源挥发性有机物减排量核算方法（2023年修订版）》（粤环函〔2023〕538 号）中“表3.3-2 废气收集集气效率参考值”的说明，当废气收集类型为“全密封设备/空间”，废气收集方式为“设备废气排口直连”，收集情况为“设备有固定排放管（或口）直接与风管连接，设备整体密闭只留产品进出口，且进出口处有废气收集措施，收集系统运行时周边基本无VOCs散发。”，此时收集效率可取95%。因此表面预处理废气集气效率取95%；根据表4-</w:t>
            </w:r>
            <w:r>
              <w:rPr>
                <w:rFonts w:hint="eastAsia"/>
                <w:color w:val="auto"/>
                <w:sz w:val="24"/>
                <w:szCs w:val="24"/>
                <w:lang w:val="en-US" w:eastAsia="zh-CN"/>
              </w:rPr>
              <w:t>12</w:t>
            </w:r>
            <w:r>
              <w:rPr>
                <w:rFonts w:hint="eastAsia" w:cs="Times New Roman"/>
                <w:b w:val="0"/>
                <w:bCs w:val="0"/>
                <w:snapToGrid/>
                <w:color w:val="auto"/>
                <w:spacing w:val="-4"/>
                <w:kern w:val="2"/>
                <w:sz w:val="24"/>
                <w:szCs w:val="24"/>
                <w:highlight w:val="none"/>
                <w:lang w:val="en-US" w:eastAsia="zh-CN"/>
              </w:rPr>
              <w:t>计算，表面预处理废气风量为11000m</w:t>
            </w:r>
            <w:r>
              <w:rPr>
                <w:rFonts w:hint="eastAsia" w:cs="Times New Roman"/>
                <w:b w:val="0"/>
                <w:bCs w:val="0"/>
                <w:snapToGrid/>
                <w:color w:val="auto"/>
                <w:spacing w:val="-4"/>
                <w:kern w:val="2"/>
                <w:sz w:val="24"/>
                <w:szCs w:val="24"/>
                <w:highlight w:val="none"/>
                <w:vertAlign w:val="superscript"/>
                <w:lang w:val="en-US" w:eastAsia="zh-CN"/>
              </w:rPr>
              <w:t>3</w:t>
            </w:r>
            <w:r>
              <w:rPr>
                <w:rFonts w:hint="eastAsia" w:cs="Times New Roman"/>
                <w:b w:val="0"/>
                <w:bCs w:val="0"/>
                <w:snapToGrid/>
                <w:color w:val="auto"/>
                <w:spacing w:val="-4"/>
                <w:kern w:val="2"/>
                <w:sz w:val="24"/>
                <w:szCs w:val="24"/>
                <w:highlight w:val="none"/>
                <w:vertAlign w:val="baseline"/>
                <w:lang w:val="en-US" w:eastAsia="zh-CN"/>
              </w:rPr>
              <w:t>/h。</w:t>
            </w:r>
            <w:r>
              <w:rPr>
                <w:rFonts w:hint="eastAsia" w:cs="Times New Roman"/>
                <w:b w:val="0"/>
                <w:bCs w:val="0"/>
                <w:i w:val="0"/>
                <w:iCs w:val="0"/>
                <w:color w:val="auto"/>
                <w:kern w:val="0"/>
                <w:sz w:val="24"/>
                <w:szCs w:val="24"/>
                <w:highlight w:val="none"/>
                <w:u w:val="none"/>
                <w:lang w:val="en-US" w:eastAsia="zh-CN" w:bidi="ar"/>
              </w:rPr>
              <w:t xml:space="preserve"> 根据《电镀污染防治可行技术指南 》（HJ 1306—2023），碱液喷淋法对氟化物的处理效率为85%。</w:t>
            </w:r>
          </w:p>
          <w:p w14:paraId="02ABD7CF">
            <w:pPr>
              <w:keepNext/>
              <w:keepLines/>
              <w:suppressLineNumbers w:val="0"/>
              <w:tabs>
                <w:tab w:val="left" w:pos="0"/>
              </w:tabs>
              <w:spacing w:before="0" w:beforeAutospacing="0" w:after="0" w:afterAutospacing="0" w:line="360" w:lineRule="auto"/>
              <w:ind w:left="0" w:right="0" w:firstLine="466" w:firstLineChars="200"/>
              <w:outlineLvl w:val="3"/>
              <w:rPr>
                <w:rFonts w:hint="default" w:ascii="Times New Roman" w:hAnsi="Times New Roman" w:cs="Times New Roman"/>
                <w:b/>
                <w:bCs/>
                <w:color w:val="auto"/>
                <w:sz w:val="24"/>
                <w:szCs w:val="24"/>
                <w:highlight w:val="none"/>
                <w:lang w:val="en-US" w:eastAsia="zh-CN"/>
              </w:rPr>
            </w:pPr>
            <w:r>
              <w:rPr>
                <w:rFonts w:hint="eastAsia" w:cs="Times New Roman"/>
                <w:b/>
                <w:bCs/>
                <w:snapToGrid/>
                <w:color w:val="auto"/>
                <w:spacing w:val="-4"/>
                <w:kern w:val="2"/>
                <w:sz w:val="24"/>
                <w:szCs w:val="24"/>
                <w:highlight w:val="none"/>
                <w:lang w:val="en-US" w:eastAsia="zh-CN"/>
              </w:rPr>
              <w:t>1</w:t>
            </w:r>
            <w:r>
              <w:rPr>
                <w:rFonts w:hint="default" w:ascii="Times New Roman" w:hAnsi="Times New Roman" w:eastAsia="宋体" w:cs="Times New Roman"/>
                <w:b/>
                <w:bCs/>
                <w:snapToGrid/>
                <w:color w:val="auto"/>
                <w:spacing w:val="-4"/>
                <w:kern w:val="2"/>
                <w:sz w:val="24"/>
                <w:szCs w:val="24"/>
                <w:highlight w:val="none"/>
                <w:lang w:eastAsia="zh-CN"/>
              </w:rPr>
              <w:t>.</w:t>
            </w:r>
            <w:r>
              <w:rPr>
                <w:rFonts w:hint="eastAsia" w:cs="Times New Roman"/>
                <w:b/>
                <w:bCs/>
                <w:snapToGrid/>
                <w:color w:val="auto"/>
                <w:spacing w:val="-4"/>
                <w:kern w:val="2"/>
                <w:sz w:val="24"/>
                <w:szCs w:val="24"/>
                <w:highlight w:val="none"/>
                <w:lang w:val="en-US" w:eastAsia="zh-CN"/>
              </w:rPr>
              <w:t>3</w:t>
            </w:r>
            <w:r>
              <w:rPr>
                <w:rFonts w:hint="default" w:ascii="Times New Roman" w:hAnsi="Times New Roman" w:cs="Times New Roman"/>
                <w:b/>
                <w:bCs/>
                <w:color w:val="auto"/>
                <w:sz w:val="24"/>
                <w:szCs w:val="24"/>
                <w:highlight w:val="none"/>
                <w:lang w:val="en-US" w:eastAsia="zh-CN"/>
              </w:rPr>
              <w:t>废气治理系统可行性分析</w:t>
            </w:r>
          </w:p>
          <w:p w14:paraId="06C1D820">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r>
              <w:rPr>
                <w:rFonts w:hint="default" w:ascii="Times New Roman" w:hAnsi="Times New Roman" w:cs="Times New Roman"/>
                <w:b w:val="0"/>
                <w:bCs w:val="0"/>
                <w:i w:val="0"/>
                <w:iCs w:val="0"/>
                <w:color w:val="auto"/>
                <w:kern w:val="0"/>
                <w:sz w:val="24"/>
                <w:szCs w:val="24"/>
                <w:highlight w:val="none"/>
                <w:u w:val="none"/>
                <w:lang w:val="en-US" w:eastAsia="zh-CN" w:bidi="ar"/>
              </w:rPr>
              <w:t>本项目采用</w:t>
            </w:r>
            <w:r>
              <w:rPr>
                <w:rFonts w:hint="eastAsia" w:cs="Times New Roman"/>
                <w:b w:val="0"/>
                <w:bCs w:val="0"/>
                <w:i w:val="0"/>
                <w:iCs w:val="0"/>
                <w:color w:val="auto"/>
                <w:kern w:val="0"/>
                <w:sz w:val="24"/>
                <w:szCs w:val="24"/>
                <w:highlight w:val="none"/>
                <w:u w:val="none"/>
                <w:lang w:val="en-US" w:eastAsia="zh-CN" w:bidi="ar"/>
              </w:rPr>
              <w:t>滤筒式除尘器处理焊接烟尘，</w:t>
            </w:r>
            <w:r>
              <w:rPr>
                <w:rFonts w:hint="eastAsia" w:ascii="Times New Roman" w:hAnsi="Times New Roman" w:cs="Times New Roman"/>
                <w:b w:val="0"/>
                <w:bCs w:val="0"/>
                <w:i w:val="0"/>
                <w:iCs w:val="0"/>
                <w:color w:val="auto"/>
                <w:kern w:val="0"/>
                <w:sz w:val="24"/>
                <w:szCs w:val="24"/>
                <w:highlight w:val="none"/>
                <w:u w:val="none"/>
                <w:lang w:val="en-US" w:eastAsia="zh-CN" w:bidi="ar"/>
              </w:rPr>
              <w:t>采用喷淋+干式过滤器+</w:t>
            </w:r>
            <w:r>
              <w:rPr>
                <w:rFonts w:hint="eastAsia" w:cs="Times New Roman"/>
                <w:b w:val="0"/>
                <w:bCs w:val="0"/>
                <w:i w:val="0"/>
                <w:iCs w:val="0"/>
                <w:color w:val="auto"/>
                <w:kern w:val="0"/>
                <w:sz w:val="24"/>
                <w:szCs w:val="24"/>
                <w:highlight w:val="none"/>
                <w:u w:val="none"/>
                <w:lang w:val="en-US" w:eastAsia="zh-CN" w:bidi="ar"/>
              </w:rPr>
              <w:t>活性炭吸脱附+催化燃烧+活性炭吸附</w:t>
            </w:r>
            <w:r>
              <w:rPr>
                <w:rFonts w:hint="eastAsia" w:ascii="Times New Roman" w:hAnsi="Times New Roman" w:cs="Times New Roman"/>
                <w:b w:val="0"/>
                <w:bCs w:val="0"/>
                <w:i w:val="0"/>
                <w:iCs w:val="0"/>
                <w:color w:val="auto"/>
                <w:kern w:val="0"/>
                <w:sz w:val="24"/>
                <w:szCs w:val="24"/>
                <w:highlight w:val="none"/>
                <w:u w:val="none"/>
                <w:lang w:val="en-US" w:eastAsia="zh-CN" w:bidi="ar"/>
              </w:rPr>
              <w:t>处理喷漆废气</w:t>
            </w:r>
            <w:r>
              <w:rPr>
                <w:rFonts w:hint="eastAsia" w:cs="Times New Roman"/>
                <w:b w:val="0"/>
                <w:bCs w:val="0"/>
                <w:i w:val="0"/>
                <w:iCs w:val="0"/>
                <w:color w:val="auto"/>
                <w:kern w:val="0"/>
                <w:sz w:val="24"/>
                <w:szCs w:val="24"/>
                <w:highlight w:val="none"/>
                <w:u w:val="none"/>
                <w:lang w:val="en-US" w:eastAsia="zh-CN" w:bidi="ar"/>
              </w:rPr>
              <w:t>；采用</w:t>
            </w:r>
            <w:r>
              <w:rPr>
                <w:rFonts w:hint="eastAsia" w:ascii="Times New Roman" w:hAnsi="Times New Roman" w:cs="Times New Roman"/>
                <w:b w:val="0"/>
                <w:bCs w:val="0"/>
                <w:i w:val="0"/>
                <w:iCs w:val="0"/>
                <w:color w:val="auto"/>
                <w:kern w:val="0"/>
                <w:sz w:val="24"/>
                <w:szCs w:val="24"/>
                <w:highlight w:val="none"/>
                <w:u w:val="none"/>
                <w:lang w:val="en-US" w:eastAsia="zh-CN" w:bidi="ar"/>
              </w:rPr>
              <w:t>喷淋+干式过滤器+二级活性炭吸附处理固化废气</w:t>
            </w:r>
            <w:r>
              <w:rPr>
                <w:rFonts w:hint="default" w:ascii="Times New Roman" w:hAnsi="Times New Roman" w:cs="Times New Roman"/>
                <w:b w:val="0"/>
                <w:bCs w:val="0"/>
                <w:i w:val="0"/>
                <w:iCs w:val="0"/>
                <w:color w:val="auto"/>
                <w:kern w:val="0"/>
                <w:sz w:val="24"/>
                <w:szCs w:val="24"/>
                <w:highlight w:val="none"/>
                <w:u w:val="none"/>
                <w:lang w:val="en-US" w:eastAsia="zh-CN" w:bidi="ar"/>
              </w:rPr>
              <w:t>，</w:t>
            </w:r>
            <w:r>
              <w:rPr>
                <w:rFonts w:hint="eastAsia" w:cs="Times New Roman"/>
                <w:b w:val="0"/>
                <w:bCs w:val="0"/>
                <w:i w:val="0"/>
                <w:iCs w:val="0"/>
                <w:color w:val="auto"/>
                <w:kern w:val="0"/>
                <w:sz w:val="24"/>
                <w:szCs w:val="24"/>
                <w:highlight w:val="none"/>
                <w:u w:val="none"/>
                <w:lang w:val="en-US" w:eastAsia="zh-CN" w:bidi="ar"/>
              </w:rPr>
              <w:t>采用碱液喷淋法去除氟化物，</w:t>
            </w:r>
            <w:r>
              <w:rPr>
                <w:rFonts w:hint="default" w:ascii="Times New Roman" w:hAnsi="Times New Roman" w:cs="Times New Roman"/>
                <w:b w:val="0"/>
                <w:bCs w:val="0"/>
                <w:i w:val="0"/>
                <w:iCs w:val="0"/>
                <w:color w:val="auto"/>
                <w:kern w:val="0"/>
                <w:sz w:val="24"/>
                <w:szCs w:val="24"/>
                <w:highlight w:val="none"/>
                <w:u w:val="none"/>
                <w:lang w:val="en-US" w:eastAsia="zh-CN" w:bidi="ar"/>
              </w:rPr>
              <w:t>参照《排污许可证申请与核发技术规范 铁路、船舶、航空航天和其他运输设备制造业》（HJ1124—2020）</w:t>
            </w:r>
            <w:r>
              <w:rPr>
                <w:rFonts w:hint="eastAsia" w:cs="Times New Roman"/>
                <w:b w:val="0"/>
                <w:bCs w:val="0"/>
                <w:i w:val="0"/>
                <w:iCs w:val="0"/>
                <w:color w:val="auto"/>
                <w:kern w:val="0"/>
                <w:sz w:val="24"/>
                <w:szCs w:val="24"/>
                <w:highlight w:val="none"/>
                <w:u w:val="none"/>
                <w:lang w:val="en-US" w:eastAsia="zh-CN" w:bidi="ar"/>
              </w:rPr>
              <w:t>、《排污许可证申请与核发技术规范 电镀工业》（HJ855—2017）</w:t>
            </w:r>
            <w:r>
              <w:rPr>
                <w:rFonts w:hint="default" w:ascii="Times New Roman" w:hAnsi="Times New Roman" w:cs="Times New Roman"/>
                <w:b w:val="0"/>
                <w:bCs w:val="0"/>
                <w:i w:val="0"/>
                <w:iCs w:val="0"/>
                <w:color w:val="auto"/>
                <w:kern w:val="0"/>
                <w:sz w:val="24"/>
                <w:szCs w:val="24"/>
                <w:highlight w:val="none"/>
                <w:u w:val="none"/>
                <w:lang w:val="en-US" w:eastAsia="zh-CN" w:bidi="ar"/>
              </w:rPr>
              <w:t>，</w:t>
            </w:r>
            <w:r>
              <w:rPr>
                <w:rFonts w:hint="eastAsia" w:cs="Times New Roman"/>
                <w:b w:val="0"/>
                <w:bCs w:val="0"/>
                <w:i w:val="0"/>
                <w:iCs w:val="0"/>
                <w:color w:val="auto"/>
                <w:kern w:val="0"/>
                <w:sz w:val="24"/>
                <w:szCs w:val="24"/>
                <w:highlight w:val="none"/>
                <w:u w:val="none"/>
                <w:lang w:val="en-US" w:eastAsia="zh-CN" w:bidi="ar"/>
              </w:rPr>
              <w:t>本项目采取的措施均</w:t>
            </w:r>
            <w:r>
              <w:rPr>
                <w:rFonts w:hint="default" w:ascii="Times New Roman" w:hAnsi="Times New Roman" w:cs="Times New Roman"/>
                <w:b w:val="0"/>
                <w:bCs w:val="0"/>
                <w:i w:val="0"/>
                <w:iCs w:val="0"/>
                <w:color w:val="auto"/>
                <w:kern w:val="0"/>
                <w:sz w:val="24"/>
                <w:szCs w:val="24"/>
                <w:highlight w:val="none"/>
                <w:u w:val="none"/>
                <w:lang w:val="en-US" w:eastAsia="zh-CN" w:bidi="ar"/>
              </w:rPr>
              <w:t>属于排污许可技术规范中的可行技术，因此本项目使用该治理设施是可行的。</w:t>
            </w:r>
          </w:p>
          <w:p w14:paraId="6B177615">
            <w:pPr>
              <w:keepNext w:val="0"/>
              <w:keepLines w:val="0"/>
              <w:suppressLineNumbers w:val="0"/>
              <w:spacing w:before="0" w:beforeAutospacing="0" w:after="0" w:afterAutospacing="0" w:line="360" w:lineRule="auto"/>
              <w:ind w:left="0" w:right="0" w:firstLine="466" w:firstLineChars="200"/>
              <w:rPr>
                <w:rFonts w:hint="default" w:ascii="Times New Roman" w:hAnsi="Times New Roman" w:cs="Times New Roman"/>
                <w:b/>
                <w:bCs/>
                <w:color w:val="auto"/>
                <w:sz w:val="24"/>
                <w:szCs w:val="24"/>
                <w:highlight w:val="none"/>
              </w:rPr>
            </w:pPr>
            <w:r>
              <w:rPr>
                <w:rFonts w:hint="eastAsia" w:cs="Times New Roman"/>
                <w:b/>
                <w:bCs/>
                <w:snapToGrid/>
                <w:color w:val="auto"/>
                <w:spacing w:val="-4"/>
                <w:kern w:val="2"/>
                <w:sz w:val="24"/>
                <w:szCs w:val="24"/>
                <w:highlight w:val="none"/>
                <w:lang w:val="en-US" w:eastAsia="zh-CN"/>
              </w:rPr>
              <w:t>1.4</w:t>
            </w:r>
            <w:r>
              <w:rPr>
                <w:rFonts w:hint="default" w:ascii="Times New Roman" w:hAnsi="Times New Roman" w:cs="Times New Roman"/>
                <w:b/>
                <w:bCs/>
                <w:color w:val="auto"/>
                <w:sz w:val="24"/>
                <w:szCs w:val="24"/>
                <w:highlight w:val="none"/>
              </w:rPr>
              <w:t>达标情况分析</w:t>
            </w:r>
          </w:p>
          <w:p w14:paraId="089A8E3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kern w:val="2"/>
                <w:sz w:val="24"/>
                <w:szCs w:val="24"/>
                <w:highlight w:val="none"/>
              </w:rPr>
            </w:pPr>
            <w:r>
              <w:rPr>
                <w:rFonts w:hint="default" w:ascii="Times New Roman" w:hAnsi="Times New Roman" w:cs="Times New Roman"/>
                <w:b/>
                <w:bCs/>
                <w:color w:val="auto"/>
                <w:kern w:val="2"/>
                <w:sz w:val="24"/>
                <w:szCs w:val="24"/>
                <w:highlight w:val="none"/>
              </w:rPr>
              <w:t>（1）</w:t>
            </w:r>
            <w:r>
              <w:rPr>
                <w:rFonts w:hint="default" w:ascii="Times New Roman" w:hAnsi="Times New Roman" w:cs="Times New Roman"/>
                <w:b/>
                <w:bCs/>
                <w:color w:val="auto"/>
                <w:kern w:val="2"/>
                <w:sz w:val="24"/>
                <w:szCs w:val="24"/>
                <w:highlight w:val="none"/>
                <w:lang w:val="en-US" w:eastAsia="zh-CN"/>
              </w:rPr>
              <w:t>有组织废气达标分析</w:t>
            </w:r>
          </w:p>
          <w:p w14:paraId="5985B3C2">
            <w:pPr>
              <w:pStyle w:val="2"/>
              <w:keepNext w:val="0"/>
              <w:keepLines w:val="0"/>
              <w:suppressLineNumbers w:val="0"/>
              <w:spacing w:before="0" w:beforeAutospacing="0" w:after="0" w:afterAutospacing="0" w:line="360" w:lineRule="auto"/>
              <w:ind w:left="0" w:right="0" w:firstLine="480" w:firstLineChars="200"/>
              <w:rPr>
                <w:rFonts w:hint="eastAsia" w:eastAsia="宋体....."/>
                <w:color w:val="auto"/>
                <w:lang w:val="en-US" w:eastAsia="zh-CN"/>
              </w:rPr>
            </w:pPr>
            <w:r>
              <w:rPr>
                <w:rFonts w:hint="eastAsia" w:ascii="Times New Roman" w:cs="Times New Roman"/>
                <w:b w:val="0"/>
                <w:bCs/>
                <w:color w:val="auto"/>
                <w:szCs w:val="21"/>
                <w:highlight w:val="none"/>
                <w:lang w:val="en-US" w:eastAsia="zh-CN"/>
              </w:rPr>
              <w:t>喷漆废气</w:t>
            </w:r>
            <w:r>
              <w:rPr>
                <w:rFonts w:hint="eastAsia" w:ascii="Times New Roman" w:hAnsi="Times New Roman" w:cs="Times New Roman"/>
                <w:color w:val="auto"/>
                <w:kern w:val="2"/>
                <w:sz w:val="24"/>
                <w:szCs w:val="24"/>
                <w:highlight w:val="none"/>
                <w:lang w:val="en-US" w:eastAsia="zh-CN"/>
              </w:rPr>
              <w:t>经</w:t>
            </w:r>
            <w:r>
              <w:rPr>
                <w:rFonts w:hint="eastAsia"/>
                <w:color w:val="auto"/>
                <w:sz w:val="24"/>
                <w:szCs w:val="32"/>
                <w:highlight w:val="none"/>
                <w:lang w:val="en-US" w:eastAsia="zh-CN"/>
              </w:rPr>
              <w:t>水帘柜+喷淋</w:t>
            </w:r>
            <w:r>
              <w:rPr>
                <w:rFonts w:hint="eastAsia"/>
                <w:color w:val="auto"/>
                <w:sz w:val="24"/>
                <w:szCs w:val="32"/>
                <w:highlight w:val="none"/>
              </w:rPr>
              <w:t>+干式过滤+活性炭吸附脱附催化燃烧</w:t>
            </w:r>
            <w:r>
              <w:rPr>
                <w:rFonts w:hint="default" w:ascii="Times New Roman" w:hAnsi="Times New Roman" w:cs="Times New Roman"/>
                <w:color w:val="auto"/>
                <w:kern w:val="2"/>
                <w:sz w:val="24"/>
                <w:szCs w:val="24"/>
                <w:highlight w:val="none"/>
                <w:lang w:val="en-US" w:eastAsia="zh-CN"/>
              </w:rPr>
              <w:t>处理后</w:t>
            </w:r>
            <w:r>
              <w:rPr>
                <w:rFonts w:hint="default" w:ascii="Times New Roman" w:hAnsi="Times New Roman" w:cs="Times New Roman"/>
                <w:color w:val="auto"/>
                <w:kern w:val="2"/>
                <w:sz w:val="24"/>
                <w:szCs w:val="24"/>
                <w:highlight w:val="none"/>
              </w:rPr>
              <w:t>经</w:t>
            </w:r>
            <w:r>
              <w:rPr>
                <w:rFonts w:hint="default" w:ascii="Times New Roman" w:hAnsi="Times New Roman" w:cs="Times New Roman"/>
                <w:color w:val="auto"/>
                <w:kern w:val="0"/>
                <w:sz w:val="24"/>
                <w:szCs w:val="24"/>
                <w:highlight w:val="none"/>
                <w:lang w:val="en-US" w:eastAsia="zh-CN" w:bidi="ar"/>
              </w:rPr>
              <w:t>15</w:t>
            </w:r>
            <w:r>
              <w:rPr>
                <w:rFonts w:hint="default" w:ascii="Times New Roman" w:hAnsi="Times New Roman" w:cs="Times New Roman"/>
                <w:color w:val="auto"/>
                <w:kern w:val="0"/>
                <w:sz w:val="24"/>
                <w:szCs w:val="24"/>
                <w:highlight w:val="none"/>
                <w:lang w:bidi="ar"/>
              </w:rPr>
              <w:t>m</w:t>
            </w:r>
            <w:r>
              <w:rPr>
                <w:rFonts w:hint="default" w:ascii="Times New Roman" w:hAnsi="Times New Roman" w:cs="Times New Roman"/>
                <w:color w:val="auto"/>
                <w:kern w:val="2"/>
                <w:sz w:val="24"/>
                <w:szCs w:val="24"/>
                <w:highlight w:val="none"/>
              </w:rPr>
              <w:t>高排气筒（</w:t>
            </w:r>
            <w:r>
              <w:rPr>
                <w:rFonts w:hint="eastAsia" w:ascii="Times New Roman" w:cs="Times New Roman"/>
                <w:color w:val="auto"/>
                <w:kern w:val="2"/>
                <w:sz w:val="24"/>
                <w:szCs w:val="24"/>
                <w:highlight w:val="none"/>
                <w:lang w:eastAsia="zh-CN"/>
              </w:rPr>
              <w:t>DA00</w:t>
            </w:r>
            <w:r>
              <w:rPr>
                <w:rFonts w:hint="eastAsia" w:ascii="Times New Roman" w:cs="Times New Roman"/>
                <w:color w:val="auto"/>
                <w:kern w:val="2"/>
                <w:sz w:val="24"/>
                <w:szCs w:val="24"/>
                <w:highlight w:val="none"/>
                <w:lang w:val="en-US" w:eastAsia="zh-CN"/>
              </w:rPr>
              <w:t>1</w:t>
            </w:r>
            <w:r>
              <w:rPr>
                <w:rFonts w:hint="default" w:ascii="Times New Roman" w:hAnsi="Times New Roman" w:cs="Times New Roman"/>
                <w:color w:val="auto"/>
                <w:kern w:val="2"/>
                <w:sz w:val="24"/>
                <w:szCs w:val="24"/>
                <w:highlight w:val="none"/>
              </w:rPr>
              <w:t>）排放</w:t>
            </w:r>
            <w:r>
              <w:rPr>
                <w:rFonts w:hint="eastAsia" w:ascii="Times New Roman" w:hAnsi="Times New Roman" w:cs="Times New Roman"/>
                <w:color w:val="auto"/>
                <w:kern w:val="2"/>
                <w:sz w:val="24"/>
                <w:szCs w:val="24"/>
                <w:highlight w:val="none"/>
                <w:lang w:val="en-US" w:eastAsia="zh-CN"/>
              </w:rPr>
              <w:t>颗粒物满足</w:t>
            </w:r>
            <w:r>
              <w:rPr>
                <w:rFonts w:hint="default" w:ascii="Times New Roman" w:hAnsi="Times New Roman" w:cs="Times New Roman"/>
                <w:color w:val="auto"/>
                <w:kern w:val="2"/>
                <w:sz w:val="24"/>
                <w:szCs w:val="24"/>
                <w:highlight w:val="none"/>
              </w:rPr>
              <w:t>广东省《大气污染物排放限值》（DB44/27-2001）第二时段</w:t>
            </w:r>
            <w:r>
              <w:rPr>
                <w:rFonts w:hint="default" w:ascii="Times New Roman" w:hAnsi="Times New Roman" w:cs="Times New Roman"/>
                <w:color w:val="auto"/>
                <w:kern w:val="2"/>
                <w:sz w:val="24"/>
                <w:szCs w:val="24"/>
                <w:highlight w:val="none"/>
                <w:lang w:val="en-US" w:eastAsia="zh-CN"/>
              </w:rPr>
              <w:t>排放限值</w:t>
            </w:r>
            <w:r>
              <w:rPr>
                <w:rFonts w:hint="eastAsia" w:ascii="Times New Roman" w:hAnsi="Times New Roman" w:cs="Times New Roman"/>
                <w:color w:val="auto"/>
                <w:kern w:val="2"/>
                <w:sz w:val="24"/>
                <w:szCs w:val="24"/>
                <w:highlight w:val="none"/>
                <w:lang w:val="en-US" w:eastAsia="zh-CN"/>
              </w:rPr>
              <w:t>，非甲烷总烃</w:t>
            </w:r>
            <w:r>
              <w:rPr>
                <w:rFonts w:hint="eastAsia" w:ascii="Times New Roman" w:cs="Times New Roman"/>
                <w:color w:val="auto"/>
                <w:kern w:val="2"/>
                <w:sz w:val="24"/>
                <w:szCs w:val="24"/>
                <w:highlight w:val="none"/>
                <w:lang w:val="en-US" w:eastAsia="zh-CN"/>
              </w:rPr>
              <w:t>、</w:t>
            </w:r>
            <w:r>
              <w:rPr>
                <w:rFonts w:hint="eastAsia" w:ascii="Times New Roman" w:hAnsi="Times New Roman" w:cs="Times New Roman"/>
                <w:color w:val="auto"/>
                <w:kern w:val="2"/>
                <w:sz w:val="24"/>
                <w:szCs w:val="24"/>
                <w:highlight w:val="none"/>
                <w:lang w:val="en-US" w:eastAsia="zh-CN"/>
              </w:rPr>
              <w:t>苯系物</w:t>
            </w:r>
            <w:r>
              <w:rPr>
                <w:rFonts w:hint="eastAsia" w:ascii="Times New Roman" w:cs="Times New Roman"/>
                <w:color w:val="auto"/>
                <w:kern w:val="2"/>
                <w:sz w:val="24"/>
                <w:szCs w:val="24"/>
                <w:highlight w:val="none"/>
                <w:lang w:val="en-US" w:eastAsia="zh-CN"/>
              </w:rPr>
              <w:t>均</w:t>
            </w:r>
            <w:r>
              <w:rPr>
                <w:rFonts w:hint="eastAsia" w:ascii="Times New Roman" w:hAnsi="Times New Roman" w:cs="Times New Roman"/>
                <w:color w:val="auto"/>
                <w:kern w:val="2"/>
                <w:sz w:val="24"/>
                <w:szCs w:val="24"/>
                <w:highlight w:val="none"/>
                <w:lang w:val="en-US" w:eastAsia="zh-CN"/>
              </w:rPr>
              <w:t>满足广东省《固定污染源挥发性有机物综合排放标准》（DB44/2367-2022）表1挥发性有机物排放限值</w:t>
            </w:r>
            <w:r>
              <w:rPr>
                <w:rFonts w:hint="eastAsia" w:ascii="Times New Roman" w:cs="Times New Roman"/>
                <w:color w:val="auto"/>
                <w:kern w:val="2"/>
                <w:sz w:val="24"/>
                <w:szCs w:val="24"/>
                <w:highlight w:val="none"/>
                <w:lang w:val="en-US" w:eastAsia="zh-CN"/>
              </w:rPr>
              <w:t>要求，</w:t>
            </w:r>
            <w:r>
              <w:rPr>
                <w:rFonts w:hint="eastAsia" w:cs="Times New Roman"/>
                <w:color w:val="auto"/>
                <w:sz w:val="24"/>
                <w:szCs w:val="24"/>
                <w:lang w:val="en-US" w:eastAsia="zh-CN"/>
              </w:rPr>
              <w:t>臭气浓度满足</w:t>
            </w:r>
            <w:r>
              <w:rPr>
                <w:rFonts w:hint="default" w:ascii="Times New Roman" w:hAnsi="Times New Roman" w:cs="Times New Roman"/>
                <w:color w:val="auto"/>
                <w:spacing w:val="-2"/>
                <w:sz w:val="24"/>
                <w:szCs w:val="24"/>
                <w:highlight w:val="none"/>
              </w:rPr>
              <w:t>《恶臭污染物排放标准》（GB14554-93）表2污染物排放标准值</w:t>
            </w:r>
            <w:r>
              <w:rPr>
                <w:rFonts w:hint="eastAsia" w:ascii="Times New Roman" w:hAnsi="Times New Roman" w:cs="Times New Roman"/>
                <w:color w:val="auto"/>
                <w:spacing w:val="-2"/>
                <w:sz w:val="24"/>
                <w:szCs w:val="24"/>
                <w:highlight w:val="none"/>
                <w:lang w:eastAsia="zh-CN"/>
              </w:rPr>
              <w:t>。</w:t>
            </w:r>
          </w:p>
          <w:p w14:paraId="30A49EA6">
            <w:pPr>
              <w:pStyle w:val="2"/>
              <w:keepNext w:val="0"/>
              <w:keepLines w:val="0"/>
              <w:suppressLineNumbers w:val="0"/>
              <w:spacing w:before="0" w:beforeAutospacing="0" w:after="0" w:afterAutospacing="0" w:line="360" w:lineRule="auto"/>
              <w:ind w:left="0" w:right="0" w:firstLine="480" w:firstLineChars="200"/>
              <w:rPr>
                <w:rFonts w:hint="eastAsia" w:asci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固化废气</w:t>
            </w:r>
            <w:r>
              <w:rPr>
                <w:rFonts w:hint="eastAsia" w:ascii="Times New Roman" w:hAnsi="Times New Roman" w:cs="Times New Roman"/>
                <w:color w:val="auto"/>
                <w:kern w:val="2"/>
                <w:sz w:val="24"/>
                <w:szCs w:val="24"/>
                <w:highlight w:val="none"/>
                <w:lang w:val="en-US" w:eastAsia="zh-CN"/>
              </w:rPr>
              <w:t>经</w:t>
            </w:r>
            <w:r>
              <w:rPr>
                <w:rFonts w:hint="eastAsia"/>
                <w:color w:val="auto"/>
                <w:sz w:val="24"/>
                <w:szCs w:val="32"/>
                <w:highlight w:val="none"/>
                <w:lang w:val="en-US" w:eastAsia="zh-CN"/>
              </w:rPr>
              <w:t>喷淋</w:t>
            </w:r>
            <w:r>
              <w:rPr>
                <w:rFonts w:hint="eastAsia"/>
                <w:color w:val="auto"/>
                <w:sz w:val="24"/>
                <w:szCs w:val="32"/>
                <w:highlight w:val="none"/>
              </w:rPr>
              <w:t>+干式过滤+二级活性炭吸附</w:t>
            </w:r>
            <w:r>
              <w:rPr>
                <w:rFonts w:hint="default" w:ascii="Times New Roman" w:hAnsi="Times New Roman" w:cs="Times New Roman"/>
                <w:color w:val="auto"/>
                <w:kern w:val="2"/>
                <w:sz w:val="24"/>
                <w:szCs w:val="24"/>
                <w:highlight w:val="none"/>
                <w:lang w:val="en-US" w:eastAsia="zh-CN"/>
              </w:rPr>
              <w:t>处理后</w:t>
            </w:r>
            <w:r>
              <w:rPr>
                <w:rFonts w:hint="default" w:ascii="Times New Roman" w:hAnsi="Times New Roman" w:cs="Times New Roman"/>
                <w:color w:val="auto"/>
                <w:kern w:val="2"/>
                <w:sz w:val="24"/>
                <w:szCs w:val="24"/>
                <w:highlight w:val="none"/>
              </w:rPr>
              <w:t>经</w:t>
            </w:r>
            <w:r>
              <w:rPr>
                <w:rFonts w:hint="default" w:ascii="Times New Roman" w:hAnsi="Times New Roman" w:cs="Times New Roman"/>
                <w:color w:val="auto"/>
                <w:kern w:val="0"/>
                <w:sz w:val="24"/>
                <w:szCs w:val="24"/>
                <w:highlight w:val="none"/>
                <w:lang w:val="en-US" w:eastAsia="zh-CN" w:bidi="ar"/>
              </w:rPr>
              <w:t>15</w:t>
            </w:r>
            <w:r>
              <w:rPr>
                <w:rFonts w:hint="default" w:ascii="Times New Roman" w:hAnsi="Times New Roman" w:cs="Times New Roman"/>
                <w:color w:val="auto"/>
                <w:kern w:val="0"/>
                <w:sz w:val="24"/>
                <w:szCs w:val="24"/>
                <w:highlight w:val="none"/>
                <w:lang w:bidi="ar"/>
              </w:rPr>
              <w:t>m</w:t>
            </w:r>
            <w:r>
              <w:rPr>
                <w:rFonts w:hint="default" w:ascii="Times New Roman" w:hAnsi="Times New Roman" w:cs="Times New Roman"/>
                <w:color w:val="auto"/>
                <w:kern w:val="2"/>
                <w:sz w:val="24"/>
                <w:szCs w:val="24"/>
                <w:highlight w:val="none"/>
              </w:rPr>
              <w:t>高排气筒（</w:t>
            </w:r>
            <w:r>
              <w:rPr>
                <w:rFonts w:hint="eastAsia" w:ascii="Times New Roman" w:cs="Times New Roman"/>
                <w:color w:val="auto"/>
                <w:kern w:val="2"/>
                <w:sz w:val="24"/>
                <w:szCs w:val="24"/>
                <w:highlight w:val="none"/>
                <w:lang w:eastAsia="zh-CN"/>
              </w:rPr>
              <w:t>DA00</w:t>
            </w:r>
            <w:r>
              <w:rPr>
                <w:rFonts w:hint="eastAsia" w:ascii="Times New Roman" w:cs="Times New Roman"/>
                <w:color w:val="auto"/>
                <w:kern w:val="2"/>
                <w:sz w:val="24"/>
                <w:szCs w:val="24"/>
                <w:highlight w:val="none"/>
                <w:lang w:val="en-US" w:eastAsia="zh-CN"/>
              </w:rPr>
              <w:t>2</w:t>
            </w:r>
            <w:r>
              <w:rPr>
                <w:rFonts w:hint="default" w:ascii="Times New Roman" w:hAnsi="Times New Roman" w:cs="Times New Roman"/>
                <w:color w:val="auto"/>
                <w:kern w:val="2"/>
                <w:sz w:val="24"/>
                <w:szCs w:val="24"/>
                <w:highlight w:val="none"/>
              </w:rPr>
              <w:t>）排放</w:t>
            </w:r>
            <w:r>
              <w:rPr>
                <w:rFonts w:hint="eastAsia" w:ascii="Times New Roman" w:hAnsi="Times New Roman" w:cs="Times New Roman"/>
                <w:color w:val="auto"/>
                <w:kern w:val="2"/>
                <w:sz w:val="24"/>
                <w:szCs w:val="24"/>
                <w:highlight w:val="none"/>
                <w:lang w:eastAsia="zh-CN"/>
              </w:rPr>
              <w:t>，</w:t>
            </w:r>
            <w:r>
              <w:rPr>
                <w:rFonts w:hint="eastAsia" w:ascii="Times New Roman" w:hAnsi="Times New Roman" w:cs="Times New Roman"/>
                <w:color w:val="auto"/>
                <w:kern w:val="2"/>
                <w:sz w:val="24"/>
                <w:szCs w:val="24"/>
                <w:highlight w:val="none"/>
                <w:lang w:val="en-US" w:eastAsia="zh-CN"/>
              </w:rPr>
              <w:t>非甲烷总烃</w:t>
            </w:r>
            <w:r>
              <w:rPr>
                <w:rFonts w:hint="eastAsia" w:ascii="Times New Roman" w:cs="Times New Roman"/>
                <w:color w:val="auto"/>
                <w:kern w:val="2"/>
                <w:sz w:val="24"/>
                <w:szCs w:val="24"/>
                <w:highlight w:val="none"/>
                <w:lang w:val="en-US" w:eastAsia="zh-CN"/>
              </w:rPr>
              <w:t>、</w:t>
            </w:r>
            <w:r>
              <w:rPr>
                <w:rFonts w:hint="eastAsia" w:ascii="Times New Roman" w:eastAsia="宋体" w:cs="Times New Roman"/>
                <w:bCs/>
                <w:color w:val="auto"/>
                <w:sz w:val="24"/>
                <w:szCs w:val="24"/>
                <w:highlight w:val="none"/>
                <w:lang w:val="en-US" w:eastAsia="zh-CN"/>
              </w:rPr>
              <w:t>苯系物有组织排放均</w:t>
            </w:r>
            <w:r>
              <w:rPr>
                <w:rFonts w:hint="eastAsia" w:ascii="Times New Roman" w:hAnsi="Times New Roman" w:cs="Times New Roman"/>
                <w:color w:val="auto"/>
                <w:kern w:val="2"/>
                <w:sz w:val="24"/>
                <w:szCs w:val="24"/>
                <w:highlight w:val="none"/>
                <w:lang w:val="en-US" w:eastAsia="zh-CN"/>
              </w:rPr>
              <w:t>满足</w:t>
            </w:r>
            <w:r>
              <w:rPr>
                <w:rFonts w:hint="default" w:ascii="Times New Roman" w:hAnsi="Times New Roman" w:eastAsia="宋体" w:cs="Times New Roman"/>
                <w:color w:val="auto"/>
                <w:sz w:val="24"/>
                <w:szCs w:val="24"/>
                <w:lang w:val="en-US" w:eastAsia="zh-CN"/>
              </w:rPr>
              <w:t>广东省《固定污染源挥发性有机物综合排放标准》（DB44/2367-2022）中表</w:t>
            </w:r>
            <w:r>
              <w:rPr>
                <w:rFonts w:hint="eastAsia" w:cs="Times New Roman"/>
                <w:color w:val="auto"/>
                <w:sz w:val="24"/>
                <w:szCs w:val="24"/>
                <w:lang w:val="en-US" w:eastAsia="zh-CN"/>
              </w:rPr>
              <w:t>1挥发性有机物排放限值，臭气浓度</w:t>
            </w:r>
            <w:r>
              <w:rPr>
                <w:rFonts w:hint="default" w:ascii="Times New Roman" w:hAnsi="Times New Roman" w:cs="Times New Roman"/>
                <w:color w:val="auto"/>
                <w:spacing w:val="-2"/>
                <w:sz w:val="24"/>
                <w:szCs w:val="24"/>
                <w:highlight w:val="none"/>
              </w:rPr>
              <w:t>《恶臭污染物排放标准》（GB14554-93）表2污染物排放标准值</w:t>
            </w:r>
            <w:r>
              <w:rPr>
                <w:rFonts w:hint="eastAsia" w:ascii="Times New Roman" w:hAnsi="Times New Roman" w:cs="Times New Roman"/>
                <w:color w:val="auto"/>
                <w:spacing w:val="-2"/>
                <w:sz w:val="24"/>
                <w:szCs w:val="24"/>
                <w:highlight w:val="none"/>
                <w:lang w:eastAsia="zh-CN"/>
              </w:rPr>
              <w:t>。</w:t>
            </w:r>
            <w:r>
              <w:rPr>
                <w:rFonts w:hint="eastAsia" w:ascii="Times New Roman" w:cs="Times New Roman"/>
                <w:b w:val="0"/>
                <w:bCs/>
                <w:color w:val="auto"/>
                <w:szCs w:val="21"/>
                <w:highlight w:val="none"/>
                <w:lang w:val="en-US" w:eastAsia="zh-CN"/>
              </w:rPr>
              <w:t>固化工段的天然气燃烧废气一同由DA002排放</w:t>
            </w:r>
            <w:r>
              <w:rPr>
                <w:rFonts w:hint="default" w:ascii="Times New Roman" w:hAnsi="Times New Roman" w:eastAsia="宋体" w:cs="Times New Roman"/>
                <w:bCs/>
                <w:color w:val="auto"/>
                <w:sz w:val="24"/>
                <w:szCs w:val="24"/>
                <w:highlight w:val="none"/>
                <w:lang w:val="en-US" w:eastAsia="zh-CN"/>
              </w:rPr>
              <w:t>，</w:t>
            </w:r>
            <w:r>
              <w:rPr>
                <w:rFonts w:hint="eastAsia" w:ascii="Times New Roman" w:eastAsia="宋体" w:cs="Times New Roman"/>
                <w:bCs/>
                <w:color w:val="auto"/>
                <w:sz w:val="24"/>
                <w:szCs w:val="24"/>
                <w:highlight w:val="none"/>
                <w:lang w:val="en-US" w:eastAsia="zh-CN"/>
              </w:rPr>
              <w:t>排放的</w:t>
            </w:r>
            <w:r>
              <w:rPr>
                <w:rFonts w:hint="default" w:ascii="Times New Roman" w:hAnsi="Times New Roman" w:eastAsia="宋体" w:cs="Times New Roman"/>
                <w:bCs/>
                <w:color w:val="auto"/>
                <w:sz w:val="24"/>
                <w:szCs w:val="24"/>
                <w:highlight w:val="none"/>
                <w:lang w:val="en-US" w:eastAsia="zh-CN"/>
              </w:rPr>
              <w:t>SO</w:t>
            </w:r>
            <w:r>
              <w:rPr>
                <w:rFonts w:hint="default" w:ascii="Times New Roman" w:hAnsi="Times New Roman" w:eastAsia="宋体" w:cs="Times New Roman"/>
                <w:bCs/>
                <w:color w:val="auto"/>
                <w:sz w:val="24"/>
                <w:szCs w:val="24"/>
                <w:highlight w:val="none"/>
                <w:vertAlign w:val="subscript"/>
                <w:lang w:val="en-US" w:eastAsia="zh-CN"/>
              </w:rPr>
              <w:t>2</w:t>
            </w:r>
            <w:r>
              <w:rPr>
                <w:rFonts w:hint="default" w:ascii="Times New Roman" w:hAnsi="Times New Roman" w:eastAsia="宋体" w:cs="Times New Roman"/>
                <w:bCs/>
                <w:color w:val="auto"/>
                <w:sz w:val="24"/>
                <w:szCs w:val="24"/>
                <w:highlight w:val="none"/>
                <w:lang w:val="en-US" w:eastAsia="zh-CN"/>
              </w:rPr>
              <w:t>、NO</w:t>
            </w:r>
            <w:r>
              <w:rPr>
                <w:rFonts w:hint="default" w:ascii="Times New Roman" w:hAnsi="Times New Roman" w:eastAsia="宋体" w:cs="Times New Roman"/>
                <w:bCs/>
                <w:color w:val="auto"/>
                <w:sz w:val="24"/>
                <w:szCs w:val="24"/>
                <w:highlight w:val="none"/>
                <w:vertAlign w:val="subscript"/>
                <w:lang w:val="en-US" w:eastAsia="zh-CN"/>
              </w:rPr>
              <w:t>X</w:t>
            </w:r>
            <w:r>
              <w:rPr>
                <w:rFonts w:hint="default" w:ascii="Times New Roman" w:hAnsi="Times New Roman" w:eastAsia="宋体" w:cs="Times New Roman"/>
                <w:bCs/>
                <w:color w:val="auto"/>
                <w:sz w:val="24"/>
                <w:szCs w:val="24"/>
                <w:highlight w:val="none"/>
                <w:lang w:val="en-US" w:eastAsia="zh-CN"/>
              </w:rPr>
              <w:t>、颗粒物</w:t>
            </w:r>
            <w:r>
              <w:rPr>
                <w:rFonts w:hint="eastAsia" w:ascii="Times New Roman" w:eastAsia="宋体" w:cs="Times New Roman"/>
                <w:bCs/>
                <w:color w:val="auto"/>
                <w:sz w:val="24"/>
                <w:szCs w:val="24"/>
                <w:highlight w:val="none"/>
                <w:lang w:val="en-US" w:eastAsia="zh-CN"/>
              </w:rPr>
              <w:t>有组织排放</w:t>
            </w:r>
            <w:r>
              <w:rPr>
                <w:rFonts w:hint="default" w:ascii="Times New Roman" w:hAnsi="Times New Roman" w:eastAsia="宋体" w:cs="Times New Roman"/>
                <w:bCs/>
                <w:color w:val="auto"/>
                <w:sz w:val="24"/>
                <w:szCs w:val="24"/>
                <w:highlight w:val="none"/>
                <w:lang w:val="en-US" w:eastAsia="zh-CN"/>
              </w:rPr>
              <w:t>均能</w:t>
            </w:r>
            <w:r>
              <w:rPr>
                <w:rFonts w:hint="default" w:ascii="Times New Roman" w:hAnsi="Times New Roman" w:cs="Times New Roman"/>
                <w:color w:val="auto"/>
                <w:sz w:val="24"/>
                <w:szCs w:val="24"/>
                <w:highlight w:val="none"/>
              </w:rPr>
              <w:t>满足</w:t>
            </w:r>
            <w:r>
              <w:rPr>
                <w:rFonts w:hint="eastAsia" w:ascii="Times New Roman" w:cs="Times New Roman"/>
                <w:color w:val="auto"/>
                <w:sz w:val="24"/>
                <w:szCs w:val="24"/>
                <w:highlight w:val="none"/>
                <w:lang w:val="en-US" w:eastAsia="zh-CN"/>
              </w:rPr>
              <w:t>《关于印发&lt;工业炉窑大气污染综合治理方案&gt;的通知》（环大气〔2019〕56号）和《关于贯彻落实&lt;工业炉窑大气污染物综合治理方案&gt;的实施意见》（粤环函〔2019〕1112号）中颗粒物、二氧化硫、氮氧化物排放限值要求</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烟气黑度满足《工业炉窑大气污染物排放标准》（GB 9078-1996）要求</w:t>
            </w:r>
            <w:r>
              <w:rPr>
                <w:rFonts w:hint="eastAsia" w:ascii="Times New Roman" w:cs="Times New Roman"/>
                <w:color w:val="auto"/>
                <w:sz w:val="24"/>
                <w:szCs w:val="24"/>
                <w:highlight w:val="none"/>
                <w:lang w:val="en-US" w:eastAsia="zh-CN"/>
              </w:rPr>
              <w:t>。</w:t>
            </w:r>
          </w:p>
          <w:p w14:paraId="6AAABF46">
            <w:pPr>
              <w:pStyle w:val="2"/>
              <w:keepNext w:val="0"/>
              <w:keepLines w:val="0"/>
              <w:suppressLineNumbers w:val="0"/>
              <w:spacing w:before="0" w:beforeAutospacing="0" w:after="0" w:afterAutospacing="0" w:line="360" w:lineRule="auto"/>
              <w:ind w:left="0" w:right="0" w:firstLine="480" w:firstLineChars="200"/>
              <w:rPr>
                <w:rFonts w:hint="default"/>
                <w:color w:val="auto"/>
                <w:lang w:val="en-US" w:eastAsia="zh-CN"/>
              </w:rPr>
            </w:pPr>
            <w:r>
              <w:rPr>
                <w:rFonts w:hint="eastAsia" w:ascii="Times New Roman" w:cs="Times New Roman"/>
                <w:color w:val="auto"/>
                <w:sz w:val="24"/>
                <w:szCs w:val="24"/>
                <w:highlight w:val="none"/>
                <w:lang w:val="en-US" w:eastAsia="zh-CN"/>
              </w:rPr>
              <w:t>表面预处理废气采用碱液喷淋后通过15m排气筒高空排放，排放的氟化物满足</w:t>
            </w:r>
            <w:r>
              <w:rPr>
                <w:rFonts w:hint="default" w:ascii="Times New Roman" w:hAnsi="Times New Roman" w:cs="Times New Roman"/>
                <w:color w:val="auto"/>
                <w:kern w:val="2"/>
                <w:sz w:val="24"/>
                <w:szCs w:val="24"/>
                <w:highlight w:val="none"/>
              </w:rPr>
              <w:t>广东省《大气污染物排放限值》（DB44/27-2001）第二时段</w:t>
            </w:r>
            <w:r>
              <w:rPr>
                <w:rFonts w:hint="default" w:ascii="Times New Roman" w:hAnsi="Times New Roman" w:cs="Times New Roman"/>
                <w:color w:val="auto"/>
                <w:kern w:val="2"/>
                <w:sz w:val="24"/>
                <w:szCs w:val="24"/>
                <w:highlight w:val="none"/>
                <w:lang w:val="en-US" w:eastAsia="zh-CN"/>
              </w:rPr>
              <w:t>排放限值</w:t>
            </w:r>
            <w:r>
              <w:rPr>
                <w:rFonts w:hint="eastAsia" w:ascii="Times New Roman" w:cs="Times New Roman"/>
                <w:color w:val="auto"/>
                <w:sz w:val="24"/>
                <w:szCs w:val="24"/>
                <w:highlight w:val="none"/>
                <w:lang w:val="en-US" w:eastAsia="zh-CN"/>
              </w:rPr>
              <w:t>，</w:t>
            </w:r>
            <w:r>
              <w:rPr>
                <w:rFonts w:hint="eastAsia" w:ascii="Times New Roman" w:eastAsia="宋体" w:cs="Times New Roman"/>
                <w:bCs/>
                <w:color w:val="auto"/>
                <w:sz w:val="24"/>
                <w:szCs w:val="24"/>
                <w:highlight w:val="none"/>
                <w:lang w:val="en-US" w:eastAsia="zh-CN"/>
              </w:rPr>
              <w:t>排放的</w:t>
            </w:r>
            <w:r>
              <w:rPr>
                <w:rFonts w:hint="default" w:ascii="Times New Roman" w:hAnsi="Times New Roman" w:eastAsia="宋体" w:cs="Times New Roman"/>
                <w:bCs/>
                <w:color w:val="auto"/>
                <w:sz w:val="24"/>
                <w:szCs w:val="24"/>
                <w:highlight w:val="none"/>
                <w:lang w:val="en-US" w:eastAsia="zh-CN"/>
              </w:rPr>
              <w:t>SO</w:t>
            </w:r>
            <w:r>
              <w:rPr>
                <w:rFonts w:hint="default" w:ascii="Times New Roman" w:hAnsi="Times New Roman" w:eastAsia="宋体" w:cs="Times New Roman"/>
                <w:bCs/>
                <w:color w:val="auto"/>
                <w:sz w:val="24"/>
                <w:szCs w:val="24"/>
                <w:highlight w:val="none"/>
                <w:vertAlign w:val="subscript"/>
                <w:lang w:val="en-US" w:eastAsia="zh-CN"/>
              </w:rPr>
              <w:t>2</w:t>
            </w:r>
            <w:r>
              <w:rPr>
                <w:rFonts w:hint="default" w:ascii="Times New Roman" w:hAnsi="Times New Roman" w:eastAsia="宋体" w:cs="Times New Roman"/>
                <w:bCs/>
                <w:color w:val="auto"/>
                <w:sz w:val="24"/>
                <w:szCs w:val="24"/>
                <w:highlight w:val="none"/>
                <w:lang w:val="en-US" w:eastAsia="zh-CN"/>
              </w:rPr>
              <w:t>、NO</w:t>
            </w:r>
            <w:r>
              <w:rPr>
                <w:rFonts w:hint="default" w:ascii="Times New Roman" w:hAnsi="Times New Roman" w:eastAsia="宋体" w:cs="Times New Roman"/>
                <w:bCs/>
                <w:color w:val="auto"/>
                <w:sz w:val="24"/>
                <w:szCs w:val="24"/>
                <w:highlight w:val="none"/>
                <w:vertAlign w:val="subscript"/>
                <w:lang w:val="en-US" w:eastAsia="zh-CN"/>
              </w:rPr>
              <w:t>X</w:t>
            </w:r>
            <w:r>
              <w:rPr>
                <w:rFonts w:hint="default" w:ascii="Times New Roman" w:hAnsi="Times New Roman" w:eastAsia="宋体" w:cs="Times New Roman"/>
                <w:bCs/>
                <w:color w:val="auto"/>
                <w:sz w:val="24"/>
                <w:szCs w:val="24"/>
                <w:highlight w:val="none"/>
                <w:lang w:val="en-US" w:eastAsia="zh-CN"/>
              </w:rPr>
              <w:t>、颗粒物</w:t>
            </w:r>
            <w:r>
              <w:rPr>
                <w:rFonts w:hint="eastAsia" w:ascii="Times New Roman" w:eastAsia="宋体" w:cs="Times New Roman"/>
                <w:bCs/>
                <w:color w:val="auto"/>
                <w:sz w:val="24"/>
                <w:szCs w:val="24"/>
                <w:highlight w:val="none"/>
                <w:lang w:val="en-US" w:eastAsia="zh-CN"/>
              </w:rPr>
              <w:t>有组织排放</w:t>
            </w:r>
            <w:r>
              <w:rPr>
                <w:rFonts w:hint="default" w:ascii="Times New Roman" w:hAnsi="Times New Roman" w:eastAsia="宋体" w:cs="Times New Roman"/>
                <w:bCs/>
                <w:color w:val="auto"/>
                <w:sz w:val="24"/>
                <w:szCs w:val="24"/>
                <w:highlight w:val="none"/>
                <w:lang w:val="en-US" w:eastAsia="zh-CN"/>
              </w:rPr>
              <w:t>均能</w:t>
            </w:r>
            <w:r>
              <w:rPr>
                <w:rFonts w:hint="default" w:ascii="Times New Roman" w:hAnsi="Times New Roman" w:cs="Times New Roman"/>
                <w:color w:val="auto"/>
                <w:sz w:val="24"/>
                <w:szCs w:val="24"/>
                <w:highlight w:val="none"/>
              </w:rPr>
              <w:t>满足</w:t>
            </w:r>
            <w:r>
              <w:rPr>
                <w:rFonts w:hint="eastAsia" w:ascii="Times New Roman" w:cs="Times New Roman"/>
                <w:color w:val="auto"/>
                <w:sz w:val="24"/>
                <w:szCs w:val="24"/>
                <w:highlight w:val="none"/>
                <w:lang w:val="en-US" w:eastAsia="zh-CN"/>
              </w:rPr>
              <w:t>《关于印发&lt;工业炉窑大气污染综合治理方案&gt;的通知》（环大气〔2019〕56号）和《关于贯彻落实&lt;工业炉窑大气污染物综合治理方案&gt;的实施意见》（粤环函〔2019〕1112号）中颗粒物、二氧化硫、氮氧化物排放限值要求</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烟气黑度满足《工业炉窑大气污染物排放标准》（GB 9078-1996）要求</w:t>
            </w:r>
            <w:r>
              <w:rPr>
                <w:rFonts w:hint="eastAsia" w:ascii="Times New Roman" w:cs="Times New Roman"/>
                <w:color w:val="auto"/>
                <w:sz w:val="24"/>
                <w:szCs w:val="24"/>
                <w:highlight w:val="none"/>
                <w:lang w:val="en-US" w:eastAsia="zh-CN"/>
              </w:rPr>
              <w:t>。</w:t>
            </w:r>
          </w:p>
          <w:p w14:paraId="1D1D6DDF">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highlight w:val="none"/>
              </w:rPr>
            </w:pPr>
            <w:r>
              <w:rPr>
                <w:rFonts w:hint="default" w:ascii="Times New Roman" w:hAnsi="Times New Roman" w:cs="Times New Roman"/>
                <w:b w:val="0"/>
                <w:bCs/>
                <w:color w:val="auto"/>
                <w:szCs w:val="21"/>
                <w:highlight w:val="none"/>
                <w:lang w:val="en-US" w:eastAsia="zh-CN"/>
              </w:rPr>
              <w:t>本项目食堂运行过程中产生的油烟拟收集后经高效静电油烟</w:t>
            </w:r>
            <w:r>
              <w:rPr>
                <w:rFonts w:hint="default" w:ascii="Times New Roman" w:hAnsi="Times New Roman" w:eastAsia="宋体" w:cs="Times New Roman"/>
                <w:color w:val="auto"/>
                <w:sz w:val="24"/>
                <w:szCs w:val="24"/>
                <w:highlight w:val="none"/>
                <w:lang w:val="en-US" w:eastAsia="zh-CN"/>
              </w:rPr>
              <w:t>净化器处理后由专用的排烟管道引至宿舍一层楼顶</w:t>
            </w:r>
            <w:r>
              <w:rPr>
                <w:rFonts w:hint="eastAsia" w:ascii="Times New Roman" w:eastAsia="宋体" w:cs="Times New Roman"/>
                <w:color w:val="auto"/>
                <w:sz w:val="24"/>
                <w:szCs w:val="24"/>
                <w:highlight w:val="none"/>
                <w:lang w:val="en-US" w:eastAsia="zh-CN"/>
              </w:rPr>
              <w:t>（DA004）</w:t>
            </w:r>
            <w:r>
              <w:rPr>
                <w:rFonts w:hint="default" w:ascii="Times New Roman" w:hAnsi="Times New Roman" w:eastAsia="宋体" w:cs="Times New Roman"/>
                <w:color w:val="auto"/>
                <w:sz w:val="24"/>
                <w:szCs w:val="24"/>
                <w:highlight w:val="none"/>
                <w:lang w:val="en-US" w:eastAsia="zh-CN"/>
              </w:rPr>
              <w:t>排放</w:t>
            </w:r>
            <w:r>
              <w:rPr>
                <w:rFonts w:hint="default" w:ascii="Times New Roman" w:hAnsi="Times New Roman" w:cs="Times New Roman"/>
                <w:b w:val="0"/>
                <w:bCs/>
                <w:color w:val="auto"/>
                <w:szCs w:val="21"/>
                <w:highlight w:val="none"/>
                <w:lang w:val="en-US" w:eastAsia="zh-CN"/>
              </w:rPr>
              <w:t>，</w:t>
            </w:r>
            <w:r>
              <w:rPr>
                <w:rFonts w:hint="default" w:ascii="Times New Roman" w:hAnsi="Times New Roman" w:eastAsia="宋体" w:cs="Times New Roman"/>
                <w:color w:val="auto"/>
                <w:sz w:val="24"/>
                <w:szCs w:val="24"/>
                <w:highlight w:val="none"/>
              </w:rPr>
              <w:t>排放浓度为</w:t>
            </w:r>
            <w:r>
              <w:rPr>
                <w:rFonts w:hint="default" w:ascii="Times New Roman" w:hAnsi="Times New Roman" w:eastAsia="宋体"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处理效率为75%，</w:t>
            </w:r>
            <w:r>
              <w:rPr>
                <w:rFonts w:hint="default" w:ascii="Times New Roman" w:hAnsi="Times New Roman" w:eastAsia="宋体" w:cs="Times New Roman"/>
                <w:color w:val="auto"/>
                <w:sz w:val="24"/>
                <w:szCs w:val="24"/>
                <w:highlight w:val="none"/>
                <w:vertAlign w:val="baseline"/>
                <w:lang w:val="en-US" w:eastAsia="zh-CN"/>
              </w:rPr>
              <w:t>其排放可满足《饮食业油烟排放标准（试行）》（GB18483-2001）中型规模标准。</w:t>
            </w:r>
          </w:p>
          <w:p w14:paraId="0D0724C9">
            <w:pPr>
              <w:widowControl w:val="0"/>
              <w:wordWrap/>
              <w:spacing w:line="360" w:lineRule="auto"/>
              <w:ind w:firstLine="482" w:firstLineChars="200"/>
              <w:textAlignment w:val="auto"/>
              <w:rPr>
                <w:rFonts w:hint="default" w:ascii="Times New Roman" w:hAnsi="Times New Roman" w:eastAsia="宋体" w:cs="Times New Roman"/>
                <w:b/>
                <w:bCs w:val="0"/>
                <w:color w:val="auto"/>
                <w:sz w:val="24"/>
                <w:szCs w:val="24"/>
                <w:highlight w:val="none"/>
              </w:rPr>
            </w:pPr>
            <w:r>
              <w:rPr>
                <w:rFonts w:hint="default" w:ascii="Times New Roman" w:hAnsi="Times New Roman" w:eastAsia="宋体" w:cs="Times New Roman"/>
                <w:b/>
                <w:bCs w:val="0"/>
                <w:color w:val="auto"/>
                <w:sz w:val="24"/>
                <w:szCs w:val="24"/>
                <w:highlight w:val="none"/>
                <w:lang w:val="en-US" w:eastAsia="zh-CN"/>
              </w:rPr>
              <w:t>（2）无组织废气达标分析</w:t>
            </w:r>
          </w:p>
          <w:p w14:paraId="2260A42A">
            <w:pPr>
              <w:widowControl w:val="0"/>
              <w:wordWrap/>
              <w:spacing w:line="360" w:lineRule="auto"/>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本项目生产过程中未收集的颗粒物在加强车间通风的情况下无组织排放，</w:t>
            </w:r>
            <w:r>
              <w:rPr>
                <w:rFonts w:hint="eastAsia" w:cs="Times New Roman"/>
                <w:bCs/>
                <w:color w:val="auto"/>
                <w:sz w:val="24"/>
                <w:szCs w:val="24"/>
                <w:highlight w:val="none"/>
                <w:lang w:val="en-US" w:eastAsia="zh-CN"/>
              </w:rPr>
              <w:t>颗粒物、非甲烷总烃、苯系物（二甲苯）、氟化物满足</w:t>
            </w:r>
            <w:r>
              <w:rPr>
                <w:rFonts w:hint="default" w:ascii="Times New Roman" w:hAnsi="Times New Roman" w:eastAsia="宋体" w:cs="Times New Roman"/>
                <w:color w:val="auto"/>
                <w:kern w:val="2"/>
                <w:sz w:val="24"/>
                <w:szCs w:val="24"/>
                <w:highlight w:val="none"/>
              </w:rPr>
              <w:t>广东省《大气污染物排放限值》（DB44/27-2001）第二时段无组织排放监控浓度限值</w:t>
            </w:r>
            <w:r>
              <w:rPr>
                <w:rFonts w:hint="eastAsia" w:ascii="Times New Roman" w:hAnsi="Times New Roman" w:eastAsia="宋体" w:cs="Times New Roman"/>
                <w:color w:val="auto"/>
                <w:kern w:val="2"/>
                <w:sz w:val="24"/>
                <w:szCs w:val="24"/>
                <w:highlight w:val="none"/>
                <w:lang w:val="en-US" w:eastAsia="zh-CN"/>
              </w:rPr>
              <w:t>要求</w:t>
            </w:r>
            <w:r>
              <w:rPr>
                <w:rFonts w:hint="default" w:ascii="Times New Roman" w:hAnsi="Times New Roman" w:eastAsia="宋体" w:cs="Times New Roman"/>
                <w:bCs/>
                <w:color w:val="auto"/>
                <w:sz w:val="24"/>
                <w:szCs w:val="24"/>
                <w:highlight w:val="none"/>
                <w:lang w:val="en-US" w:eastAsia="zh-CN"/>
              </w:rPr>
              <w:t>。</w:t>
            </w:r>
          </w:p>
          <w:p w14:paraId="3F7E655B">
            <w:pPr>
              <w:widowControl w:val="0"/>
              <w:wordWrap/>
              <w:spacing w:line="360" w:lineRule="auto"/>
              <w:ind w:firstLine="480" w:firstLineChars="200"/>
              <w:textAlignment w:val="auto"/>
              <w:rPr>
                <w:rFonts w:hint="eastAsia" w:ascii="Times New Roman" w:hAnsi="Times New Roman" w:eastAsia="宋体" w:cs="Times New Roman"/>
                <w:bCs/>
                <w:color w:val="auto"/>
                <w:sz w:val="24"/>
                <w:szCs w:val="24"/>
                <w:highlight w:val="none"/>
                <w:lang w:val="en-US" w:eastAsia="zh-CN"/>
              </w:rPr>
            </w:pPr>
            <w:r>
              <w:rPr>
                <w:rFonts w:hint="eastAsia" w:cs="Times New Roman"/>
                <w:bCs/>
                <w:color w:val="auto"/>
                <w:sz w:val="24"/>
                <w:szCs w:val="24"/>
                <w:highlight w:val="none"/>
                <w:lang w:val="en-US" w:eastAsia="zh-CN"/>
              </w:rPr>
              <w:t>非甲烷总烃还满足</w:t>
            </w:r>
            <w:r>
              <w:rPr>
                <w:rFonts w:hint="default" w:ascii="Times New Roman" w:hAnsi="Times New Roman" w:eastAsia="宋体" w:cs="Times New Roman"/>
                <w:color w:val="auto"/>
                <w:kern w:val="2"/>
                <w:sz w:val="24"/>
                <w:szCs w:val="24"/>
                <w:highlight w:val="none"/>
              </w:rPr>
              <w:t>《固定污染源挥发性有机物综合排放标准》（DB44/2367-2022）表3厂区内VOCs 无组织排放限值要求</w:t>
            </w:r>
            <w:r>
              <w:rPr>
                <w:rFonts w:hint="eastAsia" w:ascii="Times New Roman" w:hAnsi="Times New Roman" w:eastAsia="宋体" w:cs="Times New Roman"/>
                <w:color w:val="auto"/>
                <w:kern w:val="2"/>
                <w:sz w:val="24"/>
                <w:szCs w:val="24"/>
                <w:highlight w:val="none"/>
                <w:lang w:val="en-US" w:eastAsia="zh-CN"/>
              </w:rPr>
              <w:t>。</w:t>
            </w:r>
          </w:p>
          <w:p w14:paraId="68F5E41B">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b w:val="0"/>
                <w:bCs w:val="0"/>
                <w:color w:val="auto"/>
                <w:kern w:val="2"/>
                <w:sz w:val="24"/>
                <w:szCs w:val="24"/>
                <w:highlight w:val="none"/>
              </w:rPr>
            </w:pPr>
            <w:r>
              <w:rPr>
                <w:rFonts w:hint="default" w:ascii="Times New Roman" w:hAnsi="Times New Roman" w:eastAsia="宋体" w:cs="Times New Roman"/>
                <w:b w:val="0"/>
                <w:bCs w:val="0"/>
                <w:color w:val="auto"/>
                <w:kern w:val="0"/>
                <w:sz w:val="24"/>
                <w:szCs w:val="24"/>
                <w:highlight w:val="none"/>
                <w:lang w:val="en-US" w:eastAsia="zh-CN" w:bidi="ar"/>
              </w:rPr>
              <w:t>本项目通过对污水处理设施</w:t>
            </w:r>
            <w:r>
              <w:rPr>
                <w:rFonts w:hint="default" w:ascii="Times New Roman" w:hAnsi="Times New Roman" w:cs="Times New Roman"/>
                <w:color w:val="auto"/>
                <w:sz w:val="24"/>
                <w:szCs w:val="24"/>
                <w:highlight w:val="none"/>
              </w:rPr>
              <w:t>采取加盖密闭、加强通风措施后</w:t>
            </w:r>
            <w:r>
              <w:rPr>
                <w:rFonts w:hint="default" w:ascii="Times New Roman" w:hAnsi="Times New Roman" w:eastAsia="宋体" w:cs="Times New Roman"/>
                <w:b w:val="0"/>
                <w:bCs w:val="0"/>
                <w:color w:val="auto"/>
                <w:kern w:val="0"/>
                <w:sz w:val="24"/>
                <w:szCs w:val="24"/>
                <w:highlight w:val="none"/>
                <w:lang w:val="en-US" w:eastAsia="zh-CN" w:bidi="ar"/>
              </w:rPr>
              <w:t>，</w:t>
            </w:r>
            <w:r>
              <w:rPr>
                <w:rFonts w:hint="default" w:ascii="Times New Roman" w:hAnsi="Times New Roman" w:eastAsia="宋体" w:cs="Times New Roman"/>
                <w:b w:val="0"/>
                <w:bCs w:val="0"/>
                <w:color w:val="auto"/>
                <w:kern w:val="2"/>
                <w:sz w:val="24"/>
                <w:szCs w:val="24"/>
                <w:highlight w:val="none"/>
                <w:lang w:val="en-US" w:eastAsia="zh-CN" w:bidi="ar"/>
              </w:rPr>
              <w:t>臭气浓度可满足</w:t>
            </w:r>
            <w:r>
              <w:rPr>
                <w:rFonts w:hint="default" w:ascii="Times New Roman" w:hAnsi="Times New Roman" w:eastAsia="宋体" w:cs="Times New Roman"/>
                <w:b w:val="0"/>
                <w:bCs w:val="0"/>
                <w:color w:val="auto"/>
                <w:kern w:val="0"/>
                <w:sz w:val="24"/>
                <w:szCs w:val="24"/>
                <w:highlight w:val="none"/>
                <w:lang w:val="en-US" w:eastAsia="zh-CN" w:bidi="ar"/>
              </w:rPr>
              <w:t>《恶臭污染物排放标准》(GB14554-93)表1二级标准中“新改扩建”限值要求。</w:t>
            </w:r>
          </w:p>
          <w:p w14:paraId="7590DA85">
            <w:pPr>
              <w:spacing w:line="336" w:lineRule="auto"/>
              <w:ind w:firstLine="480" w:firstLineChars="200"/>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根据</w:t>
            </w:r>
            <w:r>
              <w:rPr>
                <w:rFonts w:hint="default" w:ascii="Times New Roman" w:hAnsi="Times New Roman" w:cs="Times New Roman"/>
                <w:color w:val="auto"/>
                <w:sz w:val="24"/>
                <w:highlight w:val="none"/>
              </w:rPr>
              <w:t>《2024年韶关市生态环境状况公报》</w:t>
            </w:r>
            <w:r>
              <w:rPr>
                <w:rFonts w:hint="default" w:ascii="Times New Roman" w:hAnsi="Times New Roman" w:eastAsia="宋体" w:cs="Times New Roman"/>
                <w:bCs/>
                <w:color w:val="auto"/>
                <w:sz w:val="24"/>
                <w:szCs w:val="24"/>
                <w:highlight w:val="none"/>
              </w:rPr>
              <w:t>，</w:t>
            </w:r>
            <w:r>
              <w:rPr>
                <w:rFonts w:hint="default" w:ascii="Times New Roman" w:hAnsi="Times New Roman" w:eastAsia="宋体" w:cs="Times New Roman"/>
                <w:color w:val="auto"/>
                <w:sz w:val="24"/>
                <w:highlight w:val="none"/>
              </w:rPr>
              <w:t>202</w:t>
            </w:r>
            <w:r>
              <w:rPr>
                <w:rFonts w:hint="default"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年</w:t>
            </w:r>
            <w:r>
              <w:rPr>
                <w:rFonts w:hint="default" w:ascii="Times New Roman" w:hAnsi="Times New Roman" w:eastAsia="宋体" w:cs="Times New Roman"/>
                <w:color w:val="auto"/>
                <w:sz w:val="24"/>
                <w:highlight w:val="none"/>
                <w:lang w:val="en-US" w:eastAsia="zh-CN"/>
              </w:rPr>
              <w:t>乐昌</w:t>
            </w:r>
            <w:r>
              <w:rPr>
                <w:rFonts w:hint="default" w:ascii="Times New Roman" w:hAnsi="Times New Roman" w:eastAsia="宋体" w:cs="Times New Roman"/>
                <w:color w:val="auto"/>
                <w:sz w:val="24"/>
                <w:highlight w:val="none"/>
              </w:rPr>
              <w:t>市环境空气中</w:t>
            </w:r>
            <w:r>
              <w:rPr>
                <w:rFonts w:hint="default" w:ascii="Times New Roman" w:hAnsi="Times New Roman" w:eastAsia="宋体" w:cs="Times New Roman"/>
                <w:color w:val="auto"/>
                <w:sz w:val="24"/>
                <w:highlight w:val="none"/>
                <w:lang w:val="en-US" w:eastAsia="zh-CN"/>
              </w:rPr>
              <w:t>的</w:t>
            </w:r>
            <w:r>
              <w:rPr>
                <w:rFonts w:hint="default" w:ascii="Times New Roman" w:hAnsi="Times New Roman" w:eastAsia="宋体" w:cs="Times New Roman"/>
                <w:color w:val="auto"/>
                <w:sz w:val="24"/>
                <w:highlight w:val="none"/>
              </w:rPr>
              <w:t>二氧化硫、二氧化氮、可吸入颗粒物（PM</w:t>
            </w:r>
            <w:r>
              <w:rPr>
                <w:rFonts w:hint="default" w:ascii="Times New Roman" w:hAnsi="Times New Roman" w:eastAsia="宋体" w:cs="Times New Roman"/>
                <w:color w:val="auto"/>
                <w:sz w:val="24"/>
                <w:highlight w:val="none"/>
                <w:vertAlign w:val="subscript"/>
              </w:rPr>
              <w:t>10</w:t>
            </w:r>
            <w:r>
              <w:rPr>
                <w:rFonts w:hint="default" w:ascii="Times New Roman" w:hAnsi="Times New Roman" w:eastAsia="宋体" w:cs="Times New Roman"/>
                <w:color w:val="auto"/>
                <w:sz w:val="24"/>
                <w:highlight w:val="none"/>
              </w:rPr>
              <w:t>）、细颗粒物（PM</w:t>
            </w:r>
            <w:r>
              <w:rPr>
                <w:rFonts w:hint="default" w:ascii="Times New Roman" w:hAnsi="Times New Roman" w:eastAsia="宋体" w:cs="Times New Roman"/>
                <w:color w:val="auto"/>
                <w:sz w:val="24"/>
                <w:highlight w:val="none"/>
                <w:vertAlign w:val="subscript"/>
              </w:rPr>
              <w:t>2.5</w:t>
            </w:r>
            <w:r>
              <w:rPr>
                <w:rFonts w:hint="default" w:ascii="Times New Roman" w:hAnsi="Times New Roman" w:eastAsia="宋体" w:cs="Times New Roman"/>
                <w:color w:val="auto"/>
                <w:sz w:val="24"/>
                <w:highlight w:val="none"/>
              </w:rPr>
              <w:t>）年平均浓度及一氧化碳24小时平均第95百分位数、臭氧日最大8小时滑动平均值的第90百分位数均符合国家《环境空气质量标准》（GB3095-2026）过渡阶段浓度限值二级标准</w:t>
            </w:r>
            <w:r>
              <w:rPr>
                <w:rFonts w:hint="default" w:ascii="Times New Roman" w:hAnsi="Times New Roman" w:eastAsia="宋体" w:cs="Times New Roman"/>
                <w:color w:val="auto"/>
                <w:kern w:val="21"/>
                <w:sz w:val="24"/>
                <w:szCs w:val="24"/>
                <w:highlight w:val="none"/>
              </w:rPr>
              <w:t>。</w:t>
            </w:r>
            <w:r>
              <w:rPr>
                <w:rFonts w:hint="default" w:ascii="Times New Roman" w:hAnsi="Times New Roman" w:eastAsia="宋体" w:cs="Times New Roman"/>
                <w:bCs/>
                <w:color w:val="auto"/>
                <w:sz w:val="24"/>
                <w:szCs w:val="24"/>
                <w:highlight w:val="none"/>
              </w:rPr>
              <w:t>项目采取的废气治理设施为可行技术，厂界外500米范围内</w:t>
            </w:r>
            <w:r>
              <w:rPr>
                <w:rFonts w:hint="default" w:ascii="Times New Roman" w:hAnsi="Times New Roman" w:eastAsia="宋体" w:cs="Times New Roman"/>
                <w:color w:val="auto"/>
                <w:sz w:val="24"/>
                <w:szCs w:val="24"/>
                <w:highlight w:val="none"/>
                <w:lang w:val="en-US" w:eastAsia="zh-CN"/>
              </w:rPr>
              <w:t>大气环境保护目标为位于项目</w:t>
            </w:r>
            <w:r>
              <w:rPr>
                <w:rFonts w:hint="eastAsia" w:ascii="Times New Roman" w:hAnsi="Times New Roman" w:eastAsia="宋体" w:cs="Times New Roman"/>
                <w:color w:val="auto"/>
                <w:sz w:val="24"/>
                <w:szCs w:val="24"/>
                <w:highlight w:val="none"/>
                <w:lang w:val="en-US" w:eastAsia="zh-CN"/>
              </w:rPr>
              <w:t>东</w:t>
            </w:r>
            <w:r>
              <w:rPr>
                <w:rFonts w:hint="default" w:ascii="Times New Roman" w:hAnsi="Times New Roman" w:eastAsia="宋体" w:cs="Times New Roman"/>
                <w:color w:val="auto"/>
                <w:sz w:val="24"/>
                <w:szCs w:val="24"/>
                <w:highlight w:val="none"/>
                <w:lang w:val="en-US" w:eastAsia="zh-CN"/>
              </w:rPr>
              <w:t>北面</w:t>
            </w:r>
            <w:r>
              <w:rPr>
                <w:rFonts w:hint="eastAsia" w:cs="Times New Roman"/>
                <w:color w:val="auto"/>
                <w:sz w:val="24"/>
                <w:szCs w:val="24"/>
                <w:highlight w:val="none"/>
                <w:lang w:val="en-US" w:eastAsia="zh-CN"/>
              </w:rPr>
              <w:t>377</w:t>
            </w:r>
            <w:r>
              <w:rPr>
                <w:rFonts w:hint="default" w:ascii="Times New Roman" w:hAnsi="Times New Roman" w:eastAsia="宋体" w:cs="Times New Roman"/>
                <w:color w:val="auto"/>
                <w:sz w:val="24"/>
                <w:szCs w:val="24"/>
                <w:highlight w:val="none"/>
                <w:lang w:val="en-US" w:eastAsia="zh-CN"/>
              </w:rPr>
              <w:t>m的王屋小学</w:t>
            </w:r>
            <w:r>
              <w:rPr>
                <w:rFonts w:hint="eastAsia" w:cs="Times New Roman"/>
                <w:color w:val="auto"/>
                <w:sz w:val="24"/>
                <w:szCs w:val="24"/>
                <w:highlight w:val="none"/>
                <w:lang w:val="en-US" w:eastAsia="zh-CN"/>
              </w:rPr>
              <w:t>、464m处村落</w:t>
            </w:r>
            <w:r>
              <w:rPr>
                <w:rFonts w:hint="default" w:ascii="Times New Roman" w:hAnsi="Times New Roman" w:eastAsia="宋体" w:cs="Times New Roman"/>
                <w:color w:val="auto"/>
                <w:sz w:val="24"/>
                <w:szCs w:val="24"/>
                <w:highlight w:val="none"/>
                <w:lang w:val="en-US" w:eastAsia="zh-CN"/>
              </w:rPr>
              <w:t>，且不在多年主导风向下风向，</w:t>
            </w:r>
            <w:r>
              <w:rPr>
                <w:rFonts w:hint="default" w:ascii="Times New Roman" w:hAnsi="Times New Roman" w:eastAsia="宋体" w:cs="Times New Roman"/>
                <w:bCs/>
                <w:color w:val="auto"/>
                <w:sz w:val="24"/>
                <w:szCs w:val="24"/>
                <w:highlight w:val="none"/>
              </w:rPr>
              <w:t>在建设单位在加强环保管理，确保废气处理设施的正常运行的情况下，废气经收集处理后可做到稳定达标。项目在废气稳定达标的前提下，项目对周边环境</w:t>
            </w:r>
            <w:r>
              <w:rPr>
                <w:rFonts w:hint="default" w:ascii="Times New Roman" w:hAnsi="Times New Roman" w:eastAsia="宋体" w:cs="Times New Roman"/>
                <w:bCs/>
                <w:color w:val="auto"/>
                <w:sz w:val="24"/>
                <w:szCs w:val="24"/>
                <w:highlight w:val="none"/>
                <w:lang w:val="en-US" w:eastAsia="zh-CN"/>
              </w:rPr>
              <w:t>空气及</w:t>
            </w:r>
            <w:r>
              <w:rPr>
                <w:rFonts w:hint="default" w:ascii="Times New Roman" w:hAnsi="Times New Roman" w:eastAsia="宋体" w:cs="Times New Roman"/>
                <w:color w:val="auto"/>
                <w:sz w:val="24"/>
                <w:szCs w:val="24"/>
                <w:highlight w:val="none"/>
                <w:lang w:val="en-US" w:eastAsia="zh-CN"/>
              </w:rPr>
              <w:t>大气环境保护目标</w:t>
            </w:r>
            <w:r>
              <w:rPr>
                <w:rFonts w:hint="default" w:ascii="Times New Roman" w:hAnsi="Times New Roman" w:eastAsia="宋体" w:cs="Times New Roman"/>
                <w:bCs/>
                <w:color w:val="auto"/>
                <w:sz w:val="24"/>
                <w:szCs w:val="24"/>
                <w:highlight w:val="none"/>
              </w:rPr>
              <w:t>的影响是可以接受的。</w:t>
            </w:r>
          </w:p>
          <w:p w14:paraId="72BF7CEA">
            <w:pPr>
              <w:keepNext w:val="0"/>
              <w:keepLines w:val="0"/>
              <w:pageBreakBefore w:val="0"/>
              <w:widowControl/>
              <w:numPr>
                <w:ilvl w:val="0"/>
                <w:numId w:val="0"/>
              </w:numPr>
              <w:tabs>
                <w:tab w:val="left" w:pos="312"/>
              </w:tabs>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1.5</w:t>
            </w:r>
            <w:r>
              <w:rPr>
                <w:rFonts w:hint="default" w:ascii="Times New Roman" w:hAnsi="Times New Roman" w:eastAsia="宋体" w:cs="Times New Roman"/>
                <w:b/>
                <w:bCs/>
                <w:color w:val="auto"/>
                <w:sz w:val="24"/>
                <w:szCs w:val="24"/>
                <w:highlight w:val="none"/>
                <w:lang w:val="en-US" w:eastAsia="zh-CN"/>
              </w:rPr>
              <w:t>废气非正常工况分析</w:t>
            </w:r>
          </w:p>
          <w:p w14:paraId="23B184B3">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spacing w:val="-4"/>
                <w:kern w:val="2"/>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非正常排放是指生产过程中开停车（工、炉）、设备检修、工艺设备运转异常等非正常情况下的污染物排放，以及污</w:t>
            </w:r>
            <w:r>
              <w:rPr>
                <w:rFonts w:hint="default" w:ascii="Times New Roman" w:hAnsi="Times New Roman" w:eastAsia="宋体" w:cs="Times New Roman"/>
                <w:color w:val="auto"/>
                <w:sz w:val="24"/>
                <w:szCs w:val="24"/>
                <w:highlight w:val="none"/>
              </w:rPr>
              <w:t>染物排放控制措施达不到应有效率等情况下的排放。本项目废气非正常工况排放主要为</w:t>
            </w:r>
            <w:r>
              <w:rPr>
                <w:rFonts w:hint="eastAsia" w:cs="Times New Roman"/>
                <w:color w:val="auto"/>
                <w:sz w:val="24"/>
                <w:szCs w:val="24"/>
                <w:highlight w:val="none"/>
                <w:lang w:val="en-US" w:eastAsia="zh-CN"/>
              </w:rPr>
              <w:t>废气设施</w:t>
            </w:r>
            <w:r>
              <w:rPr>
                <w:rFonts w:hint="default" w:ascii="Times New Roman" w:hAnsi="Times New Roman" w:eastAsia="宋体" w:cs="Times New Roman"/>
                <w:color w:val="auto"/>
                <w:sz w:val="24"/>
                <w:szCs w:val="24"/>
                <w:highlight w:val="none"/>
                <w:lang w:val="en-US" w:eastAsia="zh-CN"/>
              </w:rPr>
              <w:t>故障，</w:t>
            </w:r>
            <w:r>
              <w:rPr>
                <w:rFonts w:hint="default" w:ascii="Times New Roman" w:hAnsi="Times New Roman" w:eastAsia="宋体" w:cs="Times New Roman"/>
                <w:color w:val="auto"/>
                <w:sz w:val="24"/>
                <w:szCs w:val="24"/>
                <w:highlight w:val="none"/>
              </w:rPr>
              <w:t>废气未经处理直接排放，废气处理效率</w:t>
            </w:r>
            <w:r>
              <w:rPr>
                <w:rFonts w:hint="default" w:ascii="Times New Roman" w:hAnsi="Times New Roman" w:eastAsia="宋体" w:cs="Times New Roman"/>
                <w:color w:val="auto"/>
                <w:sz w:val="24"/>
                <w:szCs w:val="24"/>
                <w:highlight w:val="none"/>
                <w:lang w:eastAsia="zh-CN"/>
              </w:rPr>
              <w:t>降</w:t>
            </w:r>
            <w:r>
              <w:rPr>
                <w:rFonts w:hint="default" w:ascii="Times New Roman" w:hAnsi="Times New Roman" w:eastAsia="宋体" w:cs="Times New Roman"/>
                <w:color w:val="auto"/>
                <w:sz w:val="24"/>
                <w:szCs w:val="24"/>
                <w:highlight w:val="none"/>
              </w:rPr>
              <w:t>为0%的状态估算，但废气收集系统可以正常运行，废气通过排气筒排放等情况，废气处理设施出现故障时不能正常运行时，应立即停产进行维修，避免对周围环境造成污染。</w:t>
            </w:r>
          </w:p>
          <w:p w14:paraId="38EE9BAF">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19</w:t>
            </w:r>
            <w:r>
              <w:rPr>
                <w:rFonts w:hint="default" w:ascii="Times New Roman" w:hAnsi="Times New Roman" w:eastAsia="宋体" w:cs="Times New Roman"/>
                <w:b/>
                <w:bCs/>
                <w:color w:val="auto"/>
                <w:sz w:val="21"/>
                <w:szCs w:val="21"/>
                <w:highlight w:val="none"/>
                <w:lang w:eastAsia="zh-CN"/>
              </w:rPr>
              <w:t>本项目污染源非正常排放量核算表</w:t>
            </w:r>
          </w:p>
          <w:tbl>
            <w:tblPr>
              <w:tblStyle w:val="132"/>
              <w:tblW w:w="4994"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11"/>
              <w:gridCol w:w="935"/>
              <w:gridCol w:w="1535"/>
              <w:gridCol w:w="1094"/>
              <w:gridCol w:w="1281"/>
              <w:gridCol w:w="871"/>
              <w:gridCol w:w="660"/>
              <w:gridCol w:w="599"/>
              <w:gridCol w:w="1009"/>
            </w:tblGrid>
            <w:tr w14:paraId="21E5F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tcBorders>
                    <w:tl2br w:val="nil"/>
                    <w:tr2bl w:val="nil"/>
                  </w:tcBorders>
                  <w:noWrap w:val="0"/>
                  <w:vAlign w:val="center"/>
                </w:tcPr>
                <w:p w14:paraId="2C48EF69">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序号</w:t>
                  </w:r>
                </w:p>
              </w:tc>
              <w:tc>
                <w:tcPr>
                  <w:tcW w:w="934" w:type="dxa"/>
                  <w:tcBorders>
                    <w:tl2br w:val="nil"/>
                    <w:tr2bl w:val="nil"/>
                  </w:tcBorders>
                  <w:noWrap w:val="0"/>
                  <w:vAlign w:val="center"/>
                </w:tcPr>
                <w:p w14:paraId="16CE4998">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排放源</w:t>
                  </w:r>
                </w:p>
              </w:tc>
              <w:tc>
                <w:tcPr>
                  <w:tcW w:w="1534" w:type="dxa"/>
                  <w:tcBorders>
                    <w:tl2br w:val="nil"/>
                    <w:tr2bl w:val="nil"/>
                  </w:tcBorders>
                  <w:noWrap w:val="0"/>
                  <w:vAlign w:val="center"/>
                </w:tcPr>
                <w:p w14:paraId="6862BAC2">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非正常排放原因</w:t>
                  </w:r>
                </w:p>
              </w:tc>
              <w:tc>
                <w:tcPr>
                  <w:tcW w:w="1093" w:type="dxa"/>
                  <w:tcBorders>
                    <w:tl2br w:val="nil"/>
                    <w:tr2bl w:val="nil"/>
                  </w:tcBorders>
                  <w:noWrap w:val="0"/>
                  <w:vAlign w:val="center"/>
                </w:tcPr>
                <w:p w14:paraId="5A993654">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污染物</w:t>
                  </w:r>
                </w:p>
              </w:tc>
              <w:tc>
                <w:tcPr>
                  <w:tcW w:w="1280" w:type="dxa"/>
                  <w:tcBorders>
                    <w:tl2br w:val="nil"/>
                    <w:tr2bl w:val="nil"/>
                  </w:tcBorders>
                  <w:noWrap w:val="0"/>
                  <w:vAlign w:val="center"/>
                </w:tcPr>
                <w:p w14:paraId="7166B10E">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非正常排放浓度</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mg/m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eastAsia" w:ascii="宋体" w:hAnsi="宋体" w:eastAsia="宋体" w:cs="宋体"/>
                      <w:b/>
                      <w:bCs/>
                      <w:i w:val="0"/>
                      <w:iCs w:val="0"/>
                      <w:color w:val="auto"/>
                      <w:kern w:val="0"/>
                      <w:sz w:val="21"/>
                      <w:szCs w:val="21"/>
                      <w:u w:val="none"/>
                      <w:lang w:val="en-US" w:eastAsia="zh-CN" w:bidi="ar"/>
                    </w:rPr>
                    <w:t>）</w:t>
                  </w:r>
                </w:p>
              </w:tc>
              <w:tc>
                <w:tcPr>
                  <w:tcW w:w="870" w:type="dxa"/>
                  <w:tcBorders>
                    <w:tl2br w:val="nil"/>
                    <w:tr2bl w:val="nil"/>
                  </w:tcBorders>
                  <w:noWrap w:val="0"/>
                  <w:vAlign w:val="center"/>
                </w:tcPr>
                <w:p w14:paraId="3C5EEEFB">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非正常排放速率</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kg/h</w:t>
                  </w:r>
                  <w:r>
                    <w:rPr>
                      <w:rFonts w:hint="eastAsia" w:ascii="宋体" w:hAnsi="宋体" w:eastAsia="宋体" w:cs="宋体"/>
                      <w:b/>
                      <w:bCs/>
                      <w:i w:val="0"/>
                      <w:iCs w:val="0"/>
                      <w:color w:val="auto"/>
                      <w:kern w:val="0"/>
                      <w:sz w:val="21"/>
                      <w:szCs w:val="21"/>
                      <w:u w:val="none"/>
                      <w:lang w:val="en-US" w:eastAsia="zh-CN" w:bidi="ar"/>
                    </w:rPr>
                    <w:t>）</w:t>
                  </w:r>
                </w:p>
              </w:tc>
              <w:tc>
                <w:tcPr>
                  <w:tcW w:w="660" w:type="dxa"/>
                  <w:tcBorders>
                    <w:tl2br w:val="nil"/>
                    <w:tr2bl w:val="nil"/>
                  </w:tcBorders>
                  <w:noWrap w:val="0"/>
                  <w:vAlign w:val="center"/>
                </w:tcPr>
                <w:p w14:paraId="38186C03">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单次持续时间</w:t>
                  </w:r>
                  <w:r>
                    <w:rPr>
                      <w:rFonts w:hint="default" w:ascii="Times New Roman" w:hAnsi="Times New Roman" w:eastAsia="宋体" w:cs="Times New Roman"/>
                      <w:b/>
                      <w:bCs/>
                      <w:i w:val="0"/>
                      <w:iCs w:val="0"/>
                      <w:color w:val="auto"/>
                      <w:kern w:val="0"/>
                      <w:sz w:val="21"/>
                      <w:szCs w:val="21"/>
                      <w:u w:val="none"/>
                      <w:lang w:val="en-US" w:eastAsia="zh-CN" w:bidi="ar"/>
                    </w:rPr>
                    <w:t>/h</w:t>
                  </w:r>
                </w:p>
              </w:tc>
              <w:tc>
                <w:tcPr>
                  <w:tcW w:w="599" w:type="dxa"/>
                  <w:tcBorders>
                    <w:tl2br w:val="nil"/>
                    <w:tr2bl w:val="nil"/>
                  </w:tcBorders>
                  <w:noWrap w:val="0"/>
                  <w:vAlign w:val="center"/>
                </w:tcPr>
                <w:p w14:paraId="3687870D">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年发生频次</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次</w:t>
                  </w:r>
                </w:p>
              </w:tc>
              <w:tc>
                <w:tcPr>
                  <w:tcW w:w="1008" w:type="dxa"/>
                  <w:tcBorders>
                    <w:tl2br w:val="nil"/>
                    <w:tr2bl w:val="nil"/>
                  </w:tcBorders>
                  <w:noWrap w:val="0"/>
                  <w:vAlign w:val="center"/>
                </w:tcPr>
                <w:p w14:paraId="66919989">
                  <w:pPr>
                    <w:keepNext w:val="0"/>
                    <w:keepLines w:val="0"/>
                    <w:widowControl/>
                    <w:suppressLineNumbers w:val="0"/>
                    <w:jc w:val="center"/>
                    <w:textAlignment w:val="center"/>
                    <w:rPr>
                      <w:rFonts w:hint="default" w:ascii="Times New Roman" w:hAnsi="Times New Roman" w:eastAsia="宋体" w:cs="Times New Roman"/>
                      <w:b/>
                      <w:bCs/>
                      <w:snapToGrid/>
                      <w:color w:val="auto"/>
                      <w:kern w:val="2"/>
                      <w:sz w:val="21"/>
                      <w:szCs w:val="21"/>
                      <w:highlight w:val="none"/>
                      <w:lang w:eastAsia="zh-CN"/>
                    </w:rPr>
                  </w:pPr>
                  <w:r>
                    <w:rPr>
                      <w:rFonts w:hint="eastAsia" w:ascii="宋体" w:hAnsi="宋体" w:eastAsia="宋体" w:cs="宋体"/>
                      <w:b/>
                      <w:bCs/>
                      <w:i w:val="0"/>
                      <w:iCs w:val="0"/>
                      <w:color w:val="auto"/>
                      <w:kern w:val="0"/>
                      <w:sz w:val="21"/>
                      <w:szCs w:val="21"/>
                      <w:u w:val="none"/>
                      <w:lang w:val="en-US" w:eastAsia="zh-CN" w:bidi="ar"/>
                    </w:rPr>
                    <w:t>应对措施</w:t>
                  </w:r>
                </w:p>
              </w:tc>
            </w:tr>
            <w:tr w14:paraId="35450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restart"/>
                  <w:tcBorders>
                    <w:tl2br w:val="nil"/>
                    <w:tr2bl w:val="nil"/>
                  </w:tcBorders>
                  <w:noWrap w:val="0"/>
                  <w:vAlign w:val="center"/>
                </w:tcPr>
                <w:p w14:paraId="700F030A">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eastAsia" w:cs="Times New Roman"/>
                      <w:i w:val="0"/>
                      <w:iCs w:val="0"/>
                      <w:color w:val="auto"/>
                      <w:kern w:val="0"/>
                      <w:sz w:val="21"/>
                      <w:szCs w:val="21"/>
                      <w:u w:val="none"/>
                      <w:lang w:val="en-US" w:eastAsia="zh-CN" w:bidi="ar"/>
                    </w:rPr>
                    <w:t>1</w:t>
                  </w:r>
                </w:p>
              </w:tc>
              <w:tc>
                <w:tcPr>
                  <w:tcW w:w="934" w:type="dxa"/>
                  <w:vMerge w:val="restart"/>
                  <w:tcBorders>
                    <w:tl2br w:val="nil"/>
                    <w:tr2bl w:val="nil"/>
                  </w:tcBorders>
                  <w:noWrap w:val="0"/>
                  <w:vAlign w:val="center"/>
                </w:tcPr>
                <w:p w14:paraId="06D8FB1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DA001</w:t>
                  </w:r>
                  <w:r>
                    <w:rPr>
                      <w:rFonts w:hint="eastAsia" w:ascii="宋体" w:hAnsi="宋体" w:eastAsia="宋体" w:cs="宋体"/>
                      <w:i w:val="0"/>
                      <w:iCs w:val="0"/>
                      <w:color w:val="auto"/>
                      <w:kern w:val="0"/>
                      <w:sz w:val="21"/>
                      <w:szCs w:val="21"/>
                      <w:u w:val="none"/>
                      <w:lang w:val="en-US" w:eastAsia="zh-CN" w:bidi="ar"/>
                    </w:rPr>
                    <w:t>排气筒</w:t>
                  </w:r>
                </w:p>
              </w:tc>
              <w:tc>
                <w:tcPr>
                  <w:tcW w:w="1534" w:type="dxa"/>
                  <w:vMerge w:val="restart"/>
                  <w:tcBorders>
                    <w:tl2br w:val="nil"/>
                    <w:tr2bl w:val="nil"/>
                  </w:tcBorders>
                  <w:noWrap w:val="0"/>
                  <w:vAlign w:val="center"/>
                </w:tcPr>
                <w:p w14:paraId="764DCFB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废气设施失效</w:t>
                  </w:r>
                </w:p>
              </w:tc>
              <w:tc>
                <w:tcPr>
                  <w:tcW w:w="1093" w:type="dxa"/>
                  <w:tcBorders>
                    <w:tl2br w:val="nil"/>
                    <w:tr2bl w:val="nil"/>
                  </w:tcBorders>
                  <w:noWrap w:val="0"/>
                  <w:vAlign w:val="center"/>
                </w:tcPr>
                <w:p w14:paraId="5C4669C5">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颗粒物</w:t>
                  </w:r>
                </w:p>
              </w:tc>
              <w:tc>
                <w:tcPr>
                  <w:tcW w:w="1280" w:type="dxa"/>
                  <w:tcBorders>
                    <w:tl2br w:val="nil"/>
                    <w:tr2bl w:val="nil"/>
                  </w:tcBorders>
                  <w:noWrap w:val="0"/>
                  <w:vAlign w:val="center"/>
                </w:tcPr>
                <w:p w14:paraId="2E16475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6.5 </w:t>
                  </w:r>
                </w:p>
              </w:tc>
              <w:tc>
                <w:tcPr>
                  <w:tcW w:w="870" w:type="dxa"/>
                  <w:tcBorders>
                    <w:tl2br w:val="nil"/>
                    <w:tr2bl w:val="nil"/>
                  </w:tcBorders>
                  <w:noWrap w:val="0"/>
                  <w:vAlign w:val="center"/>
                </w:tcPr>
                <w:p w14:paraId="7A5098D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1.180 </w:t>
                  </w:r>
                </w:p>
              </w:tc>
              <w:tc>
                <w:tcPr>
                  <w:tcW w:w="660" w:type="dxa"/>
                  <w:vMerge w:val="restart"/>
                  <w:tcBorders>
                    <w:tl2br w:val="nil"/>
                    <w:tr2bl w:val="nil"/>
                  </w:tcBorders>
                  <w:noWrap w:val="0"/>
                  <w:vAlign w:val="center"/>
                </w:tcPr>
                <w:p w14:paraId="3BCF69F0">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1</w:t>
                  </w:r>
                </w:p>
              </w:tc>
              <w:tc>
                <w:tcPr>
                  <w:tcW w:w="599" w:type="dxa"/>
                  <w:vMerge w:val="restart"/>
                  <w:tcBorders>
                    <w:tl2br w:val="nil"/>
                    <w:tr2bl w:val="nil"/>
                  </w:tcBorders>
                  <w:noWrap w:val="0"/>
                  <w:vAlign w:val="center"/>
                </w:tcPr>
                <w:p w14:paraId="35FF2CFA">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08" w:type="dxa"/>
                  <w:vMerge w:val="restart"/>
                  <w:tcBorders>
                    <w:tl2br w:val="nil"/>
                    <w:tr2bl w:val="nil"/>
                  </w:tcBorders>
                  <w:noWrap w:val="0"/>
                  <w:vAlign w:val="center"/>
                </w:tcPr>
                <w:p w14:paraId="365FBDA1">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eastAsia" w:ascii="宋体" w:hAnsi="宋体" w:eastAsia="宋体" w:cs="宋体"/>
                      <w:i w:val="0"/>
                      <w:iCs w:val="0"/>
                      <w:color w:val="auto"/>
                      <w:kern w:val="0"/>
                      <w:sz w:val="21"/>
                      <w:szCs w:val="21"/>
                      <w:u w:val="none"/>
                      <w:lang w:val="en-US" w:eastAsia="zh-CN" w:bidi="ar"/>
                    </w:rPr>
                    <w:t>停止生产并修复处理设备</w:t>
                  </w:r>
                </w:p>
              </w:tc>
            </w:tr>
            <w:tr w14:paraId="242DDB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3A7A7FA8">
                  <w:pPr>
                    <w:jc w:val="center"/>
                    <w:rPr>
                      <w:rFonts w:hint="default" w:ascii="Times New Roman" w:hAnsi="Times New Roman" w:eastAsia="宋体" w:cs="Times New Roman"/>
                      <w:snapToGrid/>
                      <w:color w:val="auto"/>
                      <w:kern w:val="2"/>
                      <w:sz w:val="21"/>
                      <w:szCs w:val="21"/>
                      <w:highlight w:val="none"/>
                      <w:lang w:eastAsia="zh-CN"/>
                    </w:rPr>
                  </w:pPr>
                </w:p>
              </w:tc>
              <w:tc>
                <w:tcPr>
                  <w:tcW w:w="934" w:type="dxa"/>
                  <w:vMerge w:val="continue"/>
                  <w:tcBorders>
                    <w:tl2br w:val="nil"/>
                    <w:tr2bl w:val="nil"/>
                  </w:tcBorders>
                  <w:noWrap w:val="0"/>
                  <w:vAlign w:val="center"/>
                </w:tcPr>
                <w:p w14:paraId="4DC0535F">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534" w:type="dxa"/>
                  <w:vMerge w:val="continue"/>
                  <w:tcBorders>
                    <w:tl2br w:val="nil"/>
                    <w:tr2bl w:val="nil"/>
                  </w:tcBorders>
                  <w:noWrap w:val="0"/>
                  <w:vAlign w:val="center"/>
                </w:tcPr>
                <w:p w14:paraId="3E6435BD">
                  <w:pPr>
                    <w:jc w:val="center"/>
                    <w:rPr>
                      <w:rFonts w:hint="default" w:ascii="Times New Roman" w:hAnsi="Times New Roman" w:eastAsia="宋体" w:cs="Times New Roman"/>
                      <w:color w:val="auto"/>
                      <w:sz w:val="21"/>
                      <w:szCs w:val="21"/>
                      <w:highlight w:val="none"/>
                      <w:lang w:val="en-US" w:eastAsia="zh-CN"/>
                    </w:rPr>
                  </w:pPr>
                </w:p>
              </w:tc>
              <w:tc>
                <w:tcPr>
                  <w:tcW w:w="1093" w:type="dxa"/>
                  <w:tcBorders>
                    <w:tl2br w:val="nil"/>
                    <w:tr2bl w:val="nil"/>
                  </w:tcBorders>
                  <w:noWrap w:val="0"/>
                  <w:vAlign w:val="center"/>
                </w:tcPr>
                <w:p w14:paraId="1CFD683D">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非甲烷总烃</w:t>
                  </w:r>
                </w:p>
              </w:tc>
              <w:tc>
                <w:tcPr>
                  <w:tcW w:w="1280" w:type="dxa"/>
                  <w:tcBorders>
                    <w:tl2br w:val="nil"/>
                    <w:tr2bl w:val="nil"/>
                  </w:tcBorders>
                  <w:noWrap w:val="0"/>
                  <w:vAlign w:val="center"/>
                </w:tcPr>
                <w:p w14:paraId="09D7452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8.6 </w:t>
                  </w:r>
                </w:p>
              </w:tc>
              <w:tc>
                <w:tcPr>
                  <w:tcW w:w="870" w:type="dxa"/>
                  <w:tcBorders>
                    <w:tl2br w:val="nil"/>
                    <w:tr2bl w:val="nil"/>
                  </w:tcBorders>
                  <w:noWrap w:val="0"/>
                  <w:vAlign w:val="center"/>
                </w:tcPr>
                <w:p w14:paraId="5B92366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1.562 </w:t>
                  </w:r>
                </w:p>
              </w:tc>
              <w:tc>
                <w:tcPr>
                  <w:tcW w:w="660" w:type="dxa"/>
                  <w:vMerge w:val="continue"/>
                  <w:tcBorders>
                    <w:tl2br w:val="nil"/>
                    <w:tr2bl w:val="nil"/>
                  </w:tcBorders>
                  <w:noWrap w:val="0"/>
                  <w:vAlign w:val="center"/>
                </w:tcPr>
                <w:p w14:paraId="4B4515E1">
                  <w:pPr>
                    <w:jc w:val="center"/>
                    <w:rPr>
                      <w:rFonts w:hint="default" w:ascii="Times New Roman" w:hAnsi="Times New Roman" w:eastAsia="宋体" w:cs="Times New Roman"/>
                      <w:snapToGrid/>
                      <w:color w:val="auto"/>
                      <w:kern w:val="2"/>
                      <w:sz w:val="21"/>
                      <w:szCs w:val="21"/>
                      <w:highlight w:val="none"/>
                      <w:lang w:eastAsia="zh-CN"/>
                    </w:rPr>
                  </w:pPr>
                </w:p>
              </w:tc>
              <w:tc>
                <w:tcPr>
                  <w:tcW w:w="599" w:type="dxa"/>
                  <w:vMerge w:val="continue"/>
                  <w:tcBorders>
                    <w:tl2br w:val="nil"/>
                    <w:tr2bl w:val="nil"/>
                  </w:tcBorders>
                  <w:noWrap w:val="0"/>
                  <w:vAlign w:val="center"/>
                </w:tcPr>
                <w:p w14:paraId="0BE2E4A9">
                  <w:pPr>
                    <w:jc w:val="center"/>
                    <w:rPr>
                      <w:rFonts w:hint="default" w:ascii="Times New Roman" w:hAnsi="Times New Roman" w:eastAsia="宋体" w:cs="Times New Roman"/>
                      <w:snapToGrid/>
                      <w:color w:val="auto"/>
                      <w:kern w:val="2"/>
                      <w:sz w:val="21"/>
                      <w:szCs w:val="21"/>
                      <w:highlight w:val="none"/>
                      <w:lang w:eastAsia="zh-CN"/>
                    </w:rPr>
                  </w:pPr>
                </w:p>
              </w:tc>
              <w:tc>
                <w:tcPr>
                  <w:tcW w:w="1008" w:type="dxa"/>
                  <w:vMerge w:val="continue"/>
                  <w:tcBorders>
                    <w:tl2br w:val="nil"/>
                    <w:tr2bl w:val="nil"/>
                  </w:tcBorders>
                  <w:noWrap w:val="0"/>
                  <w:vAlign w:val="center"/>
                </w:tcPr>
                <w:p w14:paraId="5D1C6ACA">
                  <w:pPr>
                    <w:jc w:val="center"/>
                    <w:rPr>
                      <w:rFonts w:hint="default" w:ascii="Times New Roman" w:hAnsi="Times New Roman" w:eastAsia="宋体" w:cs="Times New Roman"/>
                      <w:snapToGrid/>
                      <w:color w:val="auto"/>
                      <w:kern w:val="2"/>
                      <w:sz w:val="21"/>
                      <w:szCs w:val="21"/>
                      <w:highlight w:val="none"/>
                      <w:lang w:eastAsia="zh-CN"/>
                    </w:rPr>
                  </w:pPr>
                </w:p>
              </w:tc>
            </w:tr>
            <w:tr w14:paraId="4B4E3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31054050">
                  <w:pPr>
                    <w:jc w:val="center"/>
                    <w:rPr>
                      <w:rFonts w:hint="default" w:ascii="Times New Roman" w:hAnsi="Times New Roman" w:eastAsia="宋体" w:cs="Times New Roman"/>
                      <w:snapToGrid/>
                      <w:color w:val="auto"/>
                      <w:kern w:val="2"/>
                      <w:sz w:val="21"/>
                      <w:szCs w:val="21"/>
                      <w:highlight w:val="none"/>
                      <w:lang w:eastAsia="zh-CN"/>
                    </w:rPr>
                  </w:pPr>
                </w:p>
              </w:tc>
              <w:tc>
                <w:tcPr>
                  <w:tcW w:w="934" w:type="dxa"/>
                  <w:vMerge w:val="continue"/>
                  <w:tcBorders>
                    <w:tl2br w:val="nil"/>
                    <w:tr2bl w:val="nil"/>
                  </w:tcBorders>
                  <w:noWrap w:val="0"/>
                  <w:vAlign w:val="center"/>
                </w:tcPr>
                <w:p w14:paraId="0864DAB5">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534" w:type="dxa"/>
                  <w:vMerge w:val="continue"/>
                  <w:tcBorders>
                    <w:tl2br w:val="nil"/>
                    <w:tr2bl w:val="nil"/>
                  </w:tcBorders>
                  <w:noWrap w:val="0"/>
                  <w:vAlign w:val="center"/>
                </w:tcPr>
                <w:p w14:paraId="0A09DDBE">
                  <w:pPr>
                    <w:jc w:val="center"/>
                    <w:rPr>
                      <w:rFonts w:hint="default" w:ascii="Times New Roman" w:hAnsi="Times New Roman" w:eastAsia="宋体" w:cs="Times New Roman"/>
                      <w:color w:val="auto"/>
                      <w:sz w:val="21"/>
                      <w:szCs w:val="21"/>
                      <w:highlight w:val="none"/>
                      <w:lang w:val="en-US" w:eastAsia="zh-CN"/>
                    </w:rPr>
                  </w:pPr>
                </w:p>
              </w:tc>
              <w:tc>
                <w:tcPr>
                  <w:tcW w:w="1093" w:type="dxa"/>
                  <w:tcBorders>
                    <w:tl2br w:val="nil"/>
                    <w:tr2bl w:val="nil"/>
                  </w:tcBorders>
                  <w:shd w:val="clear" w:color="auto" w:fill="auto"/>
                  <w:noWrap w:val="0"/>
                  <w:vAlign w:val="center"/>
                </w:tcPr>
                <w:p w14:paraId="0927E60D">
                  <w:pPr>
                    <w:keepNext w:val="0"/>
                    <w:keepLines w:val="0"/>
                    <w:widowControl/>
                    <w:suppressLineNumbers w:val="0"/>
                    <w:jc w:val="center"/>
                    <w:textAlignment w:val="center"/>
                    <w:rPr>
                      <w:rFonts w:hint="eastAsia" w:ascii="Times New Roman" w:hAnsi="Times New Roman" w:eastAsia="宋体" w:cs="Times New Roman"/>
                      <w:snapToGrid/>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苯系物</w:t>
                  </w:r>
                </w:p>
              </w:tc>
              <w:tc>
                <w:tcPr>
                  <w:tcW w:w="1280" w:type="dxa"/>
                  <w:tcBorders>
                    <w:tl2br w:val="nil"/>
                    <w:tr2bl w:val="nil"/>
                  </w:tcBorders>
                  <w:shd w:val="clear" w:color="auto" w:fill="auto"/>
                  <w:noWrap w:val="0"/>
                  <w:vAlign w:val="center"/>
                </w:tcPr>
                <w:p w14:paraId="4E0A3A3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4.3 </w:t>
                  </w:r>
                </w:p>
              </w:tc>
              <w:tc>
                <w:tcPr>
                  <w:tcW w:w="870" w:type="dxa"/>
                  <w:tcBorders>
                    <w:tl2br w:val="nil"/>
                    <w:tr2bl w:val="nil"/>
                  </w:tcBorders>
                  <w:shd w:val="clear" w:color="auto" w:fill="auto"/>
                  <w:noWrap w:val="0"/>
                  <w:vAlign w:val="center"/>
                </w:tcPr>
                <w:p w14:paraId="670E0E4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0.777 </w:t>
                  </w:r>
                </w:p>
              </w:tc>
              <w:tc>
                <w:tcPr>
                  <w:tcW w:w="660" w:type="dxa"/>
                  <w:vMerge w:val="continue"/>
                  <w:tcBorders>
                    <w:tl2br w:val="nil"/>
                    <w:tr2bl w:val="nil"/>
                  </w:tcBorders>
                  <w:noWrap w:val="0"/>
                  <w:vAlign w:val="center"/>
                </w:tcPr>
                <w:p w14:paraId="5BF37F46">
                  <w:pPr>
                    <w:jc w:val="center"/>
                    <w:rPr>
                      <w:rFonts w:hint="default" w:ascii="Times New Roman" w:hAnsi="Times New Roman" w:eastAsia="宋体" w:cs="Times New Roman"/>
                      <w:snapToGrid/>
                      <w:color w:val="auto"/>
                      <w:kern w:val="2"/>
                      <w:sz w:val="21"/>
                      <w:szCs w:val="21"/>
                      <w:highlight w:val="none"/>
                      <w:lang w:eastAsia="zh-CN"/>
                    </w:rPr>
                  </w:pPr>
                </w:p>
              </w:tc>
              <w:tc>
                <w:tcPr>
                  <w:tcW w:w="599" w:type="dxa"/>
                  <w:vMerge w:val="continue"/>
                  <w:tcBorders>
                    <w:tl2br w:val="nil"/>
                    <w:tr2bl w:val="nil"/>
                  </w:tcBorders>
                  <w:noWrap w:val="0"/>
                  <w:vAlign w:val="center"/>
                </w:tcPr>
                <w:p w14:paraId="57401444">
                  <w:pPr>
                    <w:jc w:val="center"/>
                    <w:rPr>
                      <w:rFonts w:hint="default" w:ascii="Times New Roman" w:hAnsi="Times New Roman" w:eastAsia="宋体" w:cs="Times New Roman"/>
                      <w:snapToGrid/>
                      <w:color w:val="auto"/>
                      <w:kern w:val="2"/>
                      <w:sz w:val="21"/>
                      <w:szCs w:val="21"/>
                      <w:highlight w:val="none"/>
                      <w:lang w:eastAsia="zh-CN"/>
                    </w:rPr>
                  </w:pPr>
                </w:p>
              </w:tc>
              <w:tc>
                <w:tcPr>
                  <w:tcW w:w="1008" w:type="dxa"/>
                  <w:vMerge w:val="continue"/>
                  <w:tcBorders>
                    <w:tl2br w:val="nil"/>
                    <w:tr2bl w:val="nil"/>
                  </w:tcBorders>
                  <w:noWrap w:val="0"/>
                  <w:vAlign w:val="center"/>
                </w:tcPr>
                <w:p w14:paraId="6DD1EAFD">
                  <w:pPr>
                    <w:jc w:val="center"/>
                    <w:rPr>
                      <w:rFonts w:hint="default" w:ascii="Times New Roman" w:hAnsi="Times New Roman" w:eastAsia="宋体" w:cs="Times New Roman"/>
                      <w:snapToGrid/>
                      <w:color w:val="auto"/>
                      <w:kern w:val="2"/>
                      <w:sz w:val="21"/>
                      <w:szCs w:val="21"/>
                      <w:highlight w:val="none"/>
                      <w:lang w:eastAsia="zh-CN"/>
                    </w:rPr>
                  </w:pPr>
                </w:p>
              </w:tc>
            </w:tr>
            <w:tr w14:paraId="64D69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4B33FFFC">
                  <w:pPr>
                    <w:jc w:val="center"/>
                    <w:rPr>
                      <w:rFonts w:hint="default" w:ascii="Times New Roman" w:hAnsi="Times New Roman" w:eastAsia="宋体" w:cs="Times New Roman"/>
                      <w:snapToGrid/>
                      <w:color w:val="auto"/>
                      <w:kern w:val="2"/>
                      <w:sz w:val="21"/>
                      <w:szCs w:val="21"/>
                      <w:highlight w:val="none"/>
                      <w:lang w:eastAsia="zh-CN"/>
                    </w:rPr>
                  </w:pPr>
                </w:p>
              </w:tc>
              <w:tc>
                <w:tcPr>
                  <w:tcW w:w="934" w:type="dxa"/>
                  <w:vMerge w:val="continue"/>
                  <w:tcBorders>
                    <w:tl2br w:val="nil"/>
                    <w:tr2bl w:val="nil"/>
                  </w:tcBorders>
                  <w:noWrap w:val="0"/>
                  <w:vAlign w:val="center"/>
                </w:tcPr>
                <w:p w14:paraId="25866ACB">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534" w:type="dxa"/>
                  <w:vMerge w:val="continue"/>
                  <w:tcBorders>
                    <w:tl2br w:val="nil"/>
                    <w:tr2bl w:val="nil"/>
                  </w:tcBorders>
                  <w:noWrap w:val="0"/>
                  <w:vAlign w:val="center"/>
                </w:tcPr>
                <w:p w14:paraId="7FE8C730">
                  <w:pPr>
                    <w:jc w:val="center"/>
                    <w:rPr>
                      <w:rFonts w:hint="default" w:ascii="Times New Roman" w:hAnsi="Times New Roman" w:eastAsia="宋体" w:cs="Times New Roman"/>
                      <w:color w:val="auto"/>
                      <w:sz w:val="21"/>
                      <w:szCs w:val="21"/>
                      <w:highlight w:val="none"/>
                      <w:lang w:val="en-US" w:eastAsia="zh-CN"/>
                    </w:rPr>
                  </w:pPr>
                </w:p>
              </w:tc>
              <w:tc>
                <w:tcPr>
                  <w:tcW w:w="1093" w:type="dxa"/>
                  <w:tcBorders>
                    <w:tl2br w:val="nil"/>
                    <w:tr2bl w:val="nil"/>
                  </w:tcBorders>
                  <w:noWrap w:val="0"/>
                  <w:vAlign w:val="center"/>
                </w:tcPr>
                <w:p w14:paraId="7C294DE9">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臭气浓度</w:t>
                  </w:r>
                </w:p>
              </w:tc>
              <w:tc>
                <w:tcPr>
                  <w:tcW w:w="1280" w:type="dxa"/>
                  <w:tcBorders>
                    <w:tl2br w:val="nil"/>
                    <w:tr2bl w:val="nil"/>
                  </w:tcBorders>
                  <w:noWrap w:val="0"/>
                  <w:vAlign w:val="center"/>
                </w:tcPr>
                <w:p w14:paraId="0504D8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870" w:type="dxa"/>
                  <w:tcBorders>
                    <w:tl2br w:val="nil"/>
                    <w:tr2bl w:val="nil"/>
                  </w:tcBorders>
                  <w:noWrap w:val="0"/>
                  <w:vAlign w:val="center"/>
                </w:tcPr>
                <w:p w14:paraId="57DDE2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660" w:type="dxa"/>
                  <w:vMerge w:val="continue"/>
                  <w:tcBorders>
                    <w:tl2br w:val="nil"/>
                    <w:tr2bl w:val="nil"/>
                  </w:tcBorders>
                  <w:noWrap w:val="0"/>
                  <w:vAlign w:val="center"/>
                </w:tcPr>
                <w:p w14:paraId="6C976287">
                  <w:pPr>
                    <w:jc w:val="center"/>
                    <w:rPr>
                      <w:rFonts w:hint="default" w:ascii="Times New Roman" w:hAnsi="Times New Roman" w:eastAsia="宋体" w:cs="Times New Roman"/>
                      <w:snapToGrid/>
                      <w:color w:val="auto"/>
                      <w:kern w:val="2"/>
                      <w:sz w:val="21"/>
                      <w:szCs w:val="21"/>
                      <w:highlight w:val="none"/>
                      <w:lang w:eastAsia="zh-CN"/>
                    </w:rPr>
                  </w:pPr>
                </w:p>
              </w:tc>
              <w:tc>
                <w:tcPr>
                  <w:tcW w:w="599" w:type="dxa"/>
                  <w:vMerge w:val="continue"/>
                  <w:tcBorders>
                    <w:tl2br w:val="nil"/>
                    <w:tr2bl w:val="nil"/>
                  </w:tcBorders>
                  <w:noWrap w:val="0"/>
                  <w:vAlign w:val="center"/>
                </w:tcPr>
                <w:p w14:paraId="3DE0A12F">
                  <w:pPr>
                    <w:jc w:val="center"/>
                    <w:rPr>
                      <w:rFonts w:hint="default" w:ascii="Times New Roman" w:hAnsi="Times New Roman" w:eastAsia="宋体" w:cs="Times New Roman"/>
                      <w:snapToGrid/>
                      <w:color w:val="auto"/>
                      <w:kern w:val="2"/>
                      <w:sz w:val="21"/>
                      <w:szCs w:val="21"/>
                      <w:highlight w:val="none"/>
                      <w:lang w:eastAsia="zh-CN"/>
                    </w:rPr>
                  </w:pPr>
                </w:p>
              </w:tc>
              <w:tc>
                <w:tcPr>
                  <w:tcW w:w="1008" w:type="dxa"/>
                  <w:vMerge w:val="continue"/>
                  <w:tcBorders>
                    <w:tl2br w:val="nil"/>
                    <w:tr2bl w:val="nil"/>
                  </w:tcBorders>
                  <w:noWrap w:val="0"/>
                  <w:vAlign w:val="center"/>
                </w:tcPr>
                <w:p w14:paraId="6D02B071">
                  <w:pPr>
                    <w:jc w:val="center"/>
                    <w:rPr>
                      <w:rFonts w:hint="default" w:ascii="Times New Roman" w:hAnsi="Times New Roman" w:eastAsia="宋体" w:cs="Times New Roman"/>
                      <w:snapToGrid/>
                      <w:color w:val="auto"/>
                      <w:kern w:val="2"/>
                      <w:sz w:val="21"/>
                      <w:szCs w:val="21"/>
                      <w:highlight w:val="none"/>
                      <w:lang w:eastAsia="zh-CN"/>
                    </w:rPr>
                  </w:pPr>
                </w:p>
              </w:tc>
            </w:tr>
            <w:tr w14:paraId="03707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restart"/>
                  <w:tcBorders>
                    <w:tl2br w:val="nil"/>
                    <w:tr2bl w:val="nil"/>
                  </w:tcBorders>
                  <w:noWrap w:val="0"/>
                  <w:vAlign w:val="center"/>
                </w:tcPr>
                <w:p w14:paraId="3E440CF0">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eastAsia" w:cs="Times New Roman"/>
                      <w:i w:val="0"/>
                      <w:iCs w:val="0"/>
                      <w:color w:val="auto"/>
                      <w:kern w:val="0"/>
                      <w:sz w:val="21"/>
                      <w:szCs w:val="21"/>
                      <w:u w:val="none"/>
                      <w:lang w:val="en-US" w:eastAsia="zh-CN" w:bidi="ar"/>
                    </w:rPr>
                    <w:t>2</w:t>
                  </w:r>
                </w:p>
              </w:tc>
              <w:tc>
                <w:tcPr>
                  <w:tcW w:w="934" w:type="dxa"/>
                  <w:vMerge w:val="restart"/>
                  <w:tcBorders>
                    <w:tl2br w:val="nil"/>
                    <w:tr2bl w:val="nil"/>
                  </w:tcBorders>
                  <w:noWrap w:val="0"/>
                  <w:vAlign w:val="center"/>
                </w:tcPr>
                <w:p w14:paraId="64796C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DA002</w:t>
                  </w:r>
                  <w:r>
                    <w:rPr>
                      <w:rFonts w:hint="eastAsia" w:ascii="宋体" w:hAnsi="宋体" w:eastAsia="宋体" w:cs="宋体"/>
                      <w:i w:val="0"/>
                      <w:iCs w:val="0"/>
                      <w:color w:val="auto"/>
                      <w:kern w:val="0"/>
                      <w:sz w:val="21"/>
                      <w:szCs w:val="21"/>
                      <w:u w:val="none"/>
                      <w:lang w:val="en-US" w:eastAsia="zh-CN" w:bidi="ar"/>
                    </w:rPr>
                    <w:t>排气筒</w:t>
                  </w:r>
                </w:p>
              </w:tc>
              <w:tc>
                <w:tcPr>
                  <w:tcW w:w="1534" w:type="dxa"/>
                  <w:vMerge w:val="restart"/>
                  <w:tcBorders>
                    <w:tl2br w:val="nil"/>
                    <w:tr2bl w:val="nil"/>
                  </w:tcBorders>
                  <w:noWrap w:val="0"/>
                  <w:vAlign w:val="center"/>
                </w:tcPr>
                <w:p w14:paraId="181DCFC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废气设施失效</w:t>
                  </w:r>
                </w:p>
              </w:tc>
              <w:tc>
                <w:tcPr>
                  <w:tcW w:w="1093" w:type="dxa"/>
                  <w:tcBorders>
                    <w:tl2br w:val="nil"/>
                    <w:tr2bl w:val="nil"/>
                  </w:tcBorders>
                  <w:noWrap w:val="0"/>
                  <w:vAlign w:val="center"/>
                </w:tcPr>
                <w:p w14:paraId="33027167">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非甲烷总烃</w:t>
                  </w:r>
                </w:p>
              </w:tc>
              <w:tc>
                <w:tcPr>
                  <w:tcW w:w="1280" w:type="dxa"/>
                  <w:tcBorders>
                    <w:tl2br w:val="nil"/>
                    <w:tr2bl w:val="nil"/>
                  </w:tcBorders>
                  <w:noWrap w:val="0"/>
                  <w:vAlign w:val="center"/>
                </w:tcPr>
                <w:p w14:paraId="7C65058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4.4 </w:t>
                  </w:r>
                </w:p>
              </w:tc>
              <w:tc>
                <w:tcPr>
                  <w:tcW w:w="870" w:type="dxa"/>
                  <w:tcBorders>
                    <w:tl2br w:val="nil"/>
                    <w:tr2bl w:val="nil"/>
                  </w:tcBorders>
                  <w:noWrap w:val="0"/>
                  <w:vAlign w:val="center"/>
                </w:tcPr>
                <w:p w14:paraId="339028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0.175 </w:t>
                  </w:r>
                </w:p>
              </w:tc>
              <w:tc>
                <w:tcPr>
                  <w:tcW w:w="660" w:type="dxa"/>
                  <w:vMerge w:val="restart"/>
                  <w:tcBorders>
                    <w:tl2br w:val="nil"/>
                    <w:tr2bl w:val="nil"/>
                  </w:tcBorders>
                  <w:noWrap w:val="0"/>
                  <w:vAlign w:val="center"/>
                </w:tcPr>
                <w:p w14:paraId="34FD44C2">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1</w:t>
                  </w:r>
                </w:p>
              </w:tc>
              <w:tc>
                <w:tcPr>
                  <w:tcW w:w="599" w:type="dxa"/>
                  <w:vMerge w:val="restart"/>
                  <w:tcBorders>
                    <w:tl2br w:val="nil"/>
                    <w:tr2bl w:val="nil"/>
                  </w:tcBorders>
                  <w:noWrap w:val="0"/>
                  <w:vAlign w:val="center"/>
                </w:tcPr>
                <w:p w14:paraId="6BF845EE">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i w:val="0"/>
                      <w:iCs w:val="0"/>
                      <w:color w:val="auto"/>
                      <w:kern w:val="0"/>
                      <w:sz w:val="21"/>
                      <w:szCs w:val="21"/>
                      <w:u w:val="none"/>
                      <w:lang w:val="en-US" w:eastAsia="zh-CN" w:bidi="ar"/>
                    </w:rPr>
                    <w:t>1</w:t>
                  </w:r>
                </w:p>
              </w:tc>
              <w:tc>
                <w:tcPr>
                  <w:tcW w:w="1008" w:type="dxa"/>
                  <w:vMerge w:val="restart"/>
                  <w:tcBorders>
                    <w:tl2br w:val="nil"/>
                    <w:tr2bl w:val="nil"/>
                  </w:tcBorders>
                  <w:noWrap w:val="0"/>
                  <w:vAlign w:val="center"/>
                </w:tcPr>
                <w:p w14:paraId="299E1EEC">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eastAsia="zh-CN"/>
                    </w:rPr>
                  </w:pPr>
                  <w:r>
                    <w:rPr>
                      <w:rFonts w:hint="eastAsia" w:ascii="宋体" w:hAnsi="宋体" w:eastAsia="宋体" w:cs="宋体"/>
                      <w:i w:val="0"/>
                      <w:iCs w:val="0"/>
                      <w:color w:val="auto"/>
                      <w:kern w:val="0"/>
                      <w:sz w:val="21"/>
                      <w:szCs w:val="21"/>
                      <w:u w:val="none"/>
                      <w:lang w:val="en-US" w:eastAsia="zh-CN" w:bidi="ar"/>
                    </w:rPr>
                    <w:t>停止生产并修复处理设备</w:t>
                  </w:r>
                </w:p>
              </w:tc>
            </w:tr>
            <w:tr w14:paraId="1F0E3C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53906C57">
                  <w:pPr>
                    <w:jc w:val="center"/>
                    <w:rPr>
                      <w:rFonts w:hint="eastAsia" w:ascii="Times New Roman" w:hAnsi="Times New Roman" w:eastAsia="宋体" w:cs="Times New Roman"/>
                      <w:snapToGrid/>
                      <w:color w:val="auto"/>
                      <w:kern w:val="2"/>
                      <w:sz w:val="21"/>
                      <w:szCs w:val="21"/>
                      <w:lang w:val="en-US" w:eastAsia="zh-CN"/>
                    </w:rPr>
                  </w:pPr>
                </w:p>
              </w:tc>
              <w:tc>
                <w:tcPr>
                  <w:tcW w:w="934" w:type="dxa"/>
                  <w:vMerge w:val="continue"/>
                  <w:tcBorders>
                    <w:tl2br w:val="nil"/>
                    <w:tr2bl w:val="nil"/>
                  </w:tcBorders>
                  <w:noWrap w:val="0"/>
                  <w:vAlign w:val="center"/>
                </w:tcPr>
                <w:p w14:paraId="36779F39">
                  <w:pPr>
                    <w:jc w:val="center"/>
                    <w:rPr>
                      <w:rFonts w:hint="eastAsia" w:ascii="Times New Roman" w:hAnsi="Times New Roman" w:eastAsia="宋体" w:cs="Times New Roman"/>
                      <w:i w:val="0"/>
                      <w:iCs w:val="0"/>
                      <w:color w:val="auto"/>
                      <w:kern w:val="0"/>
                      <w:sz w:val="21"/>
                      <w:szCs w:val="21"/>
                      <w:u w:val="none"/>
                      <w:lang w:val="en-US" w:eastAsia="zh-CN" w:bidi="ar"/>
                    </w:rPr>
                  </w:pPr>
                </w:p>
              </w:tc>
              <w:tc>
                <w:tcPr>
                  <w:tcW w:w="1534" w:type="dxa"/>
                  <w:vMerge w:val="continue"/>
                  <w:tcBorders>
                    <w:tl2br w:val="nil"/>
                    <w:tr2bl w:val="nil"/>
                  </w:tcBorders>
                  <w:noWrap w:val="0"/>
                  <w:vAlign w:val="center"/>
                </w:tcPr>
                <w:p w14:paraId="31327884">
                  <w:pPr>
                    <w:jc w:val="center"/>
                    <w:rPr>
                      <w:rFonts w:hint="eastAsia" w:ascii="Times New Roman" w:hAnsi="Times New Roman" w:eastAsia="宋体" w:cs="Times New Roman"/>
                      <w:color w:val="auto"/>
                      <w:sz w:val="21"/>
                      <w:szCs w:val="21"/>
                      <w:lang w:val="en-US" w:eastAsia="zh-CN"/>
                    </w:rPr>
                  </w:pPr>
                </w:p>
              </w:tc>
              <w:tc>
                <w:tcPr>
                  <w:tcW w:w="1093" w:type="dxa"/>
                  <w:tcBorders>
                    <w:tl2br w:val="nil"/>
                    <w:tr2bl w:val="nil"/>
                  </w:tcBorders>
                  <w:noWrap w:val="0"/>
                  <w:vAlign w:val="center"/>
                </w:tcPr>
                <w:p w14:paraId="63103F1C">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lang w:val="en-US" w:eastAsia="zh-CN"/>
                    </w:rPr>
                  </w:pPr>
                  <w:r>
                    <w:rPr>
                      <w:rFonts w:hint="eastAsia" w:ascii="宋体" w:hAnsi="宋体" w:eastAsia="宋体" w:cs="宋体"/>
                      <w:i w:val="0"/>
                      <w:iCs w:val="0"/>
                      <w:color w:val="auto"/>
                      <w:kern w:val="0"/>
                      <w:sz w:val="21"/>
                      <w:szCs w:val="21"/>
                      <w:u w:val="none"/>
                      <w:lang w:val="en-US" w:eastAsia="zh-CN" w:bidi="ar"/>
                    </w:rPr>
                    <w:t>苯系物</w:t>
                  </w:r>
                </w:p>
              </w:tc>
              <w:tc>
                <w:tcPr>
                  <w:tcW w:w="1280" w:type="dxa"/>
                  <w:tcBorders>
                    <w:tl2br w:val="nil"/>
                    <w:tr2bl w:val="nil"/>
                  </w:tcBorders>
                  <w:noWrap w:val="0"/>
                  <w:vAlign w:val="center"/>
                </w:tcPr>
                <w:p w14:paraId="01BA2254">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1.1 </w:t>
                  </w:r>
                </w:p>
              </w:tc>
              <w:tc>
                <w:tcPr>
                  <w:tcW w:w="870" w:type="dxa"/>
                  <w:tcBorders>
                    <w:tl2br w:val="nil"/>
                    <w:tr2bl w:val="nil"/>
                  </w:tcBorders>
                  <w:noWrap w:val="0"/>
                  <w:vAlign w:val="center"/>
                </w:tcPr>
                <w:p w14:paraId="67A58D11">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0.043 </w:t>
                  </w:r>
                </w:p>
              </w:tc>
              <w:tc>
                <w:tcPr>
                  <w:tcW w:w="660" w:type="dxa"/>
                  <w:vMerge w:val="continue"/>
                  <w:tcBorders>
                    <w:tl2br w:val="nil"/>
                    <w:tr2bl w:val="nil"/>
                  </w:tcBorders>
                  <w:noWrap w:val="0"/>
                  <w:vAlign w:val="center"/>
                </w:tcPr>
                <w:p w14:paraId="351795D9">
                  <w:pPr>
                    <w:jc w:val="center"/>
                    <w:rPr>
                      <w:rFonts w:hint="default" w:ascii="Times New Roman" w:hAnsi="Times New Roman" w:eastAsia="宋体" w:cs="Times New Roman"/>
                      <w:snapToGrid/>
                      <w:color w:val="auto"/>
                      <w:kern w:val="2"/>
                      <w:sz w:val="21"/>
                      <w:szCs w:val="21"/>
                      <w:lang w:eastAsia="zh-CN"/>
                    </w:rPr>
                  </w:pPr>
                </w:p>
              </w:tc>
              <w:tc>
                <w:tcPr>
                  <w:tcW w:w="599" w:type="dxa"/>
                  <w:vMerge w:val="continue"/>
                  <w:tcBorders>
                    <w:tl2br w:val="nil"/>
                    <w:tr2bl w:val="nil"/>
                  </w:tcBorders>
                  <w:noWrap w:val="0"/>
                  <w:vAlign w:val="center"/>
                </w:tcPr>
                <w:p w14:paraId="1A191914">
                  <w:pPr>
                    <w:jc w:val="center"/>
                    <w:rPr>
                      <w:rFonts w:hint="eastAsia" w:ascii="Times New Roman" w:hAnsi="Times New Roman" w:eastAsia="宋体" w:cs="Times New Roman"/>
                      <w:snapToGrid/>
                      <w:color w:val="auto"/>
                      <w:kern w:val="2"/>
                      <w:sz w:val="21"/>
                      <w:szCs w:val="21"/>
                      <w:lang w:val="en-US" w:eastAsia="zh-CN"/>
                    </w:rPr>
                  </w:pPr>
                </w:p>
              </w:tc>
              <w:tc>
                <w:tcPr>
                  <w:tcW w:w="1008" w:type="dxa"/>
                  <w:vMerge w:val="continue"/>
                  <w:tcBorders>
                    <w:tl2br w:val="nil"/>
                    <w:tr2bl w:val="nil"/>
                  </w:tcBorders>
                  <w:noWrap w:val="0"/>
                  <w:vAlign w:val="center"/>
                </w:tcPr>
                <w:p w14:paraId="2D6DC92E">
                  <w:pPr>
                    <w:jc w:val="center"/>
                    <w:rPr>
                      <w:rFonts w:hint="default" w:ascii="Times New Roman" w:hAnsi="Times New Roman" w:eastAsia="宋体" w:cs="Times New Roman"/>
                      <w:snapToGrid/>
                      <w:color w:val="auto"/>
                      <w:kern w:val="2"/>
                      <w:sz w:val="21"/>
                      <w:szCs w:val="21"/>
                      <w:lang w:eastAsia="zh-CN"/>
                    </w:rPr>
                  </w:pPr>
                </w:p>
              </w:tc>
            </w:tr>
            <w:tr w14:paraId="345B1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vMerge w:val="continue"/>
                  <w:tcBorders>
                    <w:tl2br w:val="nil"/>
                    <w:tr2bl w:val="nil"/>
                  </w:tcBorders>
                  <w:noWrap w:val="0"/>
                  <w:vAlign w:val="center"/>
                </w:tcPr>
                <w:p w14:paraId="68712EB2">
                  <w:pPr>
                    <w:jc w:val="center"/>
                    <w:rPr>
                      <w:rFonts w:hint="default" w:ascii="Times New Roman" w:hAnsi="Times New Roman" w:eastAsia="宋体" w:cs="Times New Roman"/>
                      <w:snapToGrid/>
                      <w:color w:val="auto"/>
                      <w:kern w:val="2"/>
                      <w:sz w:val="21"/>
                      <w:szCs w:val="21"/>
                      <w:highlight w:val="none"/>
                      <w:lang w:eastAsia="zh-CN"/>
                    </w:rPr>
                  </w:pPr>
                </w:p>
              </w:tc>
              <w:tc>
                <w:tcPr>
                  <w:tcW w:w="934" w:type="dxa"/>
                  <w:vMerge w:val="continue"/>
                  <w:tcBorders>
                    <w:tl2br w:val="nil"/>
                    <w:tr2bl w:val="nil"/>
                  </w:tcBorders>
                  <w:noWrap w:val="0"/>
                  <w:vAlign w:val="center"/>
                </w:tcPr>
                <w:p w14:paraId="203F7ED1">
                  <w:pPr>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534" w:type="dxa"/>
                  <w:vMerge w:val="continue"/>
                  <w:tcBorders>
                    <w:tl2br w:val="nil"/>
                    <w:tr2bl w:val="nil"/>
                  </w:tcBorders>
                  <w:noWrap w:val="0"/>
                  <w:vAlign w:val="center"/>
                </w:tcPr>
                <w:p w14:paraId="3E1783F8">
                  <w:pPr>
                    <w:jc w:val="center"/>
                    <w:rPr>
                      <w:rFonts w:hint="default" w:ascii="Times New Roman" w:hAnsi="Times New Roman" w:eastAsia="宋体" w:cs="Times New Roman"/>
                      <w:color w:val="auto"/>
                      <w:sz w:val="21"/>
                      <w:szCs w:val="21"/>
                      <w:highlight w:val="none"/>
                      <w:lang w:val="en-US" w:eastAsia="zh-CN"/>
                    </w:rPr>
                  </w:pPr>
                </w:p>
              </w:tc>
              <w:tc>
                <w:tcPr>
                  <w:tcW w:w="1093" w:type="dxa"/>
                  <w:tcBorders>
                    <w:tl2br w:val="nil"/>
                    <w:tr2bl w:val="nil"/>
                  </w:tcBorders>
                  <w:noWrap w:val="0"/>
                  <w:vAlign w:val="center"/>
                </w:tcPr>
                <w:p w14:paraId="3212058A">
                  <w:pPr>
                    <w:keepNext w:val="0"/>
                    <w:keepLines w:val="0"/>
                    <w:widowControl/>
                    <w:suppressLineNumbers w:val="0"/>
                    <w:jc w:val="center"/>
                    <w:textAlignment w:val="center"/>
                    <w:rPr>
                      <w:rFonts w:hint="default" w:ascii="Times New Roman" w:hAnsi="Times New Roman" w:eastAsia="宋体" w:cs="Times New Roman"/>
                      <w:snapToGrid/>
                      <w:color w:val="auto"/>
                      <w:kern w:val="2"/>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臭气浓度</w:t>
                  </w:r>
                </w:p>
              </w:tc>
              <w:tc>
                <w:tcPr>
                  <w:tcW w:w="1280" w:type="dxa"/>
                  <w:tcBorders>
                    <w:tl2br w:val="nil"/>
                    <w:tr2bl w:val="nil"/>
                  </w:tcBorders>
                  <w:noWrap w:val="0"/>
                  <w:vAlign w:val="center"/>
                </w:tcPr>
                <w:p w14:paraId="4651BE3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6.5 </w:t>
                  </w:r>
                </w:p>
              </w:tc>
              <w:tc>
                <w:tcPr>
                  <w:tcW w:w="870" w:type="dxa"/>
                  <w:tcBorders>
                    <w:tl2br w:val="nil"/>
                    <w:tr2bl w:val="nil"/>
                  </w:tcBorders>
                  <w:noWrap w:val="0"/>
                  <w:vAlign w:val="center"/>
                </w:tcPr>
                <w:p w14:paraId="51AB3AE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1.180 </w:t>
                  </w:r>
                </w:p>
              </w:tc>
              <w:tc>
                <w:tcPr>
                  <w:tcW w:w="660" w:type="dxa"/>
                  <w:vMerge w:val="continue"/>
                  <w:tcBorders>
                    <w:tl2br w:val="nil"/>
                    <w:tr2bl w:val="nil"/>
                  </w:tcBorders>
                  <w:noWrap w:val="0"/>
                  <w:vAlign w:val="center"/>
                </w:tcPr>
                <w:p w14:paraId="33CBB98A">
                  <w:pPr>
                    <w:jc w:val="center"/>
                    <w:rPr>
                      <w:rFonts w:hint="default" w:ascii="Times New Roman" w:hAnsi="Times New Roman" w:eastAsia="宋体" w:cs="Times New Roman"/>
                      <w:snapToGrid/>
                      <w:color w:val="auto"/>
                      <w:kern w:val="2"/>
                      <w:sz w:val="21"/>
                      <w:szCs w:val="21"/>
                      <w:highlight w:val="none"/>
                      <w:lang w:eastAsia="zh-CN"/>
                    </w:rPr>
                  </w:pPr>
                </w:p>
              </w:tc>
              <w:tc>
                <w:tcPr>
                  <w:tcW w:w="599" w:type="dxa"/>
                  <w:vMerge w:val="continue"/>
                  <w:tcBorders>
                    <w:tl2br w:val="nil"/>
                    <w:tr2bl w:val="nil"/>
                  </w:tcBorders>
                  <w:noWrap w:val="0"/>
                  <w:vAlign w:val="center"/>
                </w:tcPr>
                <w:p w14:paraId="171C2E6B">
                  <w:pPr>
                    <w:jc w:val="center"/>
                    <w:rPr>
                      <w:rFonts w:hint="default" w:ascii="Times New Roman" w:hAnsi="Times New Roman" w:eastAsia="宋体" w:cs="Times New Roman"/>
                      <w:snapToGrid/>
                      <w:color w:val="auto"/>
                      <w:kern w:val="2"/>
                      <w:sz w:val="21"/>
                      <w:szCs w:val="21"/>
                      <w:highlight w:val="none"/>
                      <w:lang w:eastAsia="zh-CN"/>
                    </w:rPr>
                  </w:pPr>
                </w:p>
              </w:tc>
              <w:tc>
                <w:tcPr>
                  <w:tcW w:w="1008" w:type="dxa"/>
                  <w:vMerge w:val="continue"/>
                  <w:tcBorders>
                    <w:tl2br w:val="nil"/>
                    <w:tr2bl w:val="nil"/>
                  </w:tcBorders>
                  <w:noWrap w:val="0"/>
                  <w:vAlign w:val="center"/>
                </w:tcPr>
                <w:p w14:paraId="3B6D7458">
                  <w:pPr>
                    <w:jc w:val="center"/>
                    <w:rPr>
                      <w:rFonts w:hint="default" w:ascii="Times New Roman" w:hAnsi="Times New Roman" w:eastAsia="宋体" w:cs="Times New Roman"/>
                      <w:snapToGrid/>
                      <w:color w:val="auto"/>
                      <w:kern w:val="2"/>
                      <w:sz w:val="21"/>
                      <w:szCs w:val="21"/>
                      <w:highlight w:val="none"/>
                      <w:lang w:eastAsia="zh-CN"/>
                    </w:rPr>
                  </w:pPr>
                </w:p>
              </w:tc>
            </w:tr>
            <w:tr w14:paraId="70C2E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11" w:type="dxa"/>
                  <w:tcBorders>
                    <w:tl2br w:val="nil"/>
                    <w:tr2bl w:val="nil"/>
                  </w:tcBorders>
                  <w:noWrap w:val="0"/>
                  <w:vAlign w:val="center"/>
                </w:tcPr>
                <w:p w14:paraId="3692ED8D">
                  <w:pPr>
                    <w:jc w:val="center"/>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3</w:t>
                  </w:r>
                </w:p>
              </w:tc>
              <w:tc>
                <w:tcPr>
                  <w:tcW w:w="934" w:type="dxa"/>
                  <w:tcBorders>
                    <w:tl2br w:val="nil"/>
                    <w:tr2bl w:val="nil"/>
                  </w:tcBorders>
                  <w:noWrap w:val="0"/>
                  <w:vAlign w:val="center"/>
                </w:tcPr>
                <w:p w14:paraId="2CF3C9F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DA003</w:t>
                  </w:r>
                  <w:r>
                    <w:rPr>
                      <w:rFonts w:hint="eastAsia" w:ascii="宋体" w:hAnsi="宋体" w:eastAsia="宋体" w:cs="宋体"/>
                      <w:i w:val="0"/>
                      <w:iCs w:val="0"/>
                      <w:color w:val="auto"/>
                      <w:kern w:val="0"/>
                      <w:sz w:val="21"/>
                      <w:szCs w:val="21"/>
                      <w:u w:val="none"/>
                      <w:lang w:val="en-US" w:eastAsia="zh-CN" w:bidi="ar"/>
                    </w:rPr>
                    <w:t>排气筒</w:t>
                  </w:r>
                </w:p>
              </w:tc>
              <w:tc>
                <w:tcPr>
                  <w:tcW w:w="1534" w:type="dxa"/>
                  <w:tcBorders>
                    <w:tl2br w:val="nil"/>
                    <w:tr2bl w:val="nil"/>
                  </w:tcBorders>
                  <w:noWrap w:val="0"/>
                  <w:vAlign w:val="center"/>
                </w:tcPr>
                <w:p w14:paraId="1F83F92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废气设施失效</w:t>
                  </w:r>
                </w:p>
              </w:tc>
              <w:tc>
                <w:tcPr>
                  <w:tcW w:w="1093" w:type="dxa"/>
                  <w:tcBorders>
                    <w:tl2br w:val="nil"/>
                    <w:tr2bl w:val="nil"/>
                  </w:tcBorders>
                  <w:noWrap w:val="0"/>
                  <w:vAlign w:val="center"/>
                </w:tcPr>
                <w:p w14:paraId="3FA328C5">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氟化物</w:t>
                  </w:r>
                </w:p>
              </w:tc>
              <w:tc>
                <w:tcPr>
                  <w:tcW w:w="1280" w:type="dxa"/>
                  <w:tcBorders>
                    <w:tl2br w:val="nil"/>
                    <w:tr2bl w:val="nil"/>
                  </w:tcBorders>
                  <w:shd w:val="clear" w:color="auto" w:fill="auto"/>
                  <w:noWrap w:val="0"/>
                  <w:vAlign w:val="center"/>
                </w:tcPr>
                <w:p w14:paraId="7A036D4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0.6 </w:t>
                  </w:r>
                </w:p>
              </w:tc>
              <w:tc>
                <w:tcPr>
                  <w:tcW w:w="870" w:type="dxa"/>
                  <w:tcBorders>
                    <w:tl2br w:val="nil"/>
                    <w:tr2bl w:val="nil"/>
                  </w:tcBorders>
                  <w:shd w:val="clear" w:color="auto" w:fill="auto"/>
                  <w:noWrap w:val="0"/>
                  <w:vAlign w:val="center"/>
                </w:tcPr>
                <w:p w14:paraId="3CB55E38">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0.006 </w:t>
                  </w:r>
                </w:p>
              </w:tc>
              <w:tc>
                <w:tcPr>
                  <w:tcW w:w="660" w:type="dxa"/>
                  <w:tcBorders>
                    <w:tl2br w:val="nil"/>
                    <w:tr2bl w:val="nil"/>
                  </w:tcBorders>
                  <w:noWrap w:val="0"/>
                  <w:vAlign w:val="center"/>
                </w:tcPr>
                <w:p w14:paraId="18F2FC2B">
                  <w:pPr>
                    <w:jc w:val="center"/>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1</w:t>
                  </w:r>
                </w:p>
              </w:tc>
              <w:tc>
                <w:tcPr>
                  <w:tcW w:w="599" w:type="dxa"/>
                  <w:tcBorders>
                    <w:tl2br w:val="nil"/>
                    <w:tr2bl w:val="nil"/>
                  </w:tcBorders>
                  <w:noWrap w:val="0"/>
                  <w:vAlign w:val="center"/>
                </w:tcPr>
                <w:p w14:paraId="636CA1F6">
                  <w:pPr>
                    <w:jc w:val="center"/>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1</w:t>
                  </w:r>
                </w:p>
              </w:tc>
              <w:tc>
                <w:tcPr>
                  <w:tcW w:w="1008" w:type="dxa"/>
                  <w:tcBorders>
                    <w:tl2br w:val="nil"/>
                    <w:tr2bl w:val="nil"/>
                  </w:tcBorders>
                  <w:noWrap w:val="0"/>
                  <w:vAlign w:val="center"/>
                </w:tcPr>
                <w:p w14:paraId="36261B3D">
                  <w:pPr>
                    <w:jc w:val="center"/>
                    <w:rPr>
                      <w:rFonts w:hint="default" w:ascii="Times New Roman" w:hAnsi="Times New Roman" w:eastAsia="宋体" w:cs="Times New Roman"/>
                      <w:snapToGrid/>
                      <w:color w:val="auto"/>
                      <w:kern w:val="2"/>
                      <w:sz w:val="21"/>
                      <w:szCs w:val="21"/>
                      <w:highlight w:val="none"/>
                      <w:lang w:eastAsia="zh-CN"/>
                    </w:rPr>
                  </w:pPr>
                  <w:r>
                    <w:rPr>
                      <w:rFonts w:hint="eastAsia" w:ascii="宋体" w:hAnsi="宋体" w:eastAsia="宋体" w:cs="宋体"/>
                      <w:i w:val="0"/>
                      <w:iCs w:val="0"/>
                      <w:color w:val="auto"/>
                      <w:kern w:val="0"/>
                      <w:sz w:val="21"/>
                      <w:szCs w:val="21"/>
                      <w:u w:val="none"/>
                      <w:lang w:val="en-US" w:eastAsia="zh-CN" w:bidi="ar"/>
                    </w:rPr>
                    <w:t>停止生产并修复处理设备</w:t>
                  </w:r>
                </w:p>
              </w:tc>
            </w:tr>
          </w:tbl>
          <w:p w14:paraId="49343FCF">
            <w:pPr>
              <w:keepNext w:val="0"/>
              <w:keepLines w:val="0"/>
              <w:pageBreakBefore w:val="0"/>
              <w:widowControl w:val="0"/>
              <w:kinsoku/>
              <w:wordWrap/>
              <w:overflowPunct/>
              <w:topLinePunct w:val="0"/>
              <w:autoSpaceDE/>
              <w:autoSpaceDN/>
              <w:bidi w:val="0"/>
              <w:adjustRightInd/>
              <w:snapToGrid/>
              <w:spacing w:line="120" w:lineRule="auto"/>
              <w:ind w:firstLine="420" w:firstLineChars="200"/>
              <w:textAlignment w:val="auto"/>
              <w:rPr>
                <w:rFonts w:hint="default" w:ascii="Times New Roman" w:hAnsi="Times New Roman" w:eastAsia="宋体" w:cs="Times New Roman"/>
                <w:color w:val="auto"/>
                <w:highlight w:val="none"/>
              </w:rPr>
            </w:pPr>
          </w:p>
          <w:p w14:paraId="1D4628A2">
            <w:pPr>
              <w:pStyle w:val="43"/>
              <w:spacing w:after="0" w:line="360" w:lineRule="auto"/>
              <w:ind w:firstLine="480"/>
              <w:rPr>
                <w:rFonts w:hint="default" w:ascii="Times New Roman" w:hAnsi="Times New Roman" w:eastAsia="宋体" w:cs="Times New Roman"/>
                <w:b/>
                <w:color w:val="auto"/>
                <w:sz w:val="24"/>
                <w:szCs w:val="24"/>
                <w:highlight w:val="none"/>
                <w:lang w:val="en-US"/>
              </w:rPr>
            </w:pPr>
            <w:r>
              <w:rPr>
                <w:rFonts w:hint="default" w:ascii="Times New Roman" w:hAnsi="Times New Roman" w:eastAsia="宋体" w:cs="Times New Roman"/>
                <w:b/>
                <w:color w:val="auto"/>
                <w:sz w:val="24"/>
                <w:szCs w:val="24"/>
                <w:highlight w:val="none"/>
                <w:lang w:val="en-US" w:eastAsia="zh-CN"/>
              </w:rPr>
              <w:t>2、废水</w:t>
            </w:r>
          </w:p>
          <w:p w14:paraId="599B3C74">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2.1</w:t>
            </w:r>
            <w:r>
              <w:rPr>
                <w:rFonts w:hint="default" w:ascii="Times New Roman" w:hAnsi="Times New Roman" w:cs="Times New Roman"/>
                <w:b/>
                <w:bCs/>
                <w:color w:val="auto"/>
                <w:sz w:val="24"/>
                <w:szCs w:val="24"/>
                <w:highlight w:val="none"/>
              </w:rPr>
              <w:t>污染源源强分析</w:t>
            </w:r>
          </w:p>
          <w:p w14:paraId="01B4DC75">
            <w:pPr>
              <w:keepNext/>
              <w:keepLines/>
              <w:numPr>
                <w:ilvl w:val="4"/>
                <w:numId w:val="0"/>
              </w:numPr>
              <w:suppressLineNumbers w:val="0"/>
              <w:tabs>
                <w:tab w:val="left" w:pos="0"/>
              </w:tabs>
              <w:spacing w:before="0" w:beforeAutospacing="0" w:after="0" w:afterAutospacing="0" w:line="360" w:lineRule="auto"/>
              <w:ind w:left="-960" w:right="0" w:firstLine="1440"/>
              <w:outlineLvl w:val="4"/>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（1）生活污水</w:t>
            </w:r>
          </w:p>
          <w:p w14:paraId="7E24BEE1">
            <w:pPr>
              <w:widowControl w:val="0"/>
              <w:wordWrap/>
              <w:spacing w:line="360" w:lineRule="auto"/>
              <w:ind w:firstLine="480" w:firstLineChars="200"/>
              <w:textAlignment w:val="auto"/>
              <w:rPr>
                <w:rFonts w:hint="default" w:ascii="Times New Roman" w:hAnsi="Times New Roman" w:cs="Times New Roman"/>
                <w:color w:val="auto"/>
                <w:kern w:val="0"/>
                <w:sz w:val="24"/>
                <w:szCs w:val="24"/>
                <w:highlight w:val="none"/>
                <w:lang w:eastAsia="zh"/>
              </w:rPr>
            </w:pPr>
            <w:r>
              <w:rPr>
                <w:rFonts w:hint="default" w:ascii="Times New Roman" w:hAnsi="Times New Roman" w:cs="Times New Roman"/>
                <w:color w:val="auto"/>
                <w:kern w:val="0"/>
                <w:sz w:val="24"/>
                <w:szCs w:val="24"/>
                <w:highlight w:val="none"/>
              </w:rPr>
              <w:t>项目</w:t>
            </w:r>
            <w:r>
              <w:rPr>
                <w:rFonts w:hint="default" w:ascii="Times New Roman" w:hAnsi="Times New Roman" w:cs="Times New Roman"/>
                <w:color w:val="auto"/>
                <w:sz w:val="24"/>
                <w:szCs w:val="24"/>
                <w:highlight w:val="none"/>
              </w:rPr>
              <w:t>劳动定员</w:t>
            </w:r>
            <w:r>
              <w:rPr>
                <w:rFonts w:hint="default" w:ascii="Times New Roman" w:hAnsi="Times New Roman" w:cs="Times New Roman"/>
                <w:color w:val="auto"/>
                <w:sz w:val="24"/>
                <w:szCs w:val="24"/>
                <w:highlight w:val="none"/>
                <w:lang w:val="en-US" w:eastAsia="zh-CN"/>
              </w:rPr>
              <w:t>160</w:t>
            </w:r>
            <w:r>
              <w:rPr>
                <w:rFonts w:hint="default" w:ascii="Times New Roman" w:hAnsi="Times New Roman" w:cs="Times New Roman"/>
                <w:color w:val="auto"/>
                <w:sz w:val="24"/>
                <w:szCs w:val="24"/>
                <w:highlight w:val="none"/>
              </w:rPr>
              <w:t>名</w:t>
            </w:r>
            <w:r>
              <w:rPr>
                <w:rFonts w:hint="default" w:ascii="Times New Roman" w:hAnsi="Times New Roman" w:cs="Times New Roman"/>
                <w:color w:val="auto"/>
                <w:kern w:val="0"/>
                <w:sz w:val="24"/>
                <w:szCs w:val="24"/>
                <w:highlight w:val="none"/>
              </w:rPr>
              <w:t>，</w:t>
            </w:r>
            <w:r>
              <w:rPr>
                <w:rFonts w:hint="default" w:ascii="Times New Roman" w:hAnsi="Times New Roman" w:cs="Times New Roman"/>
                <w:color w:val="auto"/>
                <w:kern w:val="0"/>
                <w:sz w:val="24"/>
                <w:szCs w:val="24"/>
                <w:highlight w:val="none"/>
                <w:lang w:val="en-US" w:eastAsia="zh-CN"/>
              </w:rPr>
              <w:t>其中140人在厂区住宿</w:t>
            </w:r>
            <w:r>
              <w:rPr>
                <w:rFonts w:hint="default" w:ascii="Times New Roman" w:hAnsi="Times New Roman" w:cs="Times New Roman"/>
                <w:color w:val="auto"/>
                <w:kern w:val="0"/>
                <w:sz w:val="24"/>
                <w:szCs w:val="24"/>
                <w:highlight w:val="none"/>
              </w:rPr>
              <w:t>。不住宿</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lang w:val="en-US" w:eastAsia="zh-CN"/>
              </w:rPr>
              <w:t>住宿</w:t>
            </w:r>
            <w:r>
              <w:rPr>
                <w:rFonts w:hint="default" w:ascii="Times New Roman" w:hAnsi="Times New Roman" w:cs="Times New Roman"/>
                <w:color w:val="auto"/>
                <w:kern w:val="0"/>
                <w:sz w:val="24"/>
                <w:szCs w:val="24"/>
                <w:highlight w:val="none"/>
              </w:rPr>
              <w:t>员工生活用水</w:t>
            </w:r>
            <w:r>
              <w:rPr>
                <w:rFonts w:hint="default" w:ascii="Times New Roman" w:hAnsi="Times New Roman" w:cs="Times New Roman"/>
                <w:color w:val="auto"/>
                <w:kern w:val="0"/>
                <w:sz w:val="24"/>
                <w:szCs w:val="24"/>
                <w:highlight w:val="none"/>
                <w:lang w:val="en-US" w:eastAsia="zh-CN"/>
              </w:rPr>
              <w:t>分别</w:t>
            </w:r>
            <w:r>
              <w:rPr>
                <w:rFonts w:hint="default" w:ascii="Times New Roman" w:hAnsi="Times New Roman" w:eastAsia="宋体" w:cs="Times New Roman"/>
                <w:bCs/>
                <w:color w:val="auto"/>
                <w:sz w:val="24"/>
                <w:szCs w:val="24"/>
                <w:highlight w:val="none"/>
              </w:rPr>
              <w:t>参照《用水定额 第3部分：生活》（DB44/T1461-2021）中国家行政机构（无食堂无浴室）中的先进值10</w:t>
            </w:r>
            <w:r>
              <w:rPr>
                <w:rFonts w:hint="default" w:ascii="Times New Roman" w:hAnsi="Times New Roman" w:eastAsia="宋体" w:cs="Times New Roman"/>
                <w:color w:val="auto"/>
                <w:kern w:val="0"/>
                <w:sz w:val="24"/>
                <w:szCs w:val="24"/>
                <w:highlight w:val="none"/>
                <w:lang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bCs/>
                <w:color w:val="auto"/>
                <w:sz w:val="24"/>
                <w:szCs w:val="24"/>
                <w:highlight w:val="none"/>
              </w:rPr>
              <w:t>/人·年</w:t>
            </w:r>
            <w:r>
              <w:rPr>
                <w:rFonts w:hint="default" w:ascii="Times New Roman" w:hAnsi="Times New Roman" w:eastAsia="宋体" w:cs="Times New Roman"/>
                <w:bCs/>
                <w:color w:val="auto"/>
                <w:sz w:val="24"/>
                <w:szCs w:val="24"/>
                <w:highlight w:val="none"/>
                <w:lang w:val="en-US" w:eastAsia="zh-CN"/>
              </w:rPr>
              <w:t>和</w:t>
            </w:r>
            <w:r>
              <w:rPr>
                <w:rFonts w:hint="default" w:ascii="Times New Roman" w:hAnsi="Times New Roman" w:eastAsia="宋体" w:cs="Times New Roman"/>
                <w:bCs/>
                <w:color w:val="auto"/>
                <w:sz w:val="24"/>
                <w:szCs w:val="24"/>
                <w:highlight w:val="none"/>
              </w:rPr>
              <w:t>国家行政机构（</w:t>
            </w:r>
            <w:r>
              <w:rPr>
                <w:rFonts w:hint="default" w:ascii="Times New Roman" w:hAnsi="Times New Roman" w:eastAsia="宋体" w:cs="Times New Roman"/>
                <w:bCs/>
                <w:color w:val="auto"/>
                <w:sz w:val="24"/>
                <w:szCs w:val="24"/>
                <w:highlight w:val="none"/>
                <w:lang w:val="en-US" w:eastAsia="zh-CN"/>
              </w:rPr>
              <w:t>有</w:t>
            </w:r>
            <w:r>
              <w:rPr>
                <w:rFonts w:hint="default" w:ascii="Times New Roman" w:hAnsi="Times New Roman" w:eastAsia="宋体" w:cs="Times New Roman"/>
                <w:bCs/>
                <w:color w:val="auto"/>
                <w:sz w:val="24"/>
                <w:szCs w:val="24"/>
                <w:highlight w:val="none"/>
              </w:rPr>
              <w:t>食堂无浴室）中的先进值</w:t>
            </w:r>
            <w:r>
              <w:rPr>
                <w:rFonts w:hint="default" w:ascii="Times New Roman" w:hAnsi="Times New Roman" w:eastAsia="宋体" w:cs="Times New Roman"/>
                <w:bCs/>
                <w:color w:val="auto"/>
                <w:sz w:val="24"/>
                <w:szCs w:val="24"/>
                <w:highlight w:val="none"/>
                <w:lang w:val="en-US" w:eastAsia="zh-CN"/>
              </w:rPr>
              <w:t>15</w:t>
            </w:r>
            <w:r>
              <w:rPr>
                <w:rFonts w:hint="default" w:ascii="Times New Roman" w:hAnsi="Times New Roman" w:eastAsia="宋体" w:cs="Times New Roman"/>
                <w:color w:val="auto"/>
                <w:kern w:val="0"/>
                <w:sz w:val="24"/>
                <w:szCs w:val="24"/>
                <w:highlight w:val="none"/>
                <w:lang w:eastAsia="zh-CN"/>
              </w:rPr>
              <w:t>m</w:t>
            </w:r>
            <w:r>
              <w:rPr>
                <w:rFonts w:hint="default" w:ascii="Times New Roman" w:hAnsi="Times New Roman" w:eastAsia="宋体" w:cs="Times New Roman"/>
                <w:color w:val="auto"/>
                <w:kern w:val="0"/>
                <w:sz w:val="24"/>
                <w:szCs w:val="24"/>
                <w:highlight w:val="none"/>
                <w:vertAlign w:val="superscript"/>
                <w:lang w:val="en-US" w:eastAsia="zh-CN"/>
              </w:rPr>
              <w:t>3</w:t>
            </w:r>
            <w:r>
              <w:rPr>
                <w:rFonts w:hint="default" w:ascii="Times New Roman" w:hAnsi="Times New Roman" w:eastAsia="宋体" w:cs="Times New Roman"/>
                <w:bCs/>
                <w:color w:val="auto"/>
                <w:sz w:val="24"/>
                <w:szCs w:val="24"/>
                <w:highlight w:val="none"/>
              </w:rPr>
              <w:t>/人·年计算</w:t>
            </w:r>
            <w:r>
              <w:rPr>
                <w:rFonts w:hint="default" w:ascii="Times New Roman" w:hAnsi="Times New Roman" w:eastAsia="宋体" w:cs="Times New Roman"/>
                <w:color w:val="auto"/>
                <w:sz w:val="24"/>
                <w:szCs w:val="24"/>
                <w:highlight w:val="none"/>
              </w:rPr>
              <w:t>，则生活用水量</w:t>
            </w:r>
            <w:r>
              <w:rPr>
                <w:rFonts w:hint="default" w:ascii="Times New Roman" w:hAnsi="Times New Roman" w:eastAsia="宋体" w:cs="Times New Roman"/>
                <w:color w:val="auto"/>
                <w:sz w:val="24"/>
                <w:szCs w:val="24"/>
                <w:highlight w:val="none"/>
                <w:lang w:val="en-US" w:eastAsia="zh-CN"/>
              </w:rPr>
              <w:t>合计</w:t>
            </w:r>
            <w:r>
              <w:rPr>
                <w:rFonts w:hint="default" w:ascii="Times New Roman" w:hAnsi="Times New Roman" w:eastAsia="宋体" w:cs="Times New Roman"/>
                <w:color w:val="auto"/>
                <w:sz w:val="24"/>
                <w:szCs w:val="24"/>
                <w:highlight w:val="none"/>
              </w:rPr>
              <w:t>为</w:t>
            </w:r>
            <w:r>
              <w:rPr>
                <w:rFonts w:hint="default" w:ascii="Times New Roman" w:hAnsi="Times New Roman" w:eastAsia="宋体" w:cs="Times New Roman"/>
                <w:color w:val="auto"/>
                <w:sz w:val="24"/>
                <w:szCs w:val="24"/>
                <w:highlight w:val="none"/>
                <w:lang w:val="en-US" w:eastAsia="zh-CN"/>
              </w:rPr>
              <w:t>2300</w:t>
            </w:r>
            <w:r>
              <w:rPr>
                <w:rFonts w:hint="default" w:ascii="Times New Roman" w:hAnsi="Times New Roman" w:eastAsia="宋体" w:cs="Times New Roman"/>
                <w:bCs/>
                <w:color w:val="auto"/>
                <w:sz w:val="24"/>
                <w:szCs w:val="24"/>
                <w:highlight w:val="none"/>
              </w:rPr>
              <w:t>t/a</w:t>
            </w:r>
            <w:r>
              <w:rPr>
                <w:rFonts w:hint="default" w:ascii="Times New Roman" w:hAnsi="Times New Roman" w:eastAsia="宋体" w:cs="Times New Roman"/>
                <w:color w:val="auto"/>
                <w:sz w:val="24"/>
                <w:szCs w:val="24"/>
                <w:highlight w:val="none"/>
              </w:rPr>
              <w:t>。生活污水排污系数按0.9计，生活污水产生量</w:t>
            </w:r>
            <w:r>
              <w:rPr>
                <w:rFonts w:hint="default" w:ascii="Times New Roman" w:hAnsi="Times New Roman" w:eastAsia="宋体" w:cs="Times New Roman"/>
                <w:color w:val="auto"/>
                <w:sz w:val="24"/>
                <w:szCs w:val="24"/>
                <w:highlight w:val="none"/>
                <w:lang w:val="en-US" w:eastAsia="zh-CN"/>
              </w:rPr>
              <w:t>2070</w:t>
            </w:r>
            <w:r>
              <w:rPr>
                <w:rFonts w:hint="default" w:ascii="Times New Roman" w:hAnsi="Times New Roman" w:eastAsia="宋体" w:cs="Times New Roman"/>
                <w:bCs/>
                <w:color w:val="auto"/>
                <w:sz w:val="24"/>
                <w:szCs w:val="24"/>
                <w:highlight w:val="none"/>
              </w:rPr>
              <w:t>t/a</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kern w:val="0"/>
                <w:sz w:val="24"/>
                <w:szCs w:val="24"/>
                <w:highlight w:val="none"/>
              </w:rPr>
              <w:t>本项目办公生活污水经过三级化粪池</w:t>
            </w:r>
            <w:r>
              <w:rPr>
                <w:rFonts w:hint="default" w:ascii="Times New Roman" w:hAnsi="Times New Roman" w:cs="Times New Roman"/>
                <w:color w:val="auto"/>
                <w:sz w:val="24"/>
                <w:szCs w:val="24"/>
                <w:highlight w:val="none"/>
                <w:lang w:val="en-US" w:eastAsia="zh-CN"/>
              </w:rPr>
              <w:t>+隔油隔渣池</w:t>
            </w:r>
            <w:r>
              <w:rPr>
                <w:rFonts w:hint="default" w:ascii="Times New Roman" w:hAnsi="Times New Roman" w:cs="Times New Roman"/>
                <w:color w:val="auto"/>
                <w:kern w:val="0"/>
                <w:sz w:val="24"/>
                <w:szCs w:val="24"/>
                <w:highlight w:val="none"/>
              </w:rPr>
              <w:t>处理后经管网排入园区污水处理厂，处理达标后排入武江（乐昌城-犁市河段）</w:t>
            </w:r>
            <w:r>
              <w:rPr>
                <w:rFonts w:hint="default" w:ascii="Times New Roman" w:hAnsi="Times New Roman" w:cs="Times New Roman"/>
                <w:color w:val="auto"/>
                <w:kern w:val="0"/>
                <w:sz w:val="24"/>
                <w:szCs w:val="24"/>
                <w:highlight w:val="none"/>
                <w:lang w:eastAsia="zh"/>
              </w:rPr>
              <w:t>。</w:t>
            </w:r>
          </w:p>
          <w:p w14:paraId="7DDECF9D">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 xml:space="preserve">20 </w:t>
            </w:r>
            <w:r>
              <w:rPr>
                <w:rFonts w:hint="default" w:ascii="Times New Roman" w:hAnsi="Times New Roman" w:eastAsia="宋体" w:cs="Times New Roman"/>
                <w:b/>
                <w:bCs/>
                <w:color w:val="auto"/>
                <w:sz w:val="21"/>
                <w:szCs w:val="21"/>
                <w:highlight w:val="none"/>
                <w:lang w:eastAsia="zh-CN"/>
              </w:rPr>
              <w:t>污水污染源源强核算结果及相关参数一览表</w:t>
            </w:r>
          </w:p>
          <w:tbl>
            <w:tblPr>
              <w:tblStyle w:val="4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5"/>
              <w:gridCol w:w="1315"/>
              <w:gridCol w:w="1269"/>
              <w:gridCol w:w="1134"/>
              <w:gridCol w:w="951"/>
              <w:gridCol w:w="1090"/>
              <w:gridCol w:w="1102"/>
            </w:tblGrid>
            <w:tr w14:paraId="1B77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noWrap w:val="0"/>
                  <w:vAlign w:val="center"/>
                </w:tcPr>
                <w:p w14:paraId="1A8658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污水种类</w:t>
                  </w:r>
                </w:p>
              </w:tc>
              <w:tc>
                <w:tcPr>
                  <w:tcW w:w="783" w:type="pct"/>
                  <w:noWrap w:val="0"/>
                  <w:vAlign w:val="center"/>
                </w:tcPr>
                <w:p w14:paraId="2032A5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污染物</w:t>
                  </w:r>
                </w:p>
              </w:tc>
              <w:tc>
                <w:tcPr>
                  <w:tcW w:w="756" w:type="pct"/>
                  <w:noWrap w:val="0"/>
                  <w:vAlign w:val="center"/>
                </w:tcPr>
                <w:p w14:paraId="06A1B1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产生浓度（mg/L）</w:t>
                  </w:r>
                </w:p>
              </w:tc>
              <w:tc>
                <w:tcPr>
                  <w:tcW w:w="675" w:type="pct"/>
                  <w:noWrap w:val="0"/>
                  <w:vAlign w:val="center"/>
                </w:tcPr>
                <w:p w14:paraId="3287ED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产生量（t/a）</w:t>
                  </w:r>
                </w:p>
              </w:tc>
              <w:tc>
                <w:tcPr>
                  <w:tcW w:w="566" w:type="pct"/>
                  <w:noWrap/>
                  <w:vAlign w:val="center"/>
                </w:tcPr>
                <w:p w14:paraId="461BD5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处理效率</w:t>
                  </w:r>
                </w:p>
              </w:tc>
              <w:tc>
                <w:tcPr>
                  <w:tcW w:w="649" w:type="pct"/>
                  <w:noWrap w:val="0"/>
                  <w:vAlign w:val="center"/>
                </w:tcPr>
                <w:p w14:paraId="1EEDD3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排放浓度（mg/L）</w:t>
                  </w:r>
                </w:p>
              </w:tc>
              <w:tc>
                <w:tcPr>
                  <w:tcW w:w="653" w:type="pct"/>
                  <w:noWrap w:val="0"/>
                  <w:vAlign w:val="center"/>
                </w:tcPr>
                <w:p w14:paraId="749B59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排放量（t/a）</w:t>
                  </w:r>
                </w:p>
              </w:tc>
            </w:tr>
            <w:tr w14:paraId="10FA5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restart"/>
                  <w:noWrap w:val="0"/>
                  <w:vAlign w:val="center"/>
                </w:tcPr>
                <w:p w14:paraId="7CCB20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生活污水</w:t>
                  </w:r>
                </w:p>
                <w:p w14:paraId="7A1A2D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2070m</w:t>
                  </w:r>
                  <w:r>
                    <w:rPr>
                      <w:rFonts w:hint="default" w:ascii="Times New Roman" w:hAnsi="Times New Roman" w:eastAsia="宋体" w:cs="Times New Roman"/>
                      <w:b w:val="0"/>
                      <w:bCs w:val="0"/>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/a</w:t>
                  </w:r>
                </w:p>
              </w:tc>
              <w:tc>
                <w:tcPr>
                  <w:tcW w:w="783" w:type="pct"/>
                  <w:noWrap w:val="0"/>
                  <w:vAlign w:val="center"/>
                </w:tcPr>
                <w:p w14:paraId="5708F4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COD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Cr</w:t>
                  </w:r>
                </w:p>
              </w:tc>
              <w:tc>
                <w:tcPr>
                  <w:tcW w:w="756" w:type="pct"/>
                  <w:noWrap w:val="0"/>
                  <w:vAlign w:val="center"/>
                </w:tcPr>
                <w:p w14:paraId="429D53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250</w:t>
                  </w:r>
                </w:p>
              </w:tc>
              <w:tc>
                <w:tcPr>
                  <w:tcW w:w="675" w:type="pct"/>
                  <w:noWrap w:val="0"/>
                  <w:vAlign w:val="center"/>
                </w:tcPr>
                <w:p w14:paraId="7422658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0.518 </w:t>
                  </w:r>
                </w:p>
              </w:tc>
              <w:tc>
                <w:tcPr>
                  <w:tcW w:w="566" w:type="pct"/>
                  <w:noWrap/>
                  <w:vAlign w:val="center"/>
                </w:tcPr>
                <w:p w14:paraId="124DFA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649" w:type="pct"/>
                  <w:noWrap w:val="0"/>
                  <w:vAlign w:val="center"/>
                </w:tcPr>
                <w:p w14:paraId="102008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200</w:t>
                  </w:r>
                </w:p>
              </w:tc>
              <w:tc>
                <w:tcPr>
                  <w:tcW w:w="653" w:type="pct"/>
                  <w:noWrap w:val="0"/>
                  <w:vAlign w:val="center"/>
                </w:tcPr>
                <w:p w14:paraId="1672DB1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0.414 </w:t>
                  </w:r>
                </w:p>
              </w:tc>
            </w:tr>
            <w:tr w14:paraId="4D792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0"/>
                  <w:vAlign w:val="center"/>
                </w:tcPr>
                <w:p w14:paraId="314FC1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c>
                <w:tcPr>
                  <w:tcW w:w="783" w:type="pct"/>
                  <w:noWrap w:val="0"/>
                  <w:vAlign w:val="center"/>
                </w:tcPr>
                <w:p w14:paraId="75FD1A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BOD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5</w:t>
                  </w:r>
                </w:p>
              </w:tc>
              <w:tc>
                <w:tcPr>
                  <w:tcW w:w="756" w:type="pct"/>
                  <w:noWrap w:val="0"/>
                  <w:vAlign w:val="center"/>
                </w:tcPr>
                <w:p w14:paraId="4AB7FD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c>
                <w:tcPr>
                  <w:tcW w:w="675" w:type="pct"/>
                  <w:noWrap w:val="0"/>
                  <w:vAlign w:val="center"/>
                </w:tcPr>
                <w:p w14:paraId="78A3C4C1">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0.311 </w:t>
                  </w:r>
                </w:p>
              </w:tc>
              <w:tc>
                <w:tcPr>
                  <w:tcW w:w="566" w:type="pct"/>
                  <w:noWrap/>
                  <w:vAlign w:val="center"/>
                </w:tcPr>
                <w:p w14:paraId="211A12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649" w:type="pct"/>
                  <w:noWrap w:val="0"/>
                  <w:vAlign w:val="center"/>
                </w:tcPr>
                <w:p w14:paraId="2514B1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142.5</w:t>
                  </w:r>
                </w:p>
              </w:tc>
              <w:tc>
                <w:tcPr>
                  <w:tcW w:w="653" w:type="pct"/>
                  <w:noWrap w:val="0"/>
                  <w:vAlign w:val="center"/>
                </w:tcPr>
                <w:p w14:paraId="1BD5AA25">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0.295 </w:t>
                  </w:r>
                </w:p>
              </w:tc>
            </w:tr>
            <w:tr w14:paraId="16B6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ign w:val="center"/>
                </w:tcPr>
                <w:p w14:paraId="74CA41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p>
              </w:tc>
              <w:tc>
                <w:tcPr>
                  <w:tcW w:w="783" w:type="pct"/>
                  <w:noWrap w:val="0"/>
                  <w:vAlign w:val="center"/>
                </w:tcPr>
                <w:p w14:paraId="011D7C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SS</w:t>
                  </w:r>
                </w:p>
              </w:tc>
              <w:tc>
                <w:tcPr>
                  <w:tcW w:w="756" w:type="pct"/>
                  <w:noWrap w:val="0"/>
                  <w:vAlign w:val="center"/>
                </w:tcPr>
                <w:p w14:paraId="36DD82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c>
                <w:tcPr>
                  <w:tcW w:w="675" w:type="pct"/>
                  <w:noWrap w:val="0"/>
                  <w:vAlign w:val="center"/>
                </w:tcPr>
                <w:p w14:paraId="27EF1483">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0.311 </w:t>
                  </w:r>
                </w:p>
              </w:tc>
              <w:tc>
                <w:tcPr>
                  <w:tcW w:w="566" w:type="pct"/>
                  <w:noWrap/>
                  <w:vAlign w:val="center"/>
                </w:tcPr>
                <w:p w14:paraId="740EC7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649" w:type="pct"/>
                  <w:noWrap w:val="0"/>
                  <w:vAlign w:val="center"/>
                </w:tcPr>
                <w:p w14:paraId="4091E8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105</w:t>
                  </w:r>
                </w:p>
              </w:tc>
              <w:tc>
                <w:tcPr>
                  <w:tcW w:w="653" w:type="pct"/>
                  <w:noWrap w:val="0"/>
                  <w:vAlign w:val="center"/>
                </w:tcPr>
                <w:p w14:paraId="5582E7A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0.217 </w:t>
                  </w:r>
                </w:p>
              </w:tc>
            </w:tr>
            <w:tr w14:paraId="09E9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ign w:val="center"/>
                </w:tcPr>
                <w:p w14:paraId="6B0F19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83" w:type="pct"/>
                  <w:noWrap w:val="0"/>
                  <w:vAlign w:val="center"/>
                </w:tcPr>
                <w:p w14:paraId="52DFEC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NH</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-N</w:t>
                  </w:r>
                </w:p>
              </w:tc>
              <w:tc>
                <w:tcPr>
                  <w:tcW w:w="756" w:type="pct"/>
                  <w:noWrap w:val="0"/>
                  <w:vAlign w:val="center"/>
                </w:tcPr>
                <w:p w14:paraId="009A07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675" w:type="pct"/>
                  <w:noWrap w:val="0"/>
                  <w:vAlign w:val="center"/>
                </w:tcPr>
                <w:p w14:paraId="6E386FB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0.062 </w:t>
                  </w:r>
                </w:p>
              </w:tc>
              <w:tc>
                <w:tcPr>
                  <w:tcW w:w="566" w:type="pct"/>
                  <w:noWrap/>
                  <w:vAlign w:val="center"/>
                </w:tcPr>
                <w:p w14:paraId="315993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w:t>
                  </w:r>
                </w:p>
              </w:tc>
              <w:tc>
                <w:tcPr>
                  <w:tcW w:w="649" w:type="pct"/>
                  <w:noWrap w:val="0"/>
                  <w:vAlign w:val="center"/>
                </w:tcPr>
                <w:p w14:paraId="1ABA70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653" w:type="pct"/>
                  <w:noWrap w:val="0"/>
                  <w:vAlign w:val="center"/>
                </w:tcPr>
                <w:p w14:paraId="7E64FF3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0.062 </w:t>
                  </w:r>
                </w:p>
              </w:tc>
            </w:tr>
            <w:tr w14:paraId="7110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ign w:val="center"/>
                </w:tcPr>
                <w:p w14:paraId="0EB8C4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83" w:type="pct"/>
                  <w:noWrap w:val="0"/>
                  <w:vAlign w:val="center"/>
                </w:tcPr>
                <w:p w14:paraId="6F6CF8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总磷</w:t>
                  </w:r>
                </w:p>
              </w:tc>
              <w:tc>
                <w:tcPr>
                  <w:tcW w:w="756" w:type="pct"/>
                  <w:noWrap w:val="0"/>
                  <w:vAlign w:val="center"/>
                </w:tcPr>
                <w:p w14:paraId="338955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675" w:type="pct"/>
                  <w:noWrap w:val="0"/>
                  <w:vAlign w:val="center"/>
                </w:tcPr>
                <w:p w14:paraId="6F58D32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0.010 </w:t>
                  </w:r>
                </w:p>
              </w:tc>
              <w:tc>
                <w:tcPr>
                  <w:tcW w:w="566" w:type="pct"/>
                  <w:noWrap/>
                  <w:vAlign w:val="center"/>
                </w:tcPr>
                <w:p w14:paraId="076347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649" w:type="pct"/>
                  <w:noWrap w:val="0"/>
                  <w:vAlign w:val="center"/>
                </w:tcPr>
                <w:p w14:paraId="233075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653" w:type="pct"/>
                  <w:noWrap w:val="0"/>
                  <w:vAlign w:val="center"/>
                </w:tcPr>
                <w:p w14:paraId="528223E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0.008 </w:t>
                  </w:r>
                </w:p>
              </w:tc>
            </w:tr>
            <w:tr w14:paraId="66C2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15" w:type="pct"/>
                  <w:vMerge w:val="continue"/>
                  <w:noWrap/>
                  <w:vAlign w:val="center"/>
                </w:tcPr>
                <w:p w14:paraId="06AB50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rPr>
                      <w:rFonts w:hint="default" w:ascii="Times New Roman" w:hAnsi="Times New Roman" w:eastAsia="宋体" w:cs="Times New Roman"/>
                      <w:b w:val="0"/>
                      <w:bCs w:val="0"/>
                      <w:i w:val="0"/>
                      <w:iCs w:val="0"/>
                      <w:color w:val="auto"/>
                      <w:sz w:val="21"/>
                      <w:szCs w:val="21"/>
                      <w:highlight w:val="none"/>
                      <w:u w:val="none"/>
                    </w:rPr>
                  </w:pPr>
                </w:p>
              </w:tc>
              <w:tc>
                <w:tcPr>
                  <w:tcW w:w="783" w:type="pct"/>
                  <w:noWrap w:val="0"/>
                  <w:vAlign w:val="center"/>
                </w:tcPr>
                <w:p w14:paraId="2E75DF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cs="Times New Roman"/>
                      <w:b w:val="0"/>
                      <w:bCs w:val="0"/>
                      <w:i w:val="0"/>
                      <w:iCs w:val="0"/>
                      <w:color w:val="auto"/>
                      <w:kern w:val="0"/>
                      <w:sz w:val="21"/>
                      <w:szCs w:val="21"/>
                      <w:highlight w:val="none"/>
                      <w:u w:val="none"/>
                      <w:lang w:val="en-US" w:eastAsia="zh-CN" w:bidi="ar"/>
                    </w:rPr>
                    <w:t>动植物油</w:t>
                  </w:r>
                </w:p>
              </w:tc>
              <w:tc>
                <w:tcPr>
                  <w:tcW w:w="756" w:type="pct"/>
                  <w:noWrap w:val="0"/>
                  <w:vAlign w:val="center"/>
                </w:tcPr>
                <w:p w14:paraId="20558F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 w:val="0"/>
                      <w:bCs w:val="0"/>
                      <w:i w:val="0"/>
                      <w:iCs w:val="0"/>
                      <w:color w:val="auto"/>
                      <w:kern w:val="0"/>
                      <w:sz w:val="21"/>
                      <w:szCs w:val="21"/>
                      <w:highlight w:val="none"/>
                      <w:u w:val="none"/>
                      <w:lang w:val="en-US" w:eastAsia="zh-CN" w:bidi="ar"/>
                    </w:rPr>
                    <w:t>100</w:t>
                  </w:r>
                </w:p>
              </w:tc>
              <w:tc>
                <w:tcPr>
                  <w:tcW w:w="675" w:type="pct"/>
                  <w:noWrap w:val="0"/>
                  <w:vAlign w:val="center"/>
                </w:tcPr>
                <w:p w14:paraId="336971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0.207 </w:t>
                  </w:r>
                </w:p>
              </w:tc>
              <w:tc>
                <w:tcPr>
                  <w:tcW w:w="566" w:type="pct"/>
                  <w:noWrap/>
                  <w:vAlign w:val="center"/>
                </w:tcPr>
                <w:p w14:paraId="585D3D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80%</w:t>
                  </w:r>
                </w:p>
              </w:tc>
              <w:tc>
                <w:tcPr>
                  <w:tcW w:w="649" w:type="pct"/>
                  <w:noWrap w:val="0"/>
                  <w:vAlign w:val="center"/>
                </w:tcPr>
                <w:p w14:paraId="27A7AE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20</w:t>
                  </w:r>
                </w:p>
              </w:tc>
              <w:tc>
                <w:tcPr>
                  <w:tcW w:w="653" w:type="pct"/>
                  <w:noWrap w:val="0"/>
                  <w:vAlign w:val="center"/>
                </w:tcPr>
                <w:p w14:paraId="0A8C51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0.041 </w:t>
                  </w:r>
                </w:p>
              </w:tc>
            </w:tr>
            <w:tr w14:paraId="563F5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7"/>
                  <w:vMerge w:val="restart"/>
                  <w:noWrap w:val="0"/>
                  <w:vAlign w:val="center"/>
                </w:tcPr>
                <w:p w14:paraId="07E26C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bCs/>
                      <w:i w:val="0"/>
                      <w:iCs w:val="0"/>
                      <w:color w:val="auto"/>
                      <w:kern w:val="0"/>
                      <w:sz w:val="21"/>
                      <w:szCs w:val="21"/>
                      <w:highlight w:val="none"/>
                      <w:u w:val="none"/>
                      <w:lang w:val="en-US" w:eastAsia="zh-CN" w:bidi="ar"/>
                    </w:rPr>
                    <w:t>注：</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1、项目生活污水主要污染物为COD</w:t>
                  </w:r>
                  <w:r>
                    <w:rPr>
                      <w:rFonts w:hint="default" w:ascii="Times New Roman" w:hAnsi="Times New Roman" w:eastAsia="宋体" w:cs="Times New Roman"/>
                      <w:b w:val="0"/>
                      <w:bCs w:val="0"/>
                      <w:i w:val="0"/>
                      <w:iCs w:val="0"/>
                      <w:color w:val="auto"/>
                      <w:kern w:val="0"/>
                      <w:sz w:val="21"/>
                      <w:szCs w:val="21"/>
                      <w:highlight w:val="none"/>
                      <w:u w:val="none"/>
                      <w:vertAlign w:val="subscript"/>
                      <w:lang w:val="en-US" w:eastAsia="zh-CN" w:bidi="ar"/>
                    </w:rPr>
                    <w:t>Cr</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、BOD</w:t>
                  </w:r>
                  <w:r>
                    <w:rPr>
                      <w:rFonts w:hint="default" w:ascii="Times New Roman" w:hAnsi="Times New Roman" w:eastAsia="宋体" w:cs="Times New Roman"/>
                      <w:b w:val="0"/>
                      <w:bCs w:val="0"/>
                      <w:i w:val="0"/>
                      <w:iCs w:val="0"/>
                      <w:color w:val="auto"/>
                      <w:kern w:val="0"/>
                      <w:sz w:val="21"/>
                      <w:szCs w:val="21"/>
                      <w:highlight w:val="none"/>
                      <w:u w:val="none"/>
                      <w:vertAlign w:val="subscript"/>
                      <w:lang w:val="en-US" w:eastAsia="zh-CN" w:bidi="ar"/>
                    </w:rPr>
                    <w:t>5</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、SS、NH</w:t>
                  </w:r>
                  <w:r>
                    <w:rPr>
                      <w:rFonts w:hint="default" w:ascii="Times New Roman" w:hAnsi="Times New Roman" w:eastAsia="宋体" w:cs="Times New Roman"/>
                      <w:b w:val="0"/>
                      <w:bCs w:val="0"/>
                      <w:i w:val="0"/>
                      <w:iCs w:val="0"/>
                      <w:color w:val="auto"/>
                      <w:kern w:val="0"/>
                      <w:sz w:val="21"/>
                      <w:szCs w:val="21"/>
                      <w:highlight w:val="none"/>
                      <w:u w:val="none"/>
                      <w:vertAlign w:val="subscript"/>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-N</w:t>
                  </w:r>
                  <w:r>
                    <w:rPr>
                      <w:rFonts w:hint="default" w:ascii="Times New Roman" w:hAnsi="Times New Roman" w:cs="Times New Roman"/>
                      <w:b w:val="0"/>
                      <w:bCs w:val="0"/>
                      <w:i w:val="0"/>
                      <w:iCs w:val="0"/>
                      <w:color w:val="auto"/>
                      <w:kern w:val="0"/>
                      <w:sz w:val="21"/>
                      <w:szCs w:val="21"/>
                      <w:highlight w:val="none"/>
                      <w:u w:val="none"/>
                      <w:lang w:val="en-US" w:eastAsia="zh-CN" w:bidi="ar"/>
                    </w:rPr>
                    <w:t>、总磷</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，生活污水产生浓度参照《给水排水设计手册（第五册城镇排水）》（中国建筑工业出版社）表4-1典型生活污水水质示例中浓度。</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br w:type="textWrapping"/>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2、根据《</w:t>
                  </w:r>
                  <w:r>
                    <w:rPr>
                      <w:rFonts w:hint="eastAsia" w:cs="Times New Roman"/>
                      <w:b w:val="0"/>
                      <w:bCs w:val="0"/>
                      <w:i w:val="0"/>
                      <w:iCs w:val="0"/>
                      <w:color w:val="auto"/>
                      <w:kern w:val="0"/>
                      <w:sz w:val="21"/>
                      <w:szCs w:val="21"/>
                      <w:highlight w:val="none"/>
                      <w:u w:val="none"/>
                      <w:lang w:val="en-US" w:eastAsia="zh-CN" w:bidi="ar"/>
                    </w:rPr>
                    <w:t>室外排水设计标准</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w:t>
                  </w:r>
                  <w:r>
                    <w:rPr>
                      <w:rFonts w:hint="eastAsia" w:cs="Times New Roman"/>
                      <w:b w:val="0"/>
                      <w:bCs w:val="0"/>
                      <w:i w:val="0"/>
                      <w:iCs w:val="0"/>
                      <w:color w:val="auto"/>
                      <w:kern w:val="0"/>
                      <w:sz w:val="21"/>
                      <w:szCs w:val="21"/>
                      <w:highlight w:val="none"/>
                      <w:u w:val="none"/>
                      <w:lang w:val="en-US" w:eastAsia="zh-CN" w:bidi="ar"/>
                    </w:rPr>
                    <w:t>GB 50014-2021</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）、《村镇生活污染防治最佳可行技术指南（试行）》（HJ-BAT-9）三级化粪池对COD</w:t>
                  </w:r>
                  <w:r>
                    <w:rPr>
                      <w:rFonts w:hint="default" w:ascii="Times New Roman" w:hAnsi="Times New Roman" w:eastAsia="宋体" w:cs="Times New Roman"/>
                      <w:b w:val="0"/>
                      <w:bCs w:val="0"/>
                      <w:i w:val="0"/>
                      <w:iCs w:val="0"/>
                      <w:color w:val="auto"/>
                      <w:kern w:val="0"/>
                      <w:sz w:val="21"/>
                      <w:szCs w:val="21"/>
                      <w:highlight w:val="none"/>
                      <w:u w:val="none"/>
                      <w:vertAlign w:val="subscript"/>
                      <w:lang w:val="en-US" w:eastAsia="zh-CN" w:bidi="ar"/>
                    </w:rPr>
                    <w:t>Cr</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、BOD</w:t>
                  </w:r>
                  <w:r>
                    <w:rPr>
                      <w:rFonts w:hint="default" w:ascii="Times New Roman" w:hAnsi="Times New Roman" w:eastAsia="宋体" w:cs="Times New Roman"/>
                      <w:b w:val="0"/>
                      <w:bCs w:val="0"/>
                      <w:i w:val="0"/>
                      <w:iCs w:val="0"/>
                      <w:color w:val="auto"/>
                      <w:kern w:val="0"/>
                      <w:sz w:val="21"/>
                      <w:szCs w:val="21"/>
                      <w:highlight w:val="none"/>
                      <w:u w:val="none"/>
                      <w:vertAlign w:val="subscript"/>
                      <w:lang w:val="en-US" w:eastAsia="zh-CN" w:bidi="ar"/>
                    </w:rPr>
                    <w:t>5</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、SS</w:t>
                  </w:r>
                  <w:r>
                    <w:rPr>
                      <w:rFonts w:hint="default" w:ascii="Times New Roman" w:hAnsi="Times New Roman" w:cs="Times New Roman"/>
                      <w:b w:val="0"/>
                      <w:bCs w:val="0"/>
                      <w:i w:val="0"/>
                      <w:iCs w:val="0"/>
                      <w:color w:val="auto"/>
                      <w:kern w:val="0"/>
                      <w:sz w:val="21"/>
                      <w:szCs w:val="21"/>
                      <w:highlight w:val="none"/>
                      <w:u w:val="none"/>
                      <w:lang w:val="en-US" w:eastAsia="zh-CN" w:bidi="ar"/>
                    </w:rPr>
                    <w:t>、</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NH</w:t>
                  </w:r>
                  <w:r>
                    <w:rPr>
                      <w:rFonts w:hint="default" w:ascii="Times New Roman" w:hAnsi="Times New Roman" w:eastAsia="宋体" w:cs="Times New Roman"/>
                      <w:b w:val="0"/>
                      <w:bCs w:val="0"/>
                      <w:i w:val="0"/>
                      <w:iCs w:val="0"/>
                      <w:color w:val="auto"/>
                      <w:kern w:val="0"/>
                      <w:sz w:val="21"/>
                      <w:szCs w:val="21"/>
                      <w:highlight w:val="none"/>
                      <w:u w:val="none"/>
                      <w:vertAlign w:val="subscript"/>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-N</w:t>
                  </w:r>
                  <w:r>
                    <w:rPr>
                      <w:rFonts w:hint="default" w:ascii="Times New Roman" w:hAnsi="Times New Roman" w:cs="Times New Roman"/>
                      <w:b w:val="0"/>
                      <w:bCs w:val="0"/>
                      <w:i w:val="0"/>
                      <w:iCs w:val="0"/>
                      <w:color w:val="auto"/>
                      <w:kern w:val="0"/>
                      <w:sz w:val="21"/>
                      <w:szCs w:val="21"/>
                      <w:highlight w:val="none"/>
                      <w:u w:val="none"/>
                      <w:lang w:val="en-US" w:eastAsia="zh-CN" w:bidi="ar"/>
                    </w:rPr>
                    <w:t>、总磷</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分别的处理效率为20%、5%、30%</w:t>
                  </w:r>
                  <w:r>
                    <w:rPr>
                      <w:rFonts w:hint="default" w:ascii="Times New Roman" w:hAnsi="Times New Roman" w:cs="Times New Roman"/>
                      <w:b w:val="0"/>
                      <w:bCs w:val="0"/>
                      <w:i w:val="0"/>
                      <w:iCs w:val="0"/>
                      <w:color w:val="auto"/>
                      <w:kern w:val="0"/>
                      <w:sz w:val="21"/>
                      <w:szCs w:val="21"/>
                      <w:highlight w:val="none"/>
                      <w:u w:val="none"/>
                      <w:lang w:val="en-US" w:eastAsia="zh-CN" w:bidi="ar"/>
                    </w:rPr>
                    <w:t>、</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0%</w:t>
                  </w:r>
                  <w:r>
                    <w:rPr>
                      <w:rFonts w:hint="default" w:ascii="Times New Roman" w:hAnsi="Times New Roman" w:cs="Times New Roman"/>
                      <w:b w:val="0"/>
                      <w:bCs w:val="0"/>
                      <w:i w:val="0"/>
                      <w:iCs w:val="0"/>
                      <w:color w:val="auto"/>
                      <w:kern w:val="0"/>
                      <w:sz w:val="21"/>
                      <w:szCs w:val="21"/>
                      <w:highlight w:val="none"/>
                      <w:u w:val="none"/>
                      <w:lang w:val="en-US" w:eastAsia="zh-CN" w:bidi="ar"/>
                    </w:rPr>
                    <w:t>和20%，对动植物油处理效率参考《村镇生活污染防治最佳可行技术指南（试行）》（HJ-BAT-9）：动植物油80%~90%，本项目取80%。</w:t>
                  </w:r>
                </w:p>
              </w:tc>
            </w:tr>
            <w:tr w14:paraId="176C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7"/>
                  <w:vMerge w:val="continue"/>
                  <w:noWrap w:val="0"/>
                  <w:vAlign w:val="center"/>
                </w:tcPr>
                <w:p w14:paraId="4A32EE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rPr>
                      <w:rFonts w:hint="default" w:ascii="Times New Roman" w:hAnsi="Times New Roman" w:eastAsia="宋体" w:cs="Times New Roman"/>
                      <w:b w:val="0"/>
                      <w:bCs w:val="0"/>
                      <w:i w:val="0"/>
                      <w:iCs w:val="0"/>
                      <w:color w:val="auto"/>
                      <w:sz w:val="21"/>
                      <w:szCs w:val="21"/>
                      <w:highlight w:val="none"/>
                      <w:u w:val="none"/>
                    </w:rPr>
                  </w:pPr>
                </w:p>
              </w:tc>
            </w:tr>
          </w:tbl>
          <w:p w14:paraId="06EC9F17">
            <w:pPr>
              <w:keepNext w:val="0"/>
              <w:keepLines w:val="0"/>
              <w:pageBreakBefore w:val="0"/>
              <w:widowControl w:val="0"/>
              <w:kinsoku/>
              <w:wordWrap/>
              <w:overflowPunct/>
              <w:topLinePunct w:val="0"/>
              <w:autoSpaceDE/>
              <w:autoSpaceDN/>
              <w:bidi w:val="0"/>
              <w:adjustRightInd/>
              <w:snapToGrid/>
              <w:spacing w:line="120" w:lineRule="auto"/>
              <w:ind w:firstLine="420" w:firstLineChars="200"/>
              <w:textAlignment w:val="auto"/>
              <w:rPr>
                <w:rFonts w:hint="default" w:ascii="Times New Roman" w:hAnsi="Times New Roman" w:eastAsia="宋体" w:cs="Times New Roman"/>
                <w:color w:val="auto"/>
                <w:highlight w:val="none"/>
              </w:rPr>
            </w:pPr>
          </w:p>
          <w:p w14:paraId="1EFB56AD">
            <w:pPr>
              <w:pStyle w:val="21"/>
              <w:widowControl/>
              <w:numPr>
                <w:ilvl w:val="4"/>
                <w:numId w:val="0"/>
              </w:numPr>
              <w:suppressLineNumbers w:val="0"/>
              <w:spacing w:before="0" w:beforeAutospacing="0" w:after="0" w:afterAutospacing="0" w:line="360" w:lineRule="auto"/>
              <w:ind w:left="0" w:right="0" w:firstLine="482" w:firstLineChars="200"/>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（2）</w:t>
            </w:r>
            <w:r>
              <w:rPr>
                <w:rFonts w:hint="eastAsia" w:ascii="Times New Roman" w:hAnsi="Times New Roman" w:cs="Times New Roman"/>
                <w:color w:val="auto"/>
                <w:kern w:val="2"/>
                <w:sz w:val="24"/>
                <w:szCs w:val="24"/>
                <w:highlight w:val="none"/>
                <w:lang w:val="en-US" w:eastAsia="zh-CN"/>
              </w:rPr>
              <w:t>生产</w:t>
            </w:r>
            <w:r>
              <w:rPr>
                <w:rFonts w:hint="default" w:ascii="Times New Roman" w:hAnsi="Times New Roman" w:cs="Times New Roman"/>
                <w:color w:val="auto"/>
                <w:kern w:val="2"/>
                <w:sz w:val="24"/>
                <w:szCs w:val="24"/>
                <w:highlight w:val="none"/>
              </w:rPr>
              <w:t>废水</w:t>
            </w:r>
          </w:p>
          <w:p w14:paraId="6140AA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color w:val="auto"/>
                <w:sz w:val="24"/>
                <w:szCs w:val="24"/>
              </w:rPr>
            </w:pPr>
            <w:r>
              <w:rPr>
                <w:rFonts w:hint="eastAsia"/>
                <w:b/>
                <w:bCs/>
                <w:color w:val="auto"/>
                <w:sz w:val="24"/>
                <w:szCs w:val="24"/>
                <w:lang w:val="en-US" w:eastAsia="zh-CN"/>
              </w:rPr>
              <w:t>A.水帘柜废水：</w:t>
            </w:r>
            <w:r>
              <w:rPr>
                <w:color w:val="auto"/>
                <w:sz w:val="24"/>
                <w:szCs w:val="24"/>
              </w:rPr>
              <w:t>喷漆房内设有水帘</w:t>
            </w:r>
            <w:r>
              <w:rPr>
                <w:rFonts w:hint="eastAsia"/>
                <w:color w:val="auto"/>
                <w:sz w:val="24"/>
                <w:szCs w:val="24"/>
                <w:lang w:val="en-US" w:eastAsia="zh-CN"/>
              </w:rPr>
              <w:t>柜</w:t>
            </w:r>
            <w:r>
              <w:rPr>
                <w:color w:val="auto"/>
                <w:sz w:val="24"/>
                <w:szCs w:val="24"/>
              </w:rPr>
              <w:t>的循环水池，总有效容积为</w:t>
            </w:r>
            <w:r>
              <w:rPr>
                <w:rFonts w:hint="eastAsia"/>
                <w:color w:val="auto"/>
                <w:sz w:val="24"/>
                <w:szCs w:val="24"/>
                <w:lang w:val="en-US" w:eastAsia="zh-CN"/>
              </w:rPr>
              <w:t>16.2</w:t>
            </w:r>
            <w:r>
              <w:rPr>
                <w:color w:val="auto"/>
                <w:sz w:val="24"/>
                <w:szCs w:val="24"/>
              </w:rPr>
              <w:t>m</w:t>
            </w:r>
            <w:r>
              <w:rPr>
                <w:color w:val="auto"/>
                <w:sz w:val="24"/>
                <w:szCs w:val="24"/>
                <w:vertAlign w:val="superscript"/>
              </w:rPr>
              <w:t>3</w:t>
            </w:r>
            <w:r>
              <w:rPr>
                <w:color w:val="auto"/>
                <w:sz w:val="24"/>
                <w:szCs w:val="24"/>
              </w:rPr>
              <w:t>，每</w:t>
            </w:r>
            <w:r>
              <w:rPr>
                <w:rFonts w:hint="eastAsia"/>
                <w:color w:val="auto"/>
                <w:sz w:val="24"/>
                <w:szCs w:val="24"/>
                <w:lang w:eastAsia="zh-CN"/>
              </w:rPr>
              <w:t>月</w:t>
            </w:r>
            <w:r>
              <w:rPr>
                <w:color w:val="auto"/>
                <w:sz w:val="24"/>
                <w:szCs w:val="24"/>
              </w:rPr>
              <w:t>更换一次，对应更换补充用水量为</w:t>
            </w:r>
            <w:r>
              <w:rPr>
                <w:rFonts w:hint="eastAsia"/>
                <w:color w:val="auto"/>
                <w:sz w:val="24"/>
                <w:szCs w:val="24"/>
                <w:lang w:val="en-US" w:eastAsia="zh-CN"/>
              </w:rPr>
              <w:t>16.2</w:t>
            </w:r>
            <w:r>
              <w:rPr>
                <w:color w:val="auto"/>
                <w:sz w:val="24"/>
                <w:szCs w:val="24"/>
              </w:rPr>
              <w:t>m</w:t>
            </w:r>
            <w:r>
              <w:rPr>
                <w:color w:val="auto"/>
                <w:sz w:val="24"/>
                <w:szCs w:val="24"/>
                <w:vertAlign w:val="superscript"/>
              </w:rPr>
              <w:t>3</w:t>
            </w:r>
            <w:r>
              <w:rPr>
                <w:color w:val="auto"/>
                <w:sz w:val="24"/>
                <w:szCs w:val="24"/>
              </w:rPr>
              <w:t>×</w:t>
            </w:r>
            <w:r>
              <w:rPr>
                <w:rFonts w:hint="eastAsia"/>
                <w:color w:val="auto"/>
                <w:sz w:val="24"/>
                <w:szCs w:val="24"/>
                <w:lang w:val="en-US" w:eastAsia="zh-CN"/>
              </w:rPr>
              <w:t>12</w:t>
            </w:r>
            <w:r>
              <w:rPr>
                <w:color w:val="auto"/>
                <w:sz w:val="24"/>
                <w:szCs w:val="24"/>
              </w:rPr>
              <w:t>次/年=</w:t>
            </w:r>
            <w:r>
              <w:rPr>
                <w:rFonts w:hint="eastAsia"/>
                <w:color w:val="auto"/>
                <w:sz w:val="24"/>
                <w:szCs w:val="24"/>
                <w:lang w:val="en-US" w:eastAsia="zh-CN"/>
              </w:rPr>
              <w:t>194.4</w:t>
            </w:r>
            <w:r>
              <w:rPr>
                <w:color w:val="auto"/>
                <w:sz w:val="24"/>
                <w:szCs w:val="24"/>
              </w:rPr>
              <w:t>m</w:t>
            </w:r>
            <w:r>
              <w:rPr>
                <w:color w:val="auto"/>
                <w:sz w:val="24"/>
                <w:szCs w:val="24"/>
                <w:vertAlign w:val="superscript"/>
              </w:rPr>
              <w:t>3</w:t>
            </w:r>
            <w:r>
              <w:rPr>
                <w:color w:val="auto"/>
                <w:sz w:val="24"/>
                <w:szCs w:val="24"/>
              </w:rPr>
              <w:t>/a，更换后的废水</w:t>
            </w:r>
            <w:r>
              <w:rPr>
                <w:rFonts w:hint="eastAsia"/>
                <w:color w:val="auto"/>
                <w:sz w:val="24"/>
                <w:szCs w:val="24"/>
                <w:lang w:val="en-US" w:eastAsia="zh-CN"/>
              </w:rPr>
              <w:t>交由有危险废物处置资质单位</w:t>
            </w:r>
            <w:r>
              <w:rPr>
                <w:color w:val="auto"/>
                <w:sz w:val="24"/>
                <w:szCs w:val="24"/>
              </w:rPr>
              <w:t>处理；</w:t>
            </w:r>
          </w:p>
          <w:p w14:paraId="00F295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rPr>
                <w:rFonts w:hint="default"/>
                <w:color w:val="auto"/>
                <w:lang w:val="en-US" w:eastAsia="zh-CN"/>
              </w:rPr>
            </w:pPr>
            <w:r>
              <w:rPr>
                <w:rFonts w:hint="eastAsia" w:ascii="Times New Roman" w:hAnsi="Times New Roman" w:cs="Times New Roman"/>
                <w:b/>
                <w:bCs/>
                <w:color w:val="auto"/>
                <w:sz w:val="24"/>
                <w:szCs w:val="24"/>
                <w:highlight w:val="none"/>
                <w:lang w:val="en-US" w:eastAsia="zh-CN"/>
              </w:rPr>
              <w:t>B.喷淋塔废水：</w:t>
            </w:r>
            <w:r>
              <w:rPr>
                <w:rFonts w:hint="eastAsia" w:ascii="Times New Roman" w:hAnsi="Times New Roman" w:cs="Times New Roman"/>
                <w:color w:val="auto"/>
                <w:sz w:val="24"/>
                <w:szCs w:val="24"/>
                <w:highlight w:val="none"/>
                <w:lang w:val="en-US" w:eastAsia="zh-CN"/>
              </w:rPr>
              <w:t>本项目废气治理设施设置有</w:t>
            </w:r>
            <w:r>
              <w:rPr>
                <w:rFonts w:hint="eastAsia" w:cs="Times New Roman"/>
                <w:color w:val="auto"/>
                <w:sz w:val="24"/>
                <w:szCs w:val="24"/>
                <w:highlight w:val="none"/>
                <w:lang w:val="en-US" w:eastAsia="zh-CN"/>
              </w:rPr>
              <w:t>1</w:t>
            </w:r>
            <w:r>
              <w:rPr>
                <w:rFonts w:hint="eastAsia" w:ascii="Times New Roman" w:hAnsi="Times New Roman" w:cs="Times New Roman"/>
                <w:color w:val="auto"/>
                <w:sz w:val="24"/>
                <w:szCs w:val="24"/>
                <w:highlight w:val="none"/>
                <w:lang w:val="en-US" w:eastAsia="zh-CN"/>
              </w:rPr>
              <w:t>台</w:t>
            </w:r>
            <w:r>
              <w:rPr>
                <w:rFonts w:ascii="Times New Roman" w:hAnsi="Times New Roman" w:cs="Times New Roman"/>
                <w:color w:val="auto"/>
                <w:sz w:val="24"/>
                <w:szCs w:val="24"/>
                <w:highlight w:val="none"/>
              </w:rPr>
              <w:t>喷淋塔</w:t>
            </w:r>
            <w:r>
              <w:rPr>
                <w:rFonts w:hint="eastAsia" w:ascii="Times New Roman" w:hAnsi="Times New Roman" w:cs="Times New Roman"/>
                <w:color w:val="auto"/>
                <w:sz w:val="24"/>
                <w:szCs w:val="24"/>
                <w:highlight w:val="none"/>
                <w:lang w:eastAsia="zh-CN"/>
              </w:rPr>
              <w:t>，</w:t>
            </w:r>
            <w:r>
              <w:rPr>
                <w:color w:val="auto"/>
                <w:sz w:val="24"/>
                <w:szCs w:val="24"/>
                <w:highlight w:val="none"/>
              </w:rPr>
              <w:t>喷淋塔循环水吸附漆雾后污染物浓度会增大，需定期更换，预计每周更换1次，一个月更换4次，每次更换量为循环水箱容积，约0.7t，则喷淋塔循环水更换量为</w:t>
            </w:r>
            <w:r>
              <w:rPr>
                <w:rFonts w:hint="eastAsia" w:ascii="Times New Roman" w:hAnsi="Times New Roman" w:cs="Times New Roman"/>
                <w:color w:val="auto"/>
                <w:sz w:val="24"/>
                <w:szCs w:val="24"/>
                <w:highlight w:val="none"/>
                <w:lang w:val="en-US" w:eastAsia="zh-CN"/>
              </w:rPr>
              <w:t>1台×</w:t>
            </w:r>
            <w:r>
              <w:rPr>
                <w:rFonts w:ascii="Times New Roman" w:hAnsi="Times New Roman" w:cs="Times New Roman"/>
                <w:color w:val="auto"/>
                <w:sz w:val="24"/>
                <w:szCs w:val="24"/>
                <w:highlight w:val="none"/>
              </w:rPr>
              <w:t>0.7t×4</w:t>
            </w:r>
            <w:r>
              <w:rPr>
                <w:rFonts w:hint="eastAsia" w:ascii="Times New Roman" w:hAnsi="Times New Roman" w:cs="Times New Roman"/>
                <w:color w:val="auto"/>
                <w:sz w:val="24"/>
                <w:szCs w:val="24"/>
                <w:highlight w:val="none"/>
                <w:lang w:val="en-US" w:eastAsia="zh-CN"/>
              </w:rPr>
              <w:t>8次/年</w:t>
            </w:r>
            <w:r>
              <w:rPr>
                <w:rFonts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33.6</w:t>
            </w:r>
            <w:r>
              <w:rPr>
                <w:color w:val="auto"/>
                <w:sz w:val="24"/>
                <w:szCs w:val="24"/>
              </w:rPr>
              <w:t>m</w:t>
            </w:r>
            <w:r>
              <w:rPr>
                <w:color w:val="auto"/>
                <w:sz w:val="24"/>
                <w:szCs w:val="24"/>
                <w:vertAlign w:val="superscript"/>
              </w:rPr>
              <w:t>3</w:t>
            </w:r>
            <w:r>
              <w:rPr>
                <w:color w:val="auto"/>
                <w:sz w:val="24"/>
                <w:szCs w:val="24"/>
              </w:rPr>
              <w:t>/a</w:t>
            </w:r>
            <w:r>
              <w:rPr>
                <w:color w:val="auto"/>
                <w:sz w:val="24"/>
                <w:szCs w:val="24"/>
                <w:highlight w:val="none"/>
              </w:rPr>
              <w:t>，更换的废水</w:t>
            </w:r>
            <w:r>
              <w:rPr>
                <w:rFonts w:hint="eastAsia"/>
                <w:color w:val="auto"/>
                <w:sz w:val="24"/>
                <w:szCs w:val="24"/>
                <w:lang w:val="en-US" w:eastAsia="zh-CN"/>
              </w:rPr>
              <w:t>交由有危险废物处置资质单位</w:t>
            </w:r>
            <w:r>
              <w:rPr>
                <w:color w:val="auto"/>
                <w:sz w:val="24"/>
                <w:szCs w:val="24"/>
                <w:highlight w:val="none"/>
              </w:rPr>
              <w:t>处理。</w:t>
            </w:r>
          </w:p>
          <w:p w14:paraId="2F7CD156">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C.前处理废水：</w:t>
            </w:r>
            <w:r>
              <w:rPr>
                <w:rFonts w:hint="default" w:ascii="Times New Roman" w:hAnsi="Times New Roman" w:cs="Times New Roman"/>
                <w:color w:val="auto"/>
                <w:sz w:val="24"/>
                <w:szCs w:val="24"/>
                <w:highlight w:val="none"/>
              </w:rPr>
              <w:t>本项目</w:t>
            </w:r>
            <w:r>
              <w:rPr>
                <w:rFonts w:hint="default" w:ascii="Times New Roman" w:hAnsi="Times New Roman" w:cs="Times New Roman"/>
                <w:color w:val="auto"/>
                <w:sz w:val="24"/>
                <w:szCs w:val="24"/>
                <w:highlight w:val="none"/>
                <w:lang w:val="en-US" w:eastAsia="zh-CN"/>
              </w:rPr>
              <w:t>设置</w:t>
            </w:r>
            <w:r>
              <w:rPr>
                <w:rFonts w:hint="eastAsia"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条前处理生产线，</w:t>
            </w:r>
            <w:r>
              <w:rPr>
                <w:rFonts w:hint="eastAsia" w:cs="Times New Roman"/>
                <w:color w:val="auto"/>
                <w:sz w:val="24"/>
                <w:szCs w:val="24"/>
                <w:highlight w:val="none"/>
                <w:lang w:val="en-US" w:eastAsia="zh-CN"/>
              </w:rPr>
              <w:t>每条</w:t>
            </w:r>
            <w:r>
              <w:rPr>
                <w:rFonts w:hint="default" w:ascii="Times New Roman" w:hAnsi="Times New Roman" w:cs="Times New Roman"/>
                <w:color w:val="auto"/>
                <w:sz w:val="24"/>
                <w:szCs w:val="24"/>
                <w:highlight w:val="none"/>
              </w:rPr>
              <w:t>生产线</w:t>
            </w:r>
            <w:r>
              <w:rPr>
                <w:rFonts w:hint="default" w:ascii="Times New Roman" w:hAnsi="Times New Roman" w:cs="Times New Roman"/>
                <w:color w:val="auto"/>
                <w:sz w:val="24"/>
                <w:szCs w:val="24"/>
                <w:highlight w:val="none"/>
                <w:lang w:val="en-US" w:eastAsia="zh-CN"/>
              </w:rPr>
              <w:t>共</w:t>
            </w:r>
            <w:r>
              <w:rPr>
                <w:rFonts w:hint="default" w:ascii="Times New Roman" w:hAnsi="Times New Roman" w:cs="Times New Roman"/>
                <w:color w:val="auto"/>
                <w:sz w:val="24"/>
                <w:szCs w:val="24"/>
                <w:highlight w:val="none"/>
              </w:rPr>
              <w:t>设置1个预脱脂池</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1个脱脂池</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个水洗池</w:t>
            </w:r>
            <w:r>
              <w:rPr>
                <w:rFonts w:hint="default" w:ascii="Times New Roman" w:hAnsi="Times New Roman" w:cs="Times New Roman"/>
                <w:color w:val="auto"/>
                <w:sz w:val="24"/>
                <w:szCs w:val="24"/>
                <w:highlight w:val="none"/>
                <w:lang w:val="en-US" w:eastAsia="zh-CN"/>
              </w:rPr>
              <w:t>以及</w:t>
            </w:r>
            <w:r>
              <w:rPr>
                <w:rFonts w:hint="default" w:ascii="Times New Roman" w:hAnsi="Times New Roman" w:cs="Times New Roman"/>
                <w:color w:val="auto"/>
                <w:sz w:val="24"/>
                <w:szCs w:val="24"/>
                <w:highlight w:val="none"/>
              </w:rPr>
              <w:t>1个无铬钝化池。预脱脂池</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脱脂池、无铬钝化池、水洗池的溶液循环使用，</w:t>
            </w:r>
            <w:r>
              <w:rPr>
                <w:rFonts w:hint="default" w:ascii="Times New Roman" w:hAnsi="Times New Roman" w:cs="Times New Roman"/>
                <w:color w:val="auto"/>
                <w:sz w:val="24"/>
                <w:szCs w:val="24"/>
                <w:highlight w:val="none"/>
                <w:lang w:val="en-US" w:eastAsia="zh-CN"/>
              </w:rPr>
              <w:t>前处理废水主要为</w:t>
            </w:r>
            <w:r>
              <w:rPr>
                <w:rFonts w:hint="default" w:ascii="Times New Roman" w:hAnsi="Times New Roman" w:cs="Times New Roman"/>
                <w:color w:val="auto"/>
                <w:sz w:val="24"/>
                <w:szCs w:val="24"/>
                <w:highlight w:val="none"/>
              </w:rPr>
              <w:t>预脱脂池</w:t>
            </w:r>
            <w:r>
              <w:rPr>
                <w:rFonts w:hint="default" w:ascii="Times New Roman" w:hAnsi="Times New Roman" w:cs="Times New Roman"/>
                <w:color w:val="auto"/>
                <w:sz w:val="24"/>
                <w:szCs w:val="24"/>
                <w:highlight w:val="none"/>
                <w:lang w:val="en-US" w:eastAsia="zh-CN"/>
              </w:rPr>
              <w:t>和</w:t>
            </w:r>
            <w:r>
              <w:rPr>
                <w:rFonts w:hint="default" w:ascii="Times New Roman" w:hAnsi="Times New Roman" w:cs="Times New Roman"/>
                <w:color w:val="auto"/>
                <w:sz w:val="24"/>
                <w:szCs w:val="24"/>
                <w:highlight w:val="none"/>
              </w:rPr>
              <w:t>脱脂池</w:t>
            </w:r>
            <w:r>
              <w:rPr>
                <w:rFonts w:hint="default" w:ascii="Times New Roman" w:hAnsi="Times New Roman" w:cs="Times New Roman"/>
                <w:color w:val="auto"/>
                <w:sz w:val="24"/>
                <w:szCs w:val="24"/>
                <w:highlight w:val="none"/>
                <w:lang w:val="en-US" w:eastAsia="zh-CN"/>
              </w:rPr>
              <w:t>整槽更换废水以及水洗池溢流排水。</w:t>
            </w:r>
          </w:p>
          <w:p w14:paraId="2A097EB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color w:val="auto"/>
                <w:sz w:val="24"/>
                <w:szCs w:val="24"/>
                <w:highlight w:val="none"/>
                <w:lang w:val="en-US" w:eastAsia="zh-CN"/>
              </w:rPr>
              <w:t>根据前文水平衡分析，</w:t>
            </w:r>
            <w:r>
              <w:rPr>
                <w:rFonts w:hint="default" w:ascii="Times New Roman" w:hAnsi="Times New Roman" w:cs="Times New Roman"/>
                <w:color w:val="auto"/>
                <w:sz w:val="24"/>
                <w:szCs w:val="24"/>
                <w:highlight w:val="none"/>
              </w:rPr>
              <w:t>项目前处理废水产生情况详见下表。</w:t>
            </w:r>
          </w:p>
          <w:p w14:paraId="47D3E688">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1单条前处理线</w:t>
            </w:r>
            <w:r>
              <w:rPr>
                <w:rFonts w:hint="default" w:ascii="Times New Roman" w:hAnsi="Times New Roman" w:eastAsia="宋体" w:cs="Times New Roman"/>
                <w:b/>
                <w:bCs/>
                <w:color w:val="auto"/>
                <w:sz w:val="21"/>
                <w:szCs w:val="21"/>
                <w:highlight w:val="none"/>
                <w:lang w:val="en-US" w:eastAsia="zh-CN"/>
              </w:rPr>
              <w:t>整槽更换废水和溢流废水</w:t>
            </w:r>
            <w:r>
              <w:rPr>
                <w:rFonts w:hint="default" w:ascii="Times New Roman" w:hAnsi="Times New Roman" w:eastAsia="宋体" w:cs="Times New Roman"/>
                <w:b/>
                <w:bCs/>
                <w:color w:val="auto"/>
                <w:sz w:val="21"/>
                <w:szCs w:val="21"/>
                <w:highlight w:val="none"/>
                <w:lang w:eastAsia="zh-CN"/>
              </w:rPr>
              <w:t>一览表 单位t/a</w:t>
            </w:r>
          </w:p>
          <w:tbl>
            <w:tblPr>
              <w:tblStyle w:val="4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1369"/>
              <w:gridCol w:w="1132"/>
              <w:gridCol w:w="2481"/>
              <w:gridCol w:w="2519"/>
            </w:tblGrid>
            <w:tr w14:paraId="2DB6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noWrap w:val="0"/>
                  <w:vAlign w:val="center"/>
                </w:tcPr>
                <w:p w14:paraId="0592B0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名称</w:t>
                  </w:r>
                </w:p>
              </w:tc>
              <w:tc>
                <w:tcPr>
                  <w:tcW w:w="815" w:type="pct"/>
                  <w:noWrap w:val="0"/>
                  <w:vAlign w:val="center"/>
                </w:tcPr>
                <w:p w14:paraId="2D6F837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槽体名称</w:t>
                  </w:r>
                </w:p>
              </w:tc>
              <w:tc>
                <w:tcPr>
                  <w:tcW w:w="673" w:type="pct"/>
                  <w:noWrap w:val="0"/>
                  <w:vAlign w:val="center"/>
                </w:tcPr>
                <w:p w14:paraId="51A1F20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数量</w:t>
                  </w:r>
                  <w:r>
                    <w:rPr>
                      <w:rFonts w:hint="default" w:ascii="Times New Roman" w:hAnsi="Times New Roman" w:cs="Times New Roman"/>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个）</w:t>
                  </w:r>
                </w:p>
              </w:tc>
              <w:tc>
                <w:tcPr>
                  <w:tcW w:w="1477" w:type="pct"/>
                  <w:noWrap/>
                  <w:vAlign w:val="center"/>
                </w:tcPr>
                <w:p w14:paraId="46A6828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整槽更换废水量(t/a)</w:t>
                  </w:r>
                </w:p>
              </w:tc>
              <w:tc>
                <w:tcPr>
                  <w:tcW w:w="1499" w:type="pct"/>
                  <w:noWrap w:val="0"/>
                  <w:vAlign w:val="center"/>
                </w:tcPr>
                <w:p w14:paraId="4DD781A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b/>
                      <w:bCs/>
                      <w:i w:val="0"/>
                      <w:iCs w:val="0"/>
                      <w:color w:val="auto"/>
                      <w:kern w:val="2"/>
                      <w:sz w:val="21"/>
                      <w:szCs w:val="21"/>
                      <w:highlight w:val="none"/>
                      <w:u w:val="none"/>
                      <w:lang w:val="en-US" w:eastAsia="zh-CN" w:bidi="ar-SA"/>
                    </w:rPr>
                  </w:pPr>
                  <w:r>
                    <w:rPr>
                      <w:rFonts w:hint="default" w:ascii="Times New Roman" w:hAnsi="Times New Roman" w:eastAsia="宋体" w:cs="Times New Roman"/>
                      <w:b/>
                      <w:bCs/>
                      <w:i w:val="0"/>
                      <w:iCs w:val="0"/>
                      <w:color w:val="auto"/>
                      <w:kern w:val="0"/>
                      <w:sz w:val="21"/>
                      <w:szCs w:val="21"/>
                      <w:highlight w:val="none"/>
                      <w:u w:val="none"/>
                      <w:lang w:val="en-US" w:eastAsia="zh-CN" w:bidi="ar"/>
                    </w:rPr>
                    <w:t>溢流废水量(t/a)</w:t>
                  </w:r>
                </w:p>
              </w:tc>
            </w:tr>
            <w:tr w14:paraId="20C4C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restart"/>
                  <w:noWrap w:val="0"/>
                  <w:vAlign w:val="center"/>
                </w:tcPr>
                <w:p w14:paraId="64F33D3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工件表面预处理</w:t>
                  </w:r>
                  <w:r>
                    <w:rPr>
                      <w:rFonts w:hint="default" w:ascii="Times New Roman" w:hAnsi="Times New Roman" w:eastAsia="宋体" w:cs="Times New Roman"/>
                      <w:i w:val="0"/>
                      <w:iCs w:val="0"/>
                      <w:color w:val="auto"/>
                      <w:kern w:val="0"/>
                      <w:sz w:val="21"/>
                      <w:szCs w:val="21"/>
                      <w:highlight w:val="none"/>
                      <w:u w:val="none"/>
                      <w:lang w:val="en-US" w:eastAsia="zh-CN" w:bidi="ar"/>
                    </w:rPr>
                    <w:t>线</w:t>
                  </w:r>
                </w:p>
              </w:tc>
              <w:tc>
                <w:tcPr>
                  <w:tcW w:w="815" w:type="pct"/>
                  <w:noWrap w:val="0"/>
                  <w:vAlign w:val="center"/>
                </w:tcPr>
                <w:p w14:paraId="2ED8EC6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预水洗池</w:t>
                  </w:r>
                </w:p>
              </w:tc>
              <w:tc>
                <w:tcPr>
                  <w:tcW w:w="673" w:type="pct"/>
                  <w:noWrap w:val="0"/>
                  <w:vAlign w:val="center"/>
                </w:tcPr>
                <w:p w14:paraId="71D22504">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095AE01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38.4</w:t>
                  </w:r>
                </w:p>
              </w:tc>
              <w:tc>
                <w:tcPr>
                  <w:tcW w:w="2583" w:type="dxa"/>
                  <w:noWrap w:val="0"/>
                  <w:vAlign w:val="center"/>
                </w:tcPr>
                <w:p w14:paraId="0CF2E7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1561.68</w:t>
                  </w:r>
                </w:p>
              </w:tc>
            </w:tr>
            <w:tr w14:paraId="3FEF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46C0299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5B4C5D2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预脱脂池</w:t>
                  </w:r>
                </w:p>
              </w:tc>
              <w:tc>
                <w:tcPr>
                  <w:tcW w:w="673" w:type="pct"/>
                  <w:noWrap w:val="0"/>
                  <w:vAlign w:val="center"/>
                </w:tcPr>
                <w:p w14:paraId="2A36D37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73F3AB7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44.8</w:t>
                  </w:r>
                </w:p>
              </w:tc>
              <w:tc>
                <w:tcPr>
                  <w:tcW w:w="2583" w:type="dxa"/>
                  <w:noWrap w:val="0"/>
                  <w:vAlign w:val="center"/>
                </w:tcPr>
                <w:p w14:paraId="6C8D9D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5E9D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51CA6A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1855FC6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脱脂池</w:t>
                  </w:r>
                </w:p>
              </w:tc>
              <w:tc>
                <w:tcPr>
                  <w:tcW w:w="673" w:type="pct"/>
                  <w:noWrap w:val="0"/>
                  <w:vAlign w:val="center"/>
                </w:tcPr>
                <w:p w14:paraId="48D7881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1B1F508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44.8</w:t>
                  </w:r>
                </w:p>
              </w:tc>
              <w:tc>
                <w:tcPr>
                  <w:tcW w:w="2583" w:type="dxa"/>
                  <w:noWrap w:val="0"/>
                  <w:vAlign w:val="center"/>
                </w:tcPr>
                <w:p w14:paraId="5B107C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432B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6FDFDE1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49D1FD6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1#水洗池</w:t>
                  </w:r>
                </w:p>
              </w:tc>
              <w:tc>
                <w:tcPr>
                  <w:tcW w:w="673" w:type="pct"/>
                  <w:noWrap w:val="0"/>
                  <w:vAlign w:val="center"/>
                </w:tcPr>
                <w:p w14:paraId="2C57903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0A6DD3E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67.2</w:t>
                  </w:r>
                </w:p>
              </w:tc>
              <w:tc>
                <w:tcPr>
                  <w:tcW w:w="2583" w:type="dxa"/>
                  <w:noWrap w:val="0"/>
                  <w:vAlign w:val="center"/>
                </w:tcPr>
                <w:p w14:paraId="39044E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1561.68</w:t>
                  </w:r>
                </w:p>
              </w:tc>
            </w:tr>
            <w:tr w14:paraId="64BDA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4" w:type="pct"/>
                  <w:vMerge w:val="continue"/>
                  <w:noWrap w:val="0"/>
                  <w:vAlign w:val="center"/>
                </w:tcPr>
                <w:p w14:paraId="6C6073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358F70F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2#水洗池</w:t>
                  </w:r>
                </w:p>
              </w:tc>
              <w:tc>
                <w:tcPr>
                  <w:tcW w:w="673" w:type="pct"/>
                  <w:noWrap w:val="0"/>
                  <w:vAlign w:val="center"/>
                </w:tcPr>
                <w:p w14:paraId="0C3C5BF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79928D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67.2</w:t>
                  </w:r>
                </w:p>
              </w:tc>
              <w:tc>
                <w:tcPr>
                  <w:tcW w:w="2583" w:type="dxa"/>
                  <w:noWrap w:val="0"/>
                  <w:vAlign w:val="center"/>
                </w:tcPr>
                <w:p w14:paraId="12A408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4794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40DD8E8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404F925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清水洗池</w:t>
                  </w:r>
                </w:p>
              </w:tc>
              <w:tc>
                <w:tcPr>
                  <w:tcW w:w="673" w:type="pct"/>
                  <w:noWrap w:val="0"/>
                  <w:vAlign w:val="center"/>
                </w:tcPr>
                <w:p w14:paraId="061A3815">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4891150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19.2</w:t>
                  </w:r>
                </w:p>
              </w:tc>
              <w:tc>
                <w:tcPr>
                  <w:tcW w:w="2583" w:type="dxa"/>
                  <w:noWrap w:val="0"/>
                  <w:vAlign w:val="center"/>
                </w:tcPr>
                <w:p w14:paraId="6907C33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5E53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652A26F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215B8B8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无铬钝化池</w:t>
                  </w:r>
                </w:p>
              </w:tc>
              <w:tc>
                <w:tcPr>
                  <w:tcW w:w="673" w:type="pct"/>
                  <w:noWrap w:val="0"/>
                  <w:vAlign w:val="center"/>
                </w:tcPr>
                <w:p w14:paraId="7C80881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192459D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22.4</w:t>
                  </w:r>
                </w:p>
              </w:tc>
              <w:tc>
                <w:tcPr>
                  <w:tcW w:w="2583" w:type="dxa"/>
                  <w:noWrap w:val="0"/>
                  <w:vAlign w:val="center"/>
                </w:tcPr>
                <w:p w14:paraId="7E89C6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r>
            <w:tr w14:paraId="239BC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34" w:type="pct"/>
                  <w:vMerge w:val="continue"/>
                  <w:noWrap w:val="0"/>
                  <w:vAlign w:val="center"/>
                </w:tcPr>
                <w:p w14:paraId="4D159D69">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rPr>
                      <w:rFonts w:hint="default" w:ascii="Times New Roman" w:hAnsi="Times New Roman" w:eastAsia="宋体" w:cs="Times New Roman"/>
                      <w:i w:val="0"/>
                      <w:iCs w:val="0"/>
                      <w:color w:val="auto"/>
                      <w:sz w:val="21"/>
                      <w:szCs w:val="21"/>
                      <w:highlight w:val="none"/>
                      <w:u w:val="none"/>
                    </w:rPr>
                  </w:pPr>
                </w:p>
              </w:tc>
              <w:tc>
                <w:tcPr>
                  <w:tcW w:w="815" w:type="pct"/>
                  <w:noWrap w:val="0"/>
                  <w:vAlign w:val="center"/>
                </w:tcPr>
                <w:p w14:paraId="506E2F3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3#水洗池</w:t>
                  </w:r>
                </w:p>
              </w:tc>
              <w:tc>
                <w:tcPr>
                  <w:tcW w:w="673" w:type="pct"/>
                  <w:noWrap w:val="0"/>
                  <w:vAlign w:val="center"/>
                </w:tcPr>
                <w:p w14:paraId="2EA72A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477" w:type="pct"/>
                  <w:noWrap/>
                  <w:vAlign w:val="center"/>
                </w:tcPr>
                <w:p w14:paraId="2C80718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38.4</w:t>
                  </w:r>
                </w:p>
              </w:tc>
              <w:tc>
                <w:tcPr>
                  <w:tcW w:w="2583" w:type="dxa"/>
                  <w:noWrap w:val="0"/>
                  <w:vAlign w:val="center"/>
                </w:tcPr>
                <w:p w14:paraId="1EA18E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1561.68</w:t>
                  </w:r>
                </w:p>
              </w:tc>
            </w:tr>
            <w:tr w14:paraId="0D7D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023" w:type="pct"/>
                  <w:gridSpan w:val="3"/>
                  <w:noWrap w:val="0"/>
                  <w:vAlign w:val="center"/>
                </w:tcPr>
                <w:p w14:paraId="0C042ED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477" w:type="pct"/>
                  <w:noWrap/>
                  <w:vAlign w:val="center"/>
                </w:tcPr>
                <w:p w14:paraId="7990D30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320*</w:t>
                  </w:r>
                </w:p>
              </w:tc>
              <w:tc>
                <w:tcPr>
                  <w:tcW w:w="2583" w:type="dxa"/>
                  <w:noWrap w:val="0"/>
                  <w:vAlign w:val="center"/>
                </w:tcPr>
                <w:p w14:paraId="00861FA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4685.04</w:t>
                  </w:r>
                </w:p>
              </w:tc>
            </w:tr>
            <w:tr w14:paraId="08905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000" w:type="pct"/>
                  <w:gridSpan w:val="5"/>
                  <w:noWrap w:val="0"/>
                  <w:vAlign w:val="center"/>
                </w:tcPr>
                <w:p w14:paraId="5556C12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备注：①整槽更换槽液=槽液量×更换频率（槽液更换不考虑损耗）；</w:t>
                  </w:r>
                </w:p>
                <w:p w14:paraId="7F6E5916">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②溢流废水产生量=溢流用水×排污系数，排污系数按0.9计算；</w:t>
                  </w:r>
                </w:p>
                <w:p w14:paraId="5D432E1A">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③无铬钝化工序产生的废槽液按危废处置，故整池更换产生的废水量=342.4-22.4=320m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/a。</w:t>
                  </w:r>
                </w:p>
              </w:tc>
            </w:tr>
          </w:tbl>
          <w:p w14:paraId="61C448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auto"/>
                <w:sz w:val="24"/>
                <w:szCs w:val="24"/>
                <w:highlight w:val="none"/>
                <w:lang w:val="en-US" w:eastAsia="zh-CN"/>
              </w:rPr>
            </w:pPr>
          </w:p>
          <w:p w14:paraId="4E9476D2">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根据表4-14的计算，本项目前处理用水和废水产生情况如下所示。</w:t>
            </w:r>
          </w:p>
          <w:p w14:paraId="2ED99319">
            <w:pPr>
              <w:keepNext w:val="0"/>
              <w:keepLines w:val="0"/>
              <w:widowControl/>
              <w:numPr>
                <w:ilvl w:val="0"/>
                <w:numId w:val="0"/>
              </w:numPr>
              <w:suppressLineNumbers w:val="0"/>
              <w:tabs>
                <w:tab w:val="left" w:pos="0"/>
              </w:tabs>
              <w:spacing w:before="0" w:beforeAutospacing="0" w:after="0" w:afterAutospacing="0" w:line="240" w:lineRule="auto"/>
              <w:ind w:left="0" w:leftChars="0" w:right="0" w:rightChars="0" w:firstLine="40" w:firstLineChars="0"/>
              <w:jc w:val="center"/>
              <w:rPr>
                <w:rFonts w:hint="default" w:ascii="Times New Roman" w:hAnsi="Times New Roman"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 xml:space="preserve">2 </w:t>
            </w:r>
            <w:r>
              <w:rPr>
                <w:rFonts w:hint="default" w:ascii="Times New Roman" w:hAnsi="Times New Roman" w:cs="Times New Roman"/>
                <w:b/>
                <w:bCs/>
                <w:color w:val="auto"/>
                <w:sz w:val="21"/>
                <w:szCs w:val="21"/>
                <w:highlight w:val="none"/>
                <w:lang w:val="en-US" w:eastAsia="zh-CN"/>
              </w:rPr>
              <w:t>前处理用水和废水产生一览表 单位：m</w:t>
            </w:r>
            <w:r>
              <w:rPr>
                <w:rFonts w:hint="default" w:ascii="Times New Roman" w:hAnsi="Times New Roman" w:cs="Times New Roman"/>
                <w:b/>
                <w:bCs/>
                <w:color w:val="auto"/>
                <w:sz w:val="21"/>
                <w:szCs w:val="21"/>
                <w:highlight w:val="none"/>
                <w:vertAlign w:val="superscript"/>
                <w:lang w:val="en-US" w:eastAsia="zh-CN"/>
              </w:rPr>
              <w:t>3</w:t>
            </w:r>
            <w:r>
              <w:rPr>
                <w:rFonts w:hint="default" w:ascii="Times New Roman" w:hAnsi="Times New Roman" w:cs="Times New Roman"/>
                <w:b/>
                <w:bCs/>
                <w:color w:val="auto"/>
                <w:sz w:val="21"/>
                <w:szCs w:val="21"/>
                <w:highlight w:val="none"/>
                <w:lang w:val="en-US" w:eastAsia="zh-CN"/>
              </w:rPr>
              <w:t>/a</w:t>
            </w:r>
          </w:p>
          <w:tbl>
            <w:tblPr>
              <w:tblStyle w:val="48"/>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74"/>
              <w:gridCol w:w="5337"/>
            </w:tblGrid>
            <w:tr w14:paraId="1FDBB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72BA1E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项目</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6082A3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废水</w:t>
                  </w:r>
                </w:p>
              </w:tc>
            </w:tr>
            <w:tr w14:paraId="2F241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2FCBE5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整池更换</w:t>
                  </w:r>
                  <w:r>
                    <w:rPr>
                      <w:rFonts w:hint="default" w:ascii="Times New Roman" w:hAnsi="Times New Roman" w:cs="Times New Roman"/>
                      <w:i w:val="0"/>
                      <w:iCs w:val="0"/>
                      <w:color w:val="auto"/>
                      <w:kern w:val="0"/>
                      <w:sz w:val="21"/>
                      <w:szCs w:val="21"/>
                      <w:highlight w:val="none"/>
                      <w:u w:val="none"/>
                      <w:lang w:val="en-US" w:eastAsia="zh-CN" w:bidi="ar"/>
                    </w:rPr>
                    <w:t>废水</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4CC8BE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cs="Times New Roman"/>
                      <w:i w:val="0"/>
                      <w:iCs w:val="0"/>
                      <w:color w:val="auto"/>
                      <w:kern w:val="0"/>
                      <w:sz w:val="21"/>
                      <w:szCs w:val="21"/>
                      <w:highlight w:val="none"/>
                      <w:u w:val="none"/>
                      <w:lang w:val="en-US" w:eastAsia="zh-CN" w:bidi="ar"/>
                    </w:rPr>
                    <w:t>320</w:t>
                  </w:r>
                </w:p>
              </w:tc>
            </w:tr>
            <w:tr w14:paraId="36E44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0ABF52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溢流</w:t>
                  </w:r>
                  <w:r>
                    <w:rPr>
                      <w:rFonts w:hint="default" w:ascii="Times New Roman" w:hAnsi="Times New Roman" w:cs="Times New Roman"/>
                      <w:i w:val="0"/>
                      <w:iCs w:val="0"/>
                      <w:color w:val="auto"/>
                      <w:kern w:val="0"/>
                      <w:sz w:val="21"/>
                      <w:szCs w:val="21"/>
                      <w:highlight w:val="none"/>
                      <w:u w:val="none"/>
                      <w:lang w:val="en-US" w:eastAsia="zh-CN" w:bidi="ar"/>
                    </w:rPr>
                    <w:t>废水</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503CD3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eastAsia" w:cs="Times New Roman"/>
                      <w:i w:val="0"/>
                      <w:iCs w:val="0"/>
                      <w:color w:val="auto"/>
                      <w:kern w:val="0"/>
                      <w:sz w:val="21"/>
                      <w:szCs w:val="21"/>
                      <w:highlight w:val="none"/>
                      <w:u w:val="none"/>
                      <w:lang w:val="en-US" w:eastAsia="zh-CN" w:bidi="ar"/>
                    </w:rPr>
                    <w:t>4685.04</w:t>
                  </w:r>
                </w:p>
              </w:tc>
            </w:tr>
            <w:tr w14:paraId="3E3EA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126CB0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单条前处理线</w:t>
                  </w:r>
                  <w:r>
                    <w:rPr>
                      <w:rFonts w:hint="default" w:ascii="Times New Roman" w:hAnsi="Times New Roman" w:cs="Times New Roman"/>
                      <w:i w:val="0"/>
                      <w:iCs w:val="0"/>
                      <w:color w:val="auto"/>
                      <w:kern w:val="0"/>
                      <w:sz w:val="21"/>
                      <w:szCs w:val="21"/>
                      <w:highlight w:val="none"/>
                      <w:u w:val="none"/>
                      <w:lang w:val="en-US" w:eastAsia="zh-CN" w:bidi="ar"/>
                    </w:rPr>
                    <w:t>合计</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0AD6AC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5005.04</w:t>
                  </w:r>
                </w:p>
              </w:tc>
            </w:tr>
            <w:tr w14:paraId="7DF4F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827" w:type="pct"/>
                  <w:tcBorders>
                    <w:top w:val="single" w:color="000000" w:sz="4" w:space="0"/>
                    <w:left w:val="single" w:color="000000" w:sz="4" w:space="0"/>
                    <w:bottom w:val="single" w:color="000000" w:sz="4" w:space="0"/>
                    <w:right w:val="single" w:color="000000" w:sz="4" w:space="0"/>
                  </w:tcBorders>
                  <w:noWrap w:val="0"/>
                  <w:vAlign w:val="center"/>
                </w:tcPr>
                <w:p w14:paraId="21191C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合计</w:t>
                  </w:r>
                </w:p>
              </w:tc>
              <w:tc>
                <w:tcPr>
                  <w:tcW w:w="3172" w:type="pct"/>
                  <w:tcBorders>
                    <w:top w:val="single" w:color="000000" w:sz="4" w:space="0"/>
                    <w:left w:val="single" w:color="000000" w:sz="4" w:space="0"/>
                    <w:bottom w:val="single" w:color="000000" w:sz="4" w:space="0"/>
                    <w:right w:val="single" w:color="000000" w:sz="4" w:space="0"/>
                  </w:tcBorders>
                  <w:noWrap w:val="0"/>
                  <w:vAlign w:val="center"/>
                </w:tcPr>
                <w:p w14:paraId="662A70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10010.08（2条生产线）</w:t>
                  </w:r>
                </w:p>
              </w:tc>
            </w:tr>
          </w:tbl>
          <w:p w14:paraId="204FC8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auto"/>
                <w:sz w:val="24"/>
                <w:szCs w:val="24"/>
                <w:highlight w:val="none"/>
                <w:lang w:val="en-US" w:eastAsia="zh-CN"/>
              </w:rPr>
            </w:pPr>
          </w:p>
          <w:p w14:paraId="55D04BA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综上，项目</w:t>
            </w:r>
            <w:r>
              <w:rPr>
                <w:rFonts w:hint="eastAsia" w:cs="Times New Roman"/>
                <w:color w:val="auto"/>
                <w:sz w:val="24"/>
                <w:szCs w:val="24"/>
                <w:highlight w:val="none"/>
                <w:lang w:val="en-US" w:eastAsia="zh-CN"/>
              </w:rPr>
              <w:t>2条</w:t>
            </w:r>
            <w:r>
              <w:rPr>
                <w:rFonts w:hint="default" w:ascii="Times New Roman" w:hAnsi="Times New Roman" w:cs="Times New Roman"/>
                <w:color w:val="auto"/>
                <w:sz w:val="24"/>
                <w:szCs w:val="24"/>
                <w:highlight w:val="none"/>
              </w:rPr>
              <w:t>前处理生产线共产生废水</w:t>
            </w:r>
            <w:r>
              <w:rPr>
                <w:rFonts w:hint="eastAsia" w:cs="Times New Roman"/>
                <w:i w:val="0"/>
                <w:iCs w:val="0"/>
                <w:color w:val="auto"/>
                <w:kern w:val="0"/>
                <w:sz w:val="24"/>
                <w:szCs w:val="24"/>
                <w:highlight w:val="none"/>
                <w:u w:val="none"/>
                <w:lang w:val="en-US" w:eastAsia="zh-CN" w:bidi="ar"/>
              </w:rPr>
              <w:t>10010.08</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p>
          <w:p w14:paraId="7029A281">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（3）</w:t>
            </w:r>
            <w:r>
              <w:rPr>
                <w:rFonts w:hint="eastAsia" w:cs="Times New Roman"/>
                <w:b/>
                <w:bCs/>
                <w:color w:val="auto"/>
                <w:sz w:val="24"/>
                <w:szCs w:val="24"/>
                <w:highlight w:val="none"/>
                <w:lang w:val="en-US" w:eastAsia="zh-CN"/>
              </w:rPr>
              <w:t>外排生产</w:t>
            </w:r>
            <w:r>
              <w:rPr>
                <w:rFonts w:hint="default" w:ascii="Times New Roman" w:hAnsi="Times New Roman" w:cs="Times New Roman"/>
                <w:b/>
                <w:bCs/>
                <w:color w:val="auto"/>
                <w:sz w:val="24"/>
                <w:szCs w:val="24"/>
                <w:highlight w:val="none"/>
                <w:lang w:val="en-US" w:eastAsia="zh-CN"/>
              </w:rPr>
              <w:t>废水源强核算</w:t>
            </w:r>
          </w:p>
          <w:p w14:paraId="1FEAB8FE">
            <w:pPr>
              <w:keepNext w:val="0"/>
              <w:keepLines w:val="0"/>
              <w:suppressLineNumbers w:val="0"/>
              <w:spacing w:before="0" w:beforeAutospacing="0" w:after="0" w:afterAutospacing="0" w:line="360" w:lineRule="auto"/>
              <w:ind w:left="0" w:right="0" w:firstLine="480" w:firstLineChars="200"/>
              <w:rPr>
                <w:rFonts w:hint="default"/>
                <w:color w:val="auto"/>
                <w:lang w:val="en-US" w:eastAsia="zh-CN"/>
              </w:rPr>
            </w:pPr>
            <w:r>
              <w:rPr>
                <w:rFonts w:hint="default" w:ascii="Times New Roman" w:hAnsi="Times New Roman" w:cs="Times New Roman"/>
                <w:color w:val="auto"/>
                <w:sz w:val="24"/>
                <w:szCs w:val="24"/>
                <w:highlight w:val="none"/>
                <w:lang w:val="en-US" w:eastAsia="zh-CN"/>
              </w:rPr>
              <w:t>本项目</w:t>
            </w:r>
            <w:r>
              <w:rPr>
                <w:rFonts w:hint="default" w:ascii="Times New Roman" w:hAnsi="Times New Roman" w:cs="Times New Roman"/>
                <w:color w:val="auto"/>
                <w:sz w:val="24"/>
                <w:szCs w:val="24"/>
                <w:highlight w:val="none"/>
              </w:rPr>
              <w:t>主要污染物为pH、COD</w:t>
            </w:r>
            <w:r>
              <w:rPr>
                <w:rFonts w:hint="default" w:ascii="Times New Roman" w:hAnsi="Times New Roman" w:cs="Times New Roman"/>
                <w:color w:val="auto"/>
                <w:sz w:val="24"/>
                <w:szCs w:val="24"/>
                <w:highlight w:val="none"/>
                <w:vertAlign w:val="subscript"/>
              </w:rPr>
              <w:t>Cr</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BOD</w:t>
            </w:r>
            <w:r>
              <w:rPr>
                <w:rFonts w:hint="default" w:ascii="Times New Roman" w:hAnsi="Times New Roman" w:cs="Times New Roman"/>
                <w:color w:val="auto"/>
                <w:sz w:val="24"/>
                <w:szCs w:val="24"/>
                <w:highlight w:val="none"/>
                <w:vertAlign w:val="subscript"/>
                <w:lang w:val="en-US" w:eastAsia="zh-CN"/>
              </w:rPr>
              <w:t>5</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SS、</w:t>
            </w:r>
            <w:r>
              <w:rPr>
                <w:rFonts w:hint="default" w:ascii="Times New Roman" w:hAnsi="Times New Roman" w:cs="Times New Roman"/>
                <w:color w:val="auto"/>
                <w:sz w:val="24"/>
                <w:szCs w:val="24"/>
                <w:highlight w:val="none"/>
                <w:lang w:val="en-US" w:eastAsia="zh-CN"/>
              </w:rPr>
              <w:t>NH</w:t>
            </w:r>
            <w:r>
              <w:rPr>
                <w:rFonts w:hint="default" w:ascii="Times New Roman" w:hAnsi="Times New Roman" w:cs="Times New Roman"/>
                <w:color w:val="auto"/>
                <w:sz w:val="24"/>
                <w:szCs w:val="24"/>
                <w:highlight w:val="none"/>
                <w:vertAlign w:val="subscript"/>
                <w:lang w:val="en-US" w:eastAsia="zh-CN"/>
              </w:rPr>
              <w:t>3</w:t>
            </w:r>
            <w:r>
              <w:rPr>
                <w:rFonts w:hint="default" w:ascii="Times New Roman" w:hAnsi="Times New Roman" w:cs="Times New Roman"/>
                <w:color w:val="auto"/>
                <w:sz w:val="24"/>
                <w:szCs w:val="24"/>
                <w:highlight w:val="none"/>
                <w:lang w:val="en-US" w:eastAsia="zh-CN"/>
              </w:rPr>
              <w:t>-N、</w:t>
            </w:r>
            <w:r>
              <w:rPr>
                <w:rFonts w:hint="default" w:ascii="Times New Roman" w:hAnsi="Times New Roman" w:cs="Times New Roman"/>
                <w:color w:val="auto"/>
                <w:sz w:val="24"/>
                <w:szCs w:val="24"/>
                <w:highlight w:val="none"/>
              </w:rPr>
              <w:t>氟化物</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TP、TN、</w:t>
            </w:r>
            <w:r>
              <w:rPr>
                <w:rFonts w:hint="default" w:ascii="Times New Roman" w:hAnsi="Times New Roman" w:cs="Times New Roman"/>
                <w:color w:val="auto"/>
                <w:sz w:val="24"/>
                <w:szCs w:val="24"/>
                <w:highlight w:val="none"/>
              </w:rPr>
              <w:t>LAS</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总铝</w:t>
            </w:r>
            <w:r>
              <w:rPr>
                <w:rFonts w:hint="default" w:ascii="Times New Roman" w:hAnsi="Times New Roman" w:cs="Times New Roman"/>
                <w:color w:val="auto"/>
                <w:sz w:val="24"/>
                <w:szCs w:val="24"/>
                <w:highlight w:val="none"/>
              </w:rPr>
              <w:t>和石油类</w:t>
            </w:r>
            <w:r>
              <w:rPr>
                <w:rFonts w:hint="default" w:ascii="Times New Roman" w:hAnsi="Times New Roman" w:cs="Times New Roman"/>
                <w:color w:val="auto"/>
                <w:sz w:val="24"/>
                <w:szCs w:val="24"/>
                <w:highlight w:val="none"/>
                <w:lang w:eastAsia="zh-CN"/>
              </w:rPr>
              <w:t>。</w:t>
            </w:r>
          </w:p>
          <w:p w14:paraId="05B08D88">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w:t>
            </w:r>
            <w:r>
              <w:rPr>
                <w:rFonts w:hint="eastAsia" w:cs="Times New Roman"/>
                <w:color w:val="auto"/>
                <w:sz w:val="24"/>
                <w:szCs w:val="24"/>
                <w:highlight w:val="none"/>
                <w:lang w:val="en-US" w:eastAsia="zh-CN"/>
              </w:rPr>
              <w:t>外排</w:t>
            </w:r>
            <w:r>
              <w:rPr>
                <w:rFonts w:hint="default" w:ascii="Times New Roman" w:hAnsi="Times New Roman" w:cs="Times New Roman"/>
                <w:color w:val="auto"/>
                <w:sz w:val="24"/>
                <w:szCs w:val="24"/>
                <w:highlight w:val="none"/>
                <w:lang w:val="en-US" w:eastAsia="zh-CN"/>
              </w:rPr>
              <w:t>生产废水</w:t>
            </w:r>
            <w:r>
              <w:rPr>
                <w:rFonts w:hint="eastAsia" w:cs="Times New Roman"/>
                <w:color w:val="auto"/>
                <w:sz w:val="24"/>
                <w:szCs w:val="24"/>
                <w:highlight w:val="none"/>
                <w:lang w:val="en-US" w:eastAsia="zh-CN"/>
              </w:rPr>
              <w:t>为前处理废水，</w:t>
            </w:r>
            <w:r>
              <w:rPr>
                <w:rFonts w:hint="default" w:ascii="Times New Roman" w:hAnsi="Times New Roman" w:cs="Times New Roman"/>
                <w:color w:val="auto"/>
                <w:sz w:val="24"/>
                <w:szCs w:val="24"/>
                <w:highlight w:val="none"/>
                <w:lang w:val="en-US" w:eastAsia="zh-CN"/>
              </w:rPr>
              <w:t>各污染物产生浓度类比项目《佛山市亿鑫创金属科技有限责任公司铝型材制造项目（一期）验收检测报告》（报告编号：弗雷德检字(2025)第 0425B19 号）</w:t>
            </w:r>
            <w:r>
              <w:rPr>
                <w:rFonts w:hint="eastAsia" w:cs="Times New Roman"/>
                <w:color w:val="auto"/>
                <w:sz w:val="24"/>
                <w:szCs w:val="24"/>
                <w:highlight w:val="none"/>
                <w:lang w:val="en-US" w:eastAsia="zh-CN"/>
              </w:rPr>
              <w:t>和《佛山市现泰铝业有限公司建设项目》（批复文号佛环南审[2026]25号）</w:t>
            </w:r>
            <w:r>
              <w:rPr>
                <w:rFonts w:hint="default" w:ascii="Times New Roman" w:hAnsi="Times New Roman" w:cs="Times New Roman"/>
                <w:color w:val="auto"/>
                <w:sz w:val="24"/>
                <w:szCs w:val="24"/>
                <w:highlight w:val="none"/>
                <w:lang w:val="en-US" w:eastAsia="zh-CN"/>
              </w:rPr>
              <w:t>，佛山市亿鑫创金属科技有限责任公司</w:t>
            </w:r>
            <w:r>
              <w:rPr>
                <w:rFonts w:hint="eastAsia" w:cs="Times New Roman"/>
                <w:color w:val="auto"/>
                <w:sz w:val="24"/>
                <w:szCs w:val="24"/>
                <w:highlight w:val="none"/>
                <w:lang w:val="en-US" w:eastAsia="zh-CN"/>
              </w:rPr>
              <w:t>、佛山市现泰铝业有限公司建设项目</w:t>
            </w:r>
            <w:r>
              <w:rPr>
                <w:rFonts w:hint="default" w:ascii="Times New Roman" w:hAnsi="Times New Roman" w:cs="Times New Roman"/>
                <w:color w:val="auto"/>
                <w:sz w:val="24"/>
                <w:szCs w:val="24"/>
                <w:highlight w:val="none"/>
                <w:lang w:val="en-US" w:eastAsia="zh-CN"/>
              </w:rPr>
              <w:t>其生产工艺与本项目基本一致，废水产生及处理工艺类似，因此具有可类比性，类比结果详见下表。</w:t>
            </w:r>
          </w:p>
          <w:p w14:paraId="76EDE699">
            <w:pPr>
              <w:keepNext w:val="0"/>
              <w:keepLines w:val="0"/>
              <w:widowControl/>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0"/>
                <w:sz w:val="21"/>
                <w:szCs w:val="21"/>
                <w:lang w:val="en-US" w:eastAsia="zh-CN" w:bidi="ar"/>
              </w:rPr>
              <w:t>表4-2</w:t>
            </w:r>
            <w:r>
              <w:rPr>
                <w:rFonts w:hint="eastAsia" w:cs="Times New Roman"/>
                <w:b/>
                <w:bCs/>
                <w:color w:val="auto"/>
                <w:kern w:val="0"/>
                <w:sz w:val="21"/>
                <w:szCs w:val="21"/>
                <w:lang w:val="en-US" w:eastAsia="zh-CN" w:bidi="ar"/>
              </w:rPr>
              <w:t>3</w:t>
            </w:r>
            <w:r>
              <w:rPr>
                <w:rFonts w:hint="eastAsia" w:cs="Times New Roman"/>
                <w:b/>
                <w:bCs/>
                <w:color w:val="auto"/>
                <w:kern w:val="0"/>
                <w:sz w:val="21"/>
                <w:szCs w:val="21"/>
                <w:highlight w:val="none"/>
                <w:lang w:val="en-US" w:eastAsia="zh-CN" w:bidi="ar"/>
              </w:rPr>
              <w:t>外排生产</w:t>
            </w:r>
            <w:r>
              <w:rPr>
                <w:rFonts w:hint="default" w:ascii="Times New Roman" w:hAnsi="Times New Roman" w:eastAsia="宋体" w:cs="Times New Roman"/>
                <w:b/>
                <w:bCs/>
                <w:color w:val="auto"/>
                <w:kern w:val="0"/>
                <w:sz w:val="21"/>
                <w:szCs w:val="21"/>
                <w:highlight w:val="none"/>
                <w:lang w:val="en-US" w:eastAsia="zh-CN" w:bidi="ar"/>
              </w:rPr>
              <w:t>废水水质类比可行性</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569"/>
              <w:gridCol w:w="2475"/>
              <w:gridCol w:w="2245"/>
              <w:gridCol w:w="2480"/>
              <w:gridCol w:w="844"/>
            </w:tblGrid>
            <w:tr w14:paraId="6C4EB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569" w:type="dxa"/>
                  <w:shd w:val="clear" w:color="auto" w:fill="auto"/>
                  <w:tcMar>
                    <w:top w:w="0" w:type="dxa"/>
                    <w:left w:w="0" w:type="dxa"/>
                    <w:bottom w:w="0" w:type="dxa"/>
                    <w:right w:w="0" w:type="dxa"/>
                  </w:tcMar>
                  <w:vAlign w:val="center"/>
                </w:tcPr>
                <w:p w14:paraId="4DA29621">
                  <w:pPr>
                    <w:keepNext w:val="0"/>
                    <w:keepLines w:val="0"/>
                    <w:widowControl/>
                    <w:suppressLineNumbers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项目</w:t>
                  </w:r>
                </w:p>
              </w:tc>
              <w:tc>
                <w:tcPr>
                  <w:tcW w:w="2475" w:type="dxa"/>
                  <w:shd w:val="clear" w:color="auto" w:fill="auto"/>
                  <w:tcMar>
                    <w:top w:w="0" w:type="dxa"/>
                    <w:left w:w="0" w:type="dxa"/>
                    <w:bottom w:w="0" w:type="dxa"/>
                    <w:right w:w="0" w:type="dxa"/>
                  </w:tcMar>
                  <w:vAlign w:val="center"/>
                </w:tcPr>
                <w:p w14:paraId="1ED8904A">
                  <w:pPr>
                    <w:keepNext w:val="0"/>
                    <w:keepLines w:val="0"/>
                    <w:widowControl/>
                    <w:suppressLineNumbers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本项目</w:t>
                  </w:r>
                </w:p>
              </w:tc>
              <w:tc>
                <w:tcPr>
                  <w:tcW w:w="2245" w:type="dxa"/>
                  <w:shd w:val="clear" w:color="auto" w:fill="auto"/>
                  <w:tcMar>
                    <w:top w:w="0" w:type="dxa"/>
                    <w:left w:w="0" w:type="dxa"/>
                    <w:bottom w:w="0" w:type="dxa"/>
                    <w:right w:w="0" w:type="dxa"/>
                  </w:tcMar>
                  <w:vAlign w:val="center"/>
                </w:tcPr>
                <w:p w14:paraId="4DE11AC0">
                  <w:pPr>
                    <w:keepNext w:val="0"/>
                    <w:keepLines w:val="0"/>
                    <w:widowControl/>
                    <w:suppressLineNumbers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佛山市亿鑫创金属科技有限责任公司铝型材制造项目（一期）</w:t>
                  </w:r>
                </w:p>
              </w:tc>
              <w:tc>
                <w:tcPr>
                  <w:tcW w:w="2480" w:type="dxa"/>
                  <w:shd w:val="clear" w:color="auto" w:fill="auto"/>
                  <w:tcMar>
                    <w:top w:w="0" w:type="dxa"/>
                    <w:left w:w="0" w:type="dxa"/>
                    <w:bottom w:w="0" w:type="dxa"/>
                    <w:right w:w="0" w:type="dxa"/>
                  </w:tcMar>
                  <w:vAlign w:val="center"/>
                </w:tcPr>
                <w:p w14:paraId="60DFA92E">
                  <w:pPr>
                    <w:keepNext w:val="0"/>
                    <w:keepLines w:val="0"/>
                    <w:widowControl/>
                    <w:suppressLineNumbers w:val="0"/>
                    <w:spacing w:line="240" w:lineRule="auto"/>
                    <w:jc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eastAsia="宋体" w:cs="Times New Roman"/>
                      <w:b/>
                      <w:bCs/>
                      <w:color w:val="auto"/>
                      <w:sz w:val="21"/>
                      <w:szCs w:val="21"/>
                      <w:highlight w:val="none"/>
                      <w:lang w:val="en-US" w:eastAsia="zh-CN"/>
                    </w:rPr>
                    <w:t>佛山市现泰铝业有限公司建设项目</w:t>
                  </w:r>
                </w:p>
              </w:tc>
              <w:tc>
                <w:tcPr>
                  <w:tcW w:w="844" w:type="dxa"/>
                  <w:shd w:val="clear" w:color="auto" w:fill="auto"/>
                  <w:tcMar>
                    <w:top w:w="0" w:type="dxa"/>
                    <w:left w:w="0" w:type="dxa"/>
                    <w:bottom w:w="0" w:type="dxa"/>
                    <w:right w:w="0" w:type="dxa"/>
                  </w:tcMar>
                  <w:vAlign w:val="center"/>
                </w:tcPr>
                <w:p w14:paraId="5AE33BAC">
                  <w:pPr>
                    <w:keepNext w:val="0"/>
                    <w:keepLines w:val="0"/>
                    <w:widowControl/>
                    <w:suppressLineNumbers w:val="0"/>
                    <w:spacing w:line="240" w:lineRule="auto"/>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lang w:val="en-US" w:eastAsia="zh-CN" w:bidi="ar"/>
                    </w:rPr>
                    <w:t>对比情况</w:t>
                  </w:r>
                </w:p>
              </w:tc>
            </w:tr>
            <w:tr w14:paraId="546C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9" w:type="dxa"/>
                  <w:shd w:val="clear" w:color="auto" w:fill="auto"/>
                  <w:tcMar>
                    <w:top w:w="0" w:type="dxa"/>
                    <w:left w:w="0" w:type="dxa"/>
                    <w:bottom w:w="0" w:type="dxa"/>
                    <w:right w:w="0" w:type="dxa"/>
                  </w:tcMar>
                  <w:vAlign w:val="center"/>
                </w:tcPr>
                <w:p w14:paraId="2EDB8252">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产品</w:t>
                  </w:r>
                </w:p>
              </w:tc>
              <w:tc>
                <w:tcPr>
                  <w:tcW w:w="2475" w:type="dxa"/>
                  <w:shd w:val="clear" w:color="auto" w:fill="auto"/>
                  <w:tcMar>
                    <w:top w:w="0" w:type="dxa"/>
                    <w:left w:w="0" w:type="dxa"/>
                    <w:bottom w:w="0" w:type="dxa"/>
                    <w:right w:w="0" w:type="dxa"/>
                  </w:tcMar>
                  <w:vAlign w:val="center"/>
                </w:tcPr>
                <w:p w14:paraId="6A9C4EF8">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铝型材</w:t>
                  </w:r>
                </w:p>
              </w:tc>
              <w:tc>
                <w:tcPr>
                  <w:tcW w:w="2245" w:type="dxa"/>
                  <w:shd w:val="clear" w:color="auto" w:fill="auto"/>
                  <w:tcMar>
                    <w:top w:w="0" w:type="dxa"/>
                    <w:left w:w="0" w:type="dxa"/>
                    <w:bottom w:w="0" w:type="dxa"/>
                    <w:right w:w="0" w:type="dxa"/>
                  </w:tcMar>
                  <w:vAlign w:val="center"/>
                </w:tcPr>
                <w:p w14:paraId="7C83E3C8">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铝型材</w:t>
                  </w:r>
                </w:p>
              </w:tc>
              <w:tc>
                <w:tcPr>
                  <w:tcW w:w="2480" w:type="dxa"/>
                  <w:shd w:val="clear" w:color="auto" w:fill="auto"/>
                  <w:tcMar>
                    <w:top w:w="0" w:type="dxa"/>
                    <w:left w:w="0" w:type="dxa"/>
                    <w:bottom w:w="0" w:type="dxa"/>
                    <w:right w:w="0" w:type="dxa"/>
                  </w:tcMar>
                  <w:vAlign w:val="center"/>
                </w:tcPr>
                <w:p w14:paraId="66773F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sz w:val="21"/>
                      <w:szCs w:val="21"/>
                      <w:highlight w:val="none"/>
                      <w:u w:val="none"/>
                      <w:lang w:val="en-US" w:eastAsia="zh-CN"/>
                    </w:rPr>
                    <w:t>铝制品</w:t>
                  </w:r>
                </w:p>
              </w:tc>
              <w:tc>
                <w:tcPr>
                  <w:tcW w:w="844" w:type="dxa"/>
                  <w:shd w:val="clear" w:color="auto" w:fill="auto"/>
                  <w:tcMar>
                    <w:top w:w="0" w:type="dxa"/>
                    <w:left w:w="0" w:type="dxa"/>
                    <w:bottom w:w="0" w:type="dxa"/>
                    <w:right w:w="0" w:type="dxa"/>
                  </w:tcMar>
                  <w:vAlign w:val="center"/>
                </w:tcPr>
                <w:p w14:paraId="5FAB06E4">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均为金属类的产品</w:t>
                  </w:r>
                </w:p>
              </w:tc>
            </w:tr>
            <w:tr w14:paraId="49EB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9" w:type="dxa"/>
                  <w:shd w:val="clear" w:color="auto" w:fill="auto"/>
                  <w:tcMar>
                    <w:top w:w="0" w:type="dxa"/>
                    <w:left w:w="0" w:type="dxa"/>
                    <w:bottom w:w="0" w:type="dxa"/>
                    <w:right w:w="0" w:type="dxa"/>
                  </w:tcMar>
                  <w:vAlign w:val="center"/>
                </w:tcPr>
                <w:p w14:paraId="08D5C265">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表面处理工艺</w:t>
                  </w:r>
                </w:p>
              </w:tc>
              <w:tc>
                <w:tcPr>
                  <w:tcW w:w="2475" w:type="dxa"/>
                  <w:shd w:val="clear" w:color="auto" w:fill="auto"/>
                  <w:tcMar>
                    <w:top w:w="0" w:type="dxa"/>
                    <w:left w:w="0" w:type="dxa"/>
                    <w:bottom w:w="0" w:type="dxa"/>
                    <w:right w:w="0" w:type="dxa"/>
                  </w:tcMar>
                  <w:vAlign w:val="center"/>
                </w:tcPr>
                <w:p w14:paraId="7728781B">
                  <w:pPr>
                    <w:keepNext w:val="0"/>
                    <w:keepLines w:val="0"/>
                    <w:widowControl/>
                    <w:suppressLineNumbers w:val="0"/>
                    <w:spacing w:line="240" w:lineRule="auto"/>
                    <w:jc w:val="center"/>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kern w:val="0"/>
                      <w:sz w:val="21"/>
                      <w:szCs w:val="21"/>
                      <w:lang w:val="en-US" w:eastAsia="zh-CN" w:bidi="ar"/>
                    </w:rPr>
                    <w:t>清水→脱脂除油→清水→脱脂除油→清水→无铬钝化→清水</w:t>
                  </w:r>
                </w:p>
              </w:tc>
              <w:tc>
                <w:tcPr>
                  <w:tcW w:w="2245" w:type="dxa"/>
                  <w:shd w:val="clear" w:color="auto" w:fill="auto"/>
                  <w:tcMar>
                    <w:top w:w="0" w:type="dxa"/>
                    <w:left w:w="0" w:type="dxa"/>
                    <w:bottom w:w="0" w:type="dxa"/>
                    <w:right w:w="0" w:type="dxa"/>
                  </w:tcMar>
                  <w:vAlign w:val="center"/>
                </w:tcPr>
                <w:p w14:paraId="5BAE5051">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铝→除油→除油→水洗→水洗→皮膜→水洗</w:t>
                  </w:r>
                </w:p>
              </w:tc>
              <w:tc>
                <w:tcPr>
                  <w:tcW w:w="2480" w:type="dxa"/>
                  <w:shd w:val="clear" w:color="auto" w:fill="auto"/>
                  <w:tcMar>
                    <w:top w:w="0" w:type="dxa"/>
                    <w:left w:w="0" w:type="dxa"/>
                    <w:bottom w:w="0" w:type="dxa"/>
                    <w:right w:w="0" w:type="dxa"/>
                  </w:tcMar>
                  <w:vAlign w:val="center"/>
                </w:tcPr>
                <w:p w14:paraId="5EAC57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i w:val="0"/>
                      <w:iCs w:val="0"/>
                      <w:color w:val="auto"/>
                      <w:sz w:val="21"/>
                      <w:szCs w:val="21"/>
                      <w:highlight w:val="none"/>
                      <w:u w:val="none"/>
                      <w:lang w:val="en-US" w:eastAsia="zh-CN"/>
                    </w:rPr>
                    <w:t>预脱脂</w:t>
                  </w:r>
                  <w:r>
                    <w:rPr>
                      <w:rFonts w:hint="default"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i w:val="0"/>
                      <w:iCs w:val="0"/>
                      <w:color w:val="auto"/>
                      <w:sz w:val="21"/>
                      <w:szCs w:val="21"/>
                      <w:highlight w:val="none"/>
                      <w:u w:val="none"/>
                      <w:lang w:val="en-US" w:eastAsia="zh-CN"/>
                    </w:rPr>
                    <w:t>脱脂</w:t>
                  </w:r>
                  <w:r>
                    <w:rPr>
                      <w:rFonts w:hint="default"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i w:val="0"/>
                      <w:iCs w:val="0"/>
                      <w:color w:val="auto"/>
                      <w:sz w:val="21"/>
                      <w:szCs w:val="21"/>
                      <w:highlight w:val="none"/>
                      <w:u w:val="none"/>
                      <w:lang w:val="en-US" w:eastAsia="zh-CN"/>
                    </w:rPr>
                    <w:t>无铬钝化</w:t>
                  </w:r>
                  <w:r>
                    <w:rPr>
                      <w:rFonts w:hint="default"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i w:val="0"/>
                      <w:iCs w:val="0"/>
                      <w:color w:val="auto"/>
                      <w:sz w:val="21"/>
                      <w:szCs w:val="21"/>
                      <w:highlight w:val="none"/>
                      <w:u w:val="none"/>
                      <w:lang w:val="en-US" w:eastAsia="zh-CN"/>
                    </w:rPr>
                    <w:t>烘干</w:t>
                  </w:r>
                </w:p>
              </w:tc>
              <w:tc>
                <w:tcPr>
                  <w:tcW w:w="844" w:type="dxa"/>
                  <w:shd w:val="clear" w:color="auto" w:fill="auto"/>
                  <w:tcMar>
                    <w:top w:w="0" w:type="dxa"/>
                    <w:left w:w="0" w:type="dxa"/>
                    <w:bottom w:w="0" w:type="dxa"/>
                    <w:right w:w="0" w:type="dxa"/>
                  </w:tcMar>
                  <w:vAlign w:val="center"/>
                </w:tcPr>
                <w:p w14:paraId="042B45B7">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相似</w:t>
                  </w:r>
                </w:p>
              </w:tc>
            </w:tr>
            <w:tr w14:paraId="4E3A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9" w:type="dxa"/>
                  <w:shd w:val="clear" w:color="auto" w:fill="auto"/>
                  <w:tcMar>
                    <w:top w:w="0" w:type="dxa"/>
                    <w:left w:w="0" w:type="dxa"/>
                    <w:bottom w:w="0" w:type="dxa"/>
                    <w:right w:w="0" w:type="dxa"/>
                  </w:tcMar>
                  <w:vAlign w:val="center"/>
                </w:tcPr>
                <w:p w14:paraId="1E347663">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原辅材料</w:t>
                  </w:r>
                </w:p>
              </w:tc>
              <w:tc>
                <w:tcPr>
                  <w:tcW w:w="2475" w:type="dxa"/>
                  <w:shd w:val="clear" w:color="auto" w:fill="auto"/>
                  <w:tcMar>
                    <w:top w:w="0" w:type="dxa"/>
                    <w:left w:w="0" w:type="dxa"/>
                    <w:bottom w:w="0" w:type="dxa"/>
                    <w:right w:w="0" w:type="dxa"/>
                  </w:tcMar>
                  <w:vAlign w:val="center"/>
                </w:tcPr>
                <w:p w14:paraId="20D4F42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lang w:val="en-US" w:eastAsia="zh-CN"/>
                    </w:rPr>
                    <w:t>酸性除油剂：</w:t>
                  </w:r>
                  <w:r>
                    <w:rPr>
                      <w:rFonts w:hint="default" w:ascii="Times New Roman" w:hAnsi="Times New Roman" w:eastAsia="宋体" w:cs="Times New Roman"/>
                      <w:color w:val="auto"/>
                      <w:kern w:val="2"/>
                      <w:sz w:val="21"/>
                      <w:szCs w:val="21"/>
                      <w:highlight w:val="none"/>
                    </w:rPr>
                    <w:t>磷酸5%</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醋酸</w:t>
                  </w:r>
                  <w:r>
                    <w:rPr>
                      <w:rFonts w:hint="default" w:ascii="Times New Roman" w:hAnsi="Times New Roman" w:eastAsia="宋体" w:cs="Times New Roman"/>
                      <w:color w:val="auto"/>
                      <w:kern w:val="2"/>
                      <w:sz w:val="21"/>
                      <w:szCs w:val="21"/>
                      <w:highlight w:val="none"/>
                      <w:lang w:val="en-US" w:eastAsia="zh-CN"/>
                    </w:rPr>
                    <w:t>6%、</w:t>
                  </w:r>
                  <w:r>
                    <w:rPr>
                      <w:rFonts w:hint="default" w:ascii="Times New Roman" w:hAnsi="Times New Roman" w:eastAsia="宋体" w:cs="Times New Roman"/>
                      <w:color w:val="auto"/>
                      <w:kern w:val="2"/>
                      <w:sz w:val="21"/>
                      <w:szCs w:val="21"/>
                      <w:highlight w:val="none"/>
                    </w:rPr>
                    <w:t>除油分子</w:t>
                  </w:r>
                  <w:r>
                    <w:rPr>
                      <w:rFonts w:hint="default" w:ascii="Times New Roman" w:hAnsi="Times New Roman" w:eastAsia="宋体" w:cs="Times New Roman"/>
                      <w:color w:val="auto"/>
                      <w:kern w:val="2"/>
                      <w:sz w:val="21"/>
                      <w:szCs w:val="21"/>
                      <w:highlight w:val="none"/>
                      <w:lang w:val="en-US" w:eastAsia="zh-CN"/>
                    </w:rPr>
                    <w:t>10%、</w:t>
                  </w:r>
                  <w:r>
                    <w:rPr>
                      <w:rFonts w:hint="default" w:ascii="Times New Roman" w:hAnsi="Times New Roman" w:eastAsia="宋体" w:cs="Times New Roman"/>
                      <w:color w:val="auto"/>
                      <w:kern w:val="2"/>
                      <w:sz w:val="21"/>
                      <w:szCs w:val="21"/>
                      <w:highlight w:val="none"/>
                    </w:rPr>
                    <w:t>抗氧化剂10%</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柠檬酸</w:t>
                  </w:r>
                  <w:r>
                    <w:rPr>
                      <w:rFonts w:hint="default" w:ascii="Times New Roman" w:hAnsi="Times New Roman" w:eastAsia="宋体" w:cs="Times New Roman"/>
                      <w:color w:val="auto"/>
                      <w:kern w:val="2"/>
                      <w:sz w:val="21"/>
                      <w:szCs w:val="21"/>
                      <w:highlight w:val="none"/>
                      <w:lang w:val="en-US" w:eastAsia="zh-CN"/>
                    </w:rPr>
                    <w:t>3%、</w:t>
                  </w:r>
                  <w:r>
                    <w:rPr>
                      <w:rFonts w:hint="default" w:ascii="Times New Roman" w:hAnsi="Times New Roman" w:eastAsia="宋体" w:cs="Times New Roman"/>
                      <w:color w:val="auto"/>
                      <w:kern w:val="2"/>
                      <w:sz w:val="21"/>
                      <w:szCs w:val="21"/>
                      <w:highlight w:val="none"/>
                    </w:rPr>
                    <w:t>活性剂</w:t>
                  </w:r>
                  <w:r>
                    <w:rPr>
                      <w:rFonts w:hint="default" w:ascii="Times New Roman" w:hAnsi="Times New Roman" w:eastAsia="宋体" w:cs="Times New Roman"/>
                      <w:color w:val="auto"/>
                      <w:kern w:val="2"/>
                      <w:sz w:val="21"/>
                      <w:szCs w:val="21"/>
                      <w:highlight w:val="none"/>
                      <w:lang w:val="en-US" w:eastAsia="zh-CN"/>
                    </w:rPr>
                    <w:t>10%、</w:t>
                  </w:r>
                  <w:r>
                    <w:rPr>
                      <w:rFonts w:hint="default" w:ascii="Times New Roman" w:hAnsi="Times New Roman" w:eastAsia="宋体" w:cs="Times New Roman"/>
                      <w:color w:val="auto"/>
                      <w:kern w:val="2"/>
                      <w:sz w:val="21"/>
                      <w:szCs w:val="21"/>
                      <w:highlight w:val="none"/>
                    </w:rPr>
                    <w:t>氢氟酸</w:t>
                  </w:r>
                  <w:r>
                    <w:rPr>
                      <w:rFonts w:hint="default" w:ascii="Times New Roman" w:hAnsi="Times New Roman" w:eastAsia="宋体" w:cs="Times New Roman"/>
                      <w:color w:val="auto"/>
                      <w:kern w:val="2"/>
                      <w:sz w:val="21"/>
                      <w:szCs w:val="21"/>
                      <w:highlight w:val="none"/>
                      <w:lang w:val="en-US" w:eastAsia="zh-CN"/>
                    </w:rPr>
                    <w:t>1%其他（水）</w:t>
                  </w:r>
                  <w:r>
                    <w:rPr>
                      <w:rFonts w:hint="default" w:ascii="Times New Roman" w:hAnsi="Times New Roman" w:eastAsia="宋体" w:cs="Times New Roman"/>
                      <w:color w:val="auto"/>
                      <w:kern w:val="2"/>
                      <w:sz w:val="21"/>
                      <w:szCs w:val="21"/>
                      <w:highlight w:val="none"/>
                    </w:rPr>
                    <w:t>55%</w:t>
                  </w:r>
                  <w:r>
                    <w:rPr>
                      <w:rFonts w:hint="default" w:ascii="Times New Roman" w:hAnsi="Times New Roman" w:eastAsia="宋体" w:cs="Times New Roman"/>
                      <w:color w:val="auto"/>
                      <w:kern w:val="2"/>
                      <w:sz w:val="21"/>
                      <w:szCs w:val="21"/>
                      <w:highlight w:val="none"/>
                    </w:rPr>
                    <w:br w:type="textWrapping"/>
                  </w:r>
                  <w:r>
                    <w:rPr>
                      <w:rFonts w:hint="default" w:ascii="Times New Roman" w:hAnsi="Times New Roman" w:eastAsia="宋体" w:cs="Times New Roman"/>
                      <w:color w:val="auto"/>
                      <w:kern w:val="2"/>
                      <w:sz w:val="21"/>
                      <w:szCs w:val="21"/>
                      <w:highlight w:val="none"/>
                      <w:lang w:val="en-US" w:eastAsia="zh-CN"/>
                    </w:rPr>
                    <w:t>无铬钝化剂：</w:t>
                  </w:r>
                  <w:r>
                    <w:rPr>
                      <w:rFonts w:hint="default" w:ascii="Times New Roman" w:hAnsi="Times New Roman" w:eastAsia="宋体" w:cs="Times New Roman"/>
                      <w:color w:val="auto"/>
                      <w:kern w:val="2"/>
                      <w:sz w:val="21"/>
                      <w:szCs w:val="21"/>
                      <w:highlight w:val="none"/>
                    </w:rPr>
                    <w:t>氟锆酸5~10%</w:t>
                  </w:r>
                </w:p>
                <w:p w14:paraId="4843BC1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氟钛酸5~10%</w:t>
                  </w:r>
                </w:p>
                <w:p w14:paraId="4DBF07A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2"/>
                      <w:sz w:val="21"/>
                      <w:szCs w:val="21"/>
                      <w:highlight w:val="none"/>
                    </w:rPr>
                    <w:t>环氧改性丙烯酸树脂15~20%</w:t>
                  </w:r>
                  <w:r>
                    <w:rPr>
                      <w:rFonts w:hint="eastAsia"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一水合柠檬酸45~55%</w:t>
                  </w:r>
                </w:p>
              </w:tc>
              <w:tc>
                <w:tcPr>
                  <w:tcW w:w="2245" w:type="dxa"/>
                  <w:shd w:val="clear" w:color="auto" w:fill="auto"/>
                  <w:tcMar>
                    <w:top w:w="0" w:type="dxa"/>
                    <w:left w:w="0" w:type="dxa"/>
                    <w:bottom w:w="0" w:type="dxa"/>
                    <w:right w:w="0" w:type="dxa"/>
                  </w:tcMar>
                  <w:vAlign w:val="center"/>
                </w:tcPr>
                <w:p w14:paraId="754ED12C">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除油剂：硫酸 1%~20%、表面活性剂 1%~20%，剩余部分为水无铬铝皮膜剂：锆酸盐 1~20%、柠檬酸盐 1~15%、聚丙烯树脂 5~15%，剩余成分为纯水</w:t>
                  </w:r>
                </w:p>
              </w:tc>
              <w:tc>
                <w:tcPr>
                  <w:tcW w:w="2480" w:type="dxa"/>
                  <w:shd w:val="clear" w:color="auto" w:fill="auto"/>
                  <w:tcMar>
                    <w:top w:w="0" w:type="dxa"/>
                    <w:left w:w="0" w:type="dxa"/>
                    <w:bottom w:w="0" w:type="dxa"/>
                    <w:right w:w="0" w:type="dxa"/>
                  </w:tcMar>
                  <w:vAlign w:val="center"/>
                </w:tcPr>
                <w:p w14:paraId="48BF15E1">
                  <w:pPr>
                    <w:keepNext w:val="0"/>
                    <w:keepLines w:val="0"/>
                    <w:widowControl/>
                    <w:suppressLineNumbers w:val="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除油剂：碳酸盐、脂肪醇聚氧乙烯醚、添加剂（盐酸）等；无铬钝化剂：氟锆酸铵、柠檬酸（有机酸）、EDTA 钠（络合剂）；氟锆酸、氟钛酸、环氧改性丙烯酸树脂、一水合柠檬酸等</w:t>
                  </w:r>
                </w:p>
              </w:tc>
              <w:tc>
                <w:tcPr>
                  <w:tcW w:w="844" w:type="dxa"/>
                  <w:shd w:val="clear" w:color="auto" w:fill="auto"/>
                  <w:tcMar>
                    <w:top w:w="0" w:type="dxa"/>
                    <w:left w:w="0" w:type="dxa"/>
                    <w:bottom w:w="0" w:type="dxa"/>
                    <w:right w:w="0" w:type="dxa"/>
                  </w:tcMar>
                  <w:vAlign w:val="center"/>
                </w:tcPr>
                <w:p w14:paraId="7328B111">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相似</w:t>
                  </w:r>
                </w:p>
              </w:tc>
            </w:tr>
            <w:tr w14:paraId="77F5F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569" w:type="dxa"/>
                  <w:shd w:val="clear" w:color="auto" w:fill="auto"/>
                  <w:tcMar>
                    <w:top w:w="0" w:type="dxa"/>
                    <w:left w:w="0" w:type="dxa"/>
                    <w:bottom w:w="0" w:type="dxa"/>
                    <w:right w:w="0" w:type="dxa"/>
                  </w:tcMar>
                  <w:vAlign w:val="center"/>
                </w:tcPr>
                <w:p w14:paraId="3068B6FD">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废水情况</w:t>
                  </w:r>
                </w:p>
              </w:tc>
              <w:tc>
                <w:tcPr>
                  <w:tcW w:w="2475" w:type="dxa"/>
                  <w:shd w:val="clear" w:color="auto" w:fill="auto"/>
                  <w:tcMar>
                    <w:top w:w="0" w:type="dxa"/>
                    <w:left w:w="0" w:type="dxa"/>
                    <w:bottom w:w="0" w:type="dxa"/>
                    <w:right w:w="0" w:type="dxa"/>
                  </w:tcMar>
                  <w:vAlign w:val="center"/>
                </w:tcPr>
                <w:p w14:paraId="07B09105">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清洗废水</w:t>
                  </w:r>
                </w:p>
              </w:tc>
              <w:tc>
                <w:tcPr>
                  <w:tcW w:w="2245" w:type="dxa"/>
                  <w:shd w:val="clear" w:color="auto" w:fill="auto"/>
                  <w:tcMar>
                    <w:top w:w="0" w:type="dxa"/>
                    <w:left w:w="0" w:type="dxa"/>
                    <w:bottom w:w="0" w:type="dxa"/>
                    <w:right w:w="0" w:type="dxa"/>
                  </w:tcMar>
                  <w:vAlign w:val="center"/>
                </w:tcPr>
                <w:p w14:paraId="3345D1C2">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喷淋废水、水帘柜废水、清洗废水</w:t>
                  </w:r>
                </w:p>
              </w:tc>
              <w:tc>
                <w:tcPr>
                  <w:tcW w:w="2480" w:type="dxa"/>
                  <w:shd w:val="clear" w:color="auto" w:fill="auto"/>
                  <w:tcMar>
                    <w:top w:w="0" w:type="dxa"/>
                    <w:left w:w="0" w:type="dxa"/>
                    <w:bottom w:w="0" w:type="dxa"/>
                    <w:right w:w="0" w:type="dxa"/>
                  </w:tcMar>
                  <w:vAlign w:val="center"/>
                </w:tcPr>
                <w:p w14:paraId="2101B55F">
                  <w:pPr>
                    <w:keepNext w:val="0"/>
                    <w:keepLines w:val="0"/>
                    <w:widowControl/>
                    <w:suppressLineNumbers w:val="0"/>
                    <w:spacing w:line="240" w:lineRule="auto"/>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清洗废水</w:t>
                  </w:r>
                </w:p>
              </w:tc>
              <w:tc>
                <w:tcPr>
                  <w:tcW w:w="844" w:type="dxa"/>
                  <w:shd w:val="clear" w:color="auto" w:fill="auto"/>
                  <w:tcMar>
                    <w:top w:w="0" w:type="dxa"/>
                    <w:left w:w="0" w:type="dxa"/>
                    <w:bottom w:w="0" w:type="dxa"/>
                    <w:right w:w="0" w:type="dxa"/>
                  </w:tcMar>
                  <w:vAlign w:val="center"/>
                </w:tcPr>
                <w:p w14:paraId="4C36C4F3">
                  <w:pPr>
                    <w:keepNext w:val="0"/>
                    <w:keepLines w:val="0"/>
                    <w:widowControl/>
                    <w:suppressLineNumbers w:val="0"/>
                    <w:spacing w:line="24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val="en-US" w:eastAsia="zh-CN" w:bidi="ar"/>
                    </w:rPr>
                    <w:t>相似</w:t>
                  </w:r>
                </w:p>
              </w:tc>
            </w:tr>
          </w:tbl>
          <w:p w14:paraId="67153E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auto"/>
                <w:sz w:val="24"/>
                <w:szCs w:val="24"/>
                <w:highlight w:val="none"/>
                <w:lang w:val="en-US" w:eastAsia="zh-CN"/>
              </w:rPr>
            </w:pPr>
          </w:p>
          <w:p w14:paraId="01C089B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eastAsia" w:cs="Times New Roman"/>
                <w:color w:val="auto"/>
                <w:sz w:val="24"/>
                <w:szCs w:val="24"/>
                <w:highlight w:val="none"/>
                <w:lang w:val="en-US" w:eastAsia="zh-CN"/>
              </w:rPr>
              <w:t>《佛山市现泰铝业有限公司建设项目》（批复文号佛环南审[2026]25号）、</w:t>
            </w:r>
            <w:r>
              <w:rPr>
                <w:rFonts w:hint="default" w:ascii="Times New Roman" w:hAnsi="Times New Roman" w:cs="Times New Roman"/>
                <w:color w:val="auto"/>
                <w:sz w:val="24"/>
                <w:szCs w:val="24"/>
                <w:highlight w:val="none"/>
                <w:lang w:val="en-US" w:eastAsia="zh-CN"/>
              </w:rPr>
              <w:t>《佛山市亿鑫创金属科技有限责任公司铝型材制造项目（一期）验收检测报告》（报告编号：弗雷德检字(2025)第 0425B19 号）</w:t>
            </w:r>
            <w:r>
              <w:rPr>
                <w:rFonts w:hint="eastAsia" w:cs="Times New Roman"/>
                <w:color w:val="auto"/>
                <w:sz w:val="24"/>
                <w:szCs w:val="24"/>
                <w:highlight w:val="none"/>
                <w:lang w:val="en-US" w:eastAsia="zh-CN"/>
              </w:rPr>
              <w:t>等</w:t>
            </w:r>
            <w:r>
              <w:rPr>
                <w:rFonts w:hint="default" w:ascii="Times New Roman" w:hAnsi="Times New Roman" w:cs="Times New Roman"/>
                <w:color w:val="auto"/>
                <w:sz w:val="24"/>
                <w:szCs w:val="24"/>
                <w:highlight w:val="none"/>
                <w:lang w:val="en-US" w:eastAsia="zh-CN"/>
              </w:rPr>
              <w:t>类比项目</w:t>
            </w:r>
            <w:r>
              <w:rPr>
                <w:rFonts w:hint="eastAsia" w:cs="Times New Roman"/>
                <w:color w:val="auto"/>
                <w:sz w:val="24"/>
                <w:szCs w:val="24"/>
                <w:highlight w:val="none"/>
                <w:lang w:val="en-US" w:eastAsia="zh-CN"/>
              </w:rPr>
              <w:t>外排生产</w:t>
            </w:r>
            <w:r>
              <w:rPr>
                <w:rFonts w:hint="default" w:ascii="Times New Roman" w:hAnsi="Times New Roman" w:cs="Times New Roman"/>
                <w:color w:val="auto"/>
                <w:sz w:val="24"/>
                <w:szCs w:val="24"/>
                <w:highlight w:val="none"/>
                <w:lang w:val="en-US" w:eastAsia="zh-CN"/>
              </w:rPr>
              <w:t>废水</w:t>
            </w:r>
            <w:r>
              <w:rPr>
                <w:rFonts w:hint="eastAsia" w:cs="Times New Roman"/>
                <w:color w:val="auto"/>
                <w:sz w:val="24"/>
                <w:szCs w:val="24"/>
                <w:highlight w:val="none"/>
                <w:lang w:val="en-US" w:eastAsia="zh-CN"/>
              </w:rPr>
              <w:t>源强水质</w:t>
            </w:r>
            <w:r>
              <w:rPr>
                <w:rFonts w:hint="default" w:ascii="Times New Roman" w:hAnsi="Times New Roman" w:cs="Times New Roman"/>
                <w:color w:val="auto"/>
                <w:sz w:val="24"/>
                <w:szCs w:val="24"/>
                <w:highlight w:val="none"/>
                <w:lang w:val="en-US" w:eastAsia="zh-CN"/>
              </w:rPr>
              <w:t>数据如下表。</w:t>
            </w:r>
          </w:p>
          <w:p w14:paraId="6A394224">
            <w:pPr>
              <w:keepNext w:val="0"/>
              <w:keepLines w:val="0"/>
              <w:numPr>
                <w:ilvl w:val="0"/>
                <w:numId w:val="0"/>
              </w:numPr>
              <w:suppressLineNumbers w:val="0"/>
              <w:tabs>
                <w:tab w:val="left" w:pos="0"/>
              </w:tabs>
              <w:spacing w:before="0" w:beforeAutospacing="0" w:after="0" w:afterAutospacing="0"/>
              <w:ind w:left="0" w:leftChars="0" w:right="0" w:rightChars="0" w:firstLine="40" w:firstLineChars="0"/>
              <w:jc w:val="center"/>
              <w:rPr>
                <w:rFonts w:hint="default" w:ascii="Times New Roman" w:hAnsi="Times New Roman"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 xml:space="preserve">4 </w:t>
            </w:r>
            <w:r>
              <w:rPr>
                <w:rFonts w:hint="default" w:ascii="Times New Roman" w:hAnsi="Times New Roman" w:cs="Times New Roman"/>
                <w:b/>
                <w:bCs/>
                <w:color w:val="auto"/>
                <w:sz w:val="21"/>
                <w:szCs w:val="21"/>
                <w:highlight w:val="none"/>
                <w:lang w:val="en-US" w:eastAsia="zh-CN"/>
              </w:rPr>
              <w:t>类比项目外排生产废水</w:t>
            </w:r>
            <w:r>
              <w:rPr>
                <w:rFonts w:hint="eastAsia" w:cs="Times New Roman"/>
                <w:b/>
                <w:bCs/>
                <w:color w:val="auto"/>
                <w:sz w:val="21"/>
                <w:szCs w:val="21"/>
                <w:highlight w:val="none"/>
                <w:lang w:val="en-US" w:eastAsia="zh-CN"/>
              </w:rPr>
              <w:t>源强水质数据</w:t>
            </w:r>
            <w:r>
              <w:rPr>
                <w:rFonts w:hint="default" w:ascii="Times New Roman" w:hAnsi="Times New Roman" w:cs="Times New Roman"/>
                <w:b/>
                <w:bCs/>
                <w:color w:val="auto"/>
                <w:sz w:val="21"/>
                <w:szCs w:val="21"/>
                <w:highlight w:val="none"/>
                <w:lang w:val="en-US" w:eastAsia="zh-CN"/>
              </w:rPr>
              <w:t>（单位：mg/L）</w:t>
            </w:r>
          </w:p>
          <w:tbl>
            <w:tblPr>
              <w:tblStyle w:val="48"/>
              <w:tblW w:w="861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95"/>
              <w:gridCol w:w="1781"/>
              <w:gridCol w:w="1674"/>
              <w:gridCol w:w="1674"/>
              <w:gridCol w:w="1280"/>
            </w:tblGrid>
            <w:tr w14:paraId="2B647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20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2F3E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污染物</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86B5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佛山市亿鑫创金属科技有限责任公司</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99416">
                  <w:pPr>
                    <w:keepNext w:val="0"/>
                    <w:keepLines w:val="0"/>
                    <w:widowControl/>
                    <w:suppressLineNumbers w:val="0"/>
                    <w:jc w:val="left"/>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佛山市现泰铝业有限公司建设项目</w:t>
                  </w:r>
                </w:p>
              </w:tc>
              <w:tc>
                <w:tcPr>
                  <w:tcW w:w="171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106A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本项目取值</w:t>
                  </w:r>
                </w:p>
              </w:tc>
              <w:tc>
                <w:tcPr>
                  <w:tcW w:w="131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87D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单位</w:t>
                  </w:r>
                </w:p>
              </w:tc>
            </w:tr>
            <w:tr w14:paraId="55DC2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0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709D0">
                  <w:pPr>
                    <w:jc w:val="center"/>
                    <w:rPr>
                      <w:rFonts w:hint="default" w:ascii="Times New Roman" w:hAnsi="Times New Roman" w:eastAsia="宋体" w:cs="Times New Roman"/>
                      <w:b/>
                      <w:bCs/>
                      <w:i w:val="0"/>
                      <w:iCs w:val="0"/>
                      <w:color w:val="auto"/>
                      <w:sz w:val="21"/>
                      <w:szCs w:val="21"/>
                      <w:u w:val="none"/>
                    </w:rPr>
                  </w:pP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FDF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污染物浓度范围</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2335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污染物浓度值</w:t>
                  </w:r>
                </w:p>
              </w:tc>
              <w:tc>
                <w:tcPr>
                  <w:tcW w:w="171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B8AAF">
                  <w:pPr>
                    <w:jc w:val="center"/>
                    <w:rPr>
                      <w:rFonts w:hint="default" w:ascii="Times New Roman" w:hAnsi="Times New Roman" w:eastAsia="宋体" w:cs="Times New Roman"/>
                      <w:b/>
                      <w:bCs/>
                      <w:i w:val="0"/>
                      <w:iCs w:val="0"/>
                      <w:color w:val="auto"/>
                      <w:sz w:val="21"/>
                      <w:szCs w:val="21"/>
                      <w:u w:val="none"/>
                    </w:rPr>
                  </w:pPr>
                </w:p>
              </w:tc>
              <w:tc>
                <w:tcPr>
                  <w:tcW w:w="131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F8E0">
                  <w:pPr>
                    <w:jc w:val="center"/>
                    <w:rPr>
                      <w:rFonts w:hint="default" w:ascii="Times New Roman" w:hAnsi="Times New Roman" w:eastAsia="宋体" w:cs="Times New Roman"/>
                      <w:i w:val="0"/>
                      <w:iCs w:val="0"/>
                      <w:color w:val="auto"/>
                      <w:sz w:val="21"/>
                      <w:szCs w:val="21"/>
                      <w:u w:val="none"/>
                    </w:rPr>
                  </w:pPr>
                </w:p>
              </w:tc>
            </w:tr>
            <w:tr w14:paraId="3199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9407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pH值</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F3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10.9~11.0</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71B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E5B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C08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无量纲</w:t>
                  </w:r>
                </w:p>
              </w:tc>
            </w:tr>
            <w:tr w14:paraId="29C16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9E61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化学需氧量</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0D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307~339</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A8C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372</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7C22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372</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CB8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663FA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D24B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五日生化需氧量</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64A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117~129</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49C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123</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9E6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129</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CE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25B5D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1688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悬浮物</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40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39~49</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4D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67</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FC7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67</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42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54F57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5CFA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氨氮</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EF2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3.51~3.95</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033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15.4</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E9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15.4</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AB1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3A7E0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D8BE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氟化物</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4B3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101~109</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E69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65C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109</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902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2D900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28CC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总磷</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F21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0.46~0.58</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271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0.85</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79D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0.85</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266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34E7A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C0A4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总氮</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AE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11.6~14.2</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F45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46.2</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0F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46.2</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E37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27A45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B58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阴离子表面活性剂</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CB5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0.119~0.161</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A40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54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6E3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1EFF0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745D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总铝</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49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37.8~42.6</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336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0.85</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18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42.6</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2B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r w14:paraId="628FA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 w:hRule="atLeast"/>
              </w:trPr>
              <w:tc>
                <w:tcPr>
                  <w:tcW w:w="20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E180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石油类</w:t>
                  </w:r>
                </w:p>
              </w:tc>
              <w:tc>
                <w:tcPr>
                  <w:tcW w:w="18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2B6D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1.11~1.41</w:t>
                  </w:r>
                </w:p>
              </w:tc>
              <w:tc>
                <w:tcPr>
                  <w:tcW w:w="1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3E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32.1</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89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32.1</w:t>
                  </w:r>
                </w:p>
              </w:tc>
              <w:tc>
                <w:tcPr>
                  <w:tcW w:w="13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9D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mg/L</w:t>
                  </w:r>
                </w:p>
              </w:tc>
            </w:tr>
          </w:tbl>
          <w:p w14:paraId="72C8D3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auto"/>
                <w:sz w:val="24"/>
                <w:szCs w:val="24"/>
                <w:highlight w:val="none"/>
                <w:lang w:val="en-US" w:eastAsia="zh-CN"/>
              </w:rPr>
            </w:pPr>
          </w:p>
          <w:p w14:paraId="337CE214">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结合本项目生产情况，</w:t>
            </w:r>
            <w:r>
              <w:rPr>
                <w:rFonts w:hint="eastAsia" w:cs="Times New Roman"/>
                <w:color w:val="auto"/>
                <w:sz w:val="24"/>
                <w:szCs w:val="24"/>
                <w:highlight w:val="none"/>
                <w:lang w:val="en-US" w:eastAsia="zh-CN"/>
              </w:rPr>
              <w:t>外排生产</w:t>
            </w:r>
            <w:r>
              <w:rPr>
                <w:rFonts w:hint="default" w:ascii="Times New Roman" w:hAnsi="Times New Roman" w:cs="Times New Roman"/>
                <w:color w:val="auto"/>
                <w:sz w:val="24"/>
                <w:highlight w:val="none"/>
                <w:lang w:val="en-US" w:eastAsia="zh-CN"/>
              </w:rPr>
              <w:t>废水</w:t>
            </w:r>
            <w:r>
              <w:rPr>
                <w:rFonts w:hint="eastAsia" w:cs="Times New Roman"/>
                <w:color w:val="auto"/>
                <w:sz w:val="24"/>
                <w:highlight w:val="none"/>
                <w:lang w:val="en-US" w:eastAsia="zh-CN"/>
              </w:rPr>
              <w:t>送入自建污水处理站处理，废水</w:t>
            </w:r>
            <w:r>
              <w:rPr>
                <w:rFonts w:hint="default" w:ascii="Times New Roman" w:hAnsi="Times New Roman" w:cs="Times New Roman"/>
                <w:color w:val="auto"/>
                <w:sz w:val="24"/>
                <w:highlight w:val="none"/>
              </w:rPr>
              <w:t>产排情况详见下表。</w:t>
            </w:r>
          </w:p>
          <w:p w14:paraId="358C82F2">
            <w:pPr>
              <w:keepNext w:val="0"/>
              <w:keepLines w:val="0"/>
              <w:pageBreakBefore w:val="0"/>
              <w:widowControl w:val="0"/>
              <w:numPr>
                <w:ilvl w:val="0"/>
                <w:numId w:val="0"/>
              </w:numPr>
              <w:suppressLineNumbers w:val="0"/>
              <w:tabs>
                <w:tab w:val="left" w:pos="0"/>
              </w:tabs>
              <w:kinsoku/>
              <w:wordWrap/>
              <w:overflowPunct/>
              <w:topLinePunct w:val="0"/>
              <w:autoSpaceDE/>
              <w:autoSpaceDN/>
              <w:bidi w:val="0"/>
              <w:adjustRightInd/>
              <w:snapToGrid/>
              <w:spacing w:before="0" w:beforeAutospacing="0" w:after="0" w:afterAutospacing="0"/>
              <w:ind w:left="0" w:leftChars="0" w:right="0" w:rightChars="0" w:firstLine="40" w:firstLineChars="0"/>
              <w:jc w:val="center"/>
              <w:textAlignment w:val="auto"/>
              <w:rPr>
                <w:rFonts w:hint="default" w:ascii="Times New Roman" w:hAnsi="Times New Roman" w:cs="Times New Roman"/>
                <w:b/>
                <w:bCs/>
                <w:color w:val="auto"/>
                <w:sz w:val="21"/>
                <w:szCs w:val="21"/>
                <w:highlight w:val="none"/>
              </w:rPr>
            </w:pPr>
            <w:bookmarkStart w:id="26" w:name="OLE_LINK1"/>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 xml:space="preserve">5 </w:t>
            </w:r>
            <w:r>
              <w:rPr>
                <w:rFonts w:hint="default" w:ascii="Times New Roman" w:hAnsi="Times New Roman" w:cs="Times New Roman"/>
                <w:b/>
                <w:bCs/>
                <w:color w:val="auto"/>
                <w:sz w:val="21"/>
                <w:szCs w:val="21"/>
                <w:highlight w:val="none"/>
              </w:rPr>
              <w:t>本项目</w:t>
            </w:r>
            <w:r>
              <w:rPr>
                <w:rFonts w:hint="eastAsia" w:cs="Times New Roman"/>
                <w:b/>
                <w:bCs/>
                <w:color w:val="auto"/>
                <w:sz w:val="21"/>
                <w:szCs w:val="21"/>
                <w:highlight w:val="none"/>
                <w:lang w:val="en-US" w:eastAsia="zh-CN"/>
              </w:rPr>
              <w:t>外排</w:t>
            </w:r>
            <w:r>
              <w:rPr>
                <w:rFonts w:hint="default" w:ascii="Times New Roman" w:hAnsi="Times New Roman" w:cs="Times New Roman"/>
                <w:b/>
                <w:bCs/>
                <w:color w:val="auto"/>
                <w:sz w:val="21"/>
                <w:szCs w:val="21"/>
                <w:highlight w:val="none"/>
                <w:lang w:val="en-US" w:eastAsia="zh-CN"/>
              </w:rPr>
              <w:t>生产</w:t>
            </w:r>
            <w:r>
              <w:rPr>
                <w:rFonts w:hint="default" w:ascii="Times New Roman" w:hAnsi="Times New Roman" w:cs="Times New Roman"/>
                <w:b/>
                <w:bCs/>
                <w:color w:val="auto"/>
                <w:sz w:val="21"/>
                <w:szCs w:val="21"/>
                <w:highlight w:val="none"/>
              </w:rPr>
              <w:t>废水产排情况一览表</w:t>
            </w:r>
            <w:bookmarkEnd w:id="26"/>
          </w:p>
          <w:tbl>
            <w:tblPr>
              <w:tblStyle w:val="48"/>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5"/>
              <w:gridCol w:w="1282"/>
              <w:gridCol w:w="682"/>
              <w:gridCol w:w="941"/>
              <w:gridCol w:w="715"/>
              <w:gridCol w:w="477"/>
              <w:gridCol w:w="477"/>
              <w:gridCol w:w="477"/>
              <w:gridCol w:w="479"/>
              <w:gridCol w:w="499"/>
              <w:gridCol w:w="604"/>
              <w:gridCol w:w="572"/>
              <w:gridCol w:w="573"/>
            </w:tblGrid>
            <w:tr w14:paraId="4CCDC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5" w:hRule="atLeast"/>
              </w:trPr>
              <w:tc>
                <w:tcPr>
                  <w:tcW w:w="18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6A0E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废水种类</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725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pH</w:t>
                  </w:r>
                  <w:r>
                    <w:rPr>
                      <w:rFonts w:hint="eastAsia" w:ascii="宋体" w:hAnsi="宋体" w:eastAsia="宋体" w:cs="宋体"/>
                      <w:b/>
                      <w:bCs/>
                      <w:i w:val="0"/>
                      <w:iCs w:val="0"/>
                      <w:color w:val="auto"/>
                      <w:kern w:val="0"/>
                      <w:sz w:val="21"/>
                      <w:szCs w:val="21"/>
                      <w:u w:val="none"/>
                      <w:lang w:val="en-US" w:eastAsia="zh-CN" w:bidi="ar"/>
                    </w:rPr>
                    <w:t>（无量纲）</w:t>
                  </w:r>
                </w:p>
              </w:tc>
              <w:tc>
                <w:tcPr>
                  <w:tcW w:w="9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32C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COD</w:t>
                  </w:r>
                  <w:r>
                    <w:rPr>
                      <w:rFonts w:hint="default" w:ascii="Times New Roman" w:hAnsi="Times New Roman" w:eastAsia="宋体" w:cs="Times New Roman"/>
                      <w:b/>
                      <w:bCs/>
                      <w:i w:val="0"/>
                      <w:iCs w:val="0"/>
                      <w:color w:val="auto"/>
                      <w:kern w:val="0"/>
                      <w:sz w:val="21"/>
                      <w:szCs w:val="21"/>
                      <w:u w:val="none"/>
                      <w:vertAlign w:val="subscript"/>
                      <w:lang w:val="en-US" w:eastAsia="zh-CN" w:bidi="ar"/>
                    </w:rPr>
                    <w:t>Cr</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E82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BOD</w:t>
                  </w:r>
                  <w:r>
                    <w:rPr>
                      <w:rFonts w:hint="default" w:ascii="Times New Roman" w:hAnsi="Times New Roman" w:eastAsia="宋体" w:cs="Times New Roman"/>
                      <w:b/>
                      <w:bCs/>
                      <w:i w:val="0"/>
                      <w:iCs w:val="0"/>
                      <w:color w:val="auto"/>
                      <w:kern w:val="0"/>
                      <w:sz w:val="21"/>
                      <w:szCs w:val="21"/>
                      <w:u w:val="none"/>
                      <w:vertAlign w:val="subscript"/>
                      <w:lang w:val="en-US" w:eastAsia="zh-CN" w:bidi="ar"/>
                    </w:rPr>
                    <w:t>5</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87A9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SS</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DD32">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氨氮</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074B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氟化物</w:t>
                  </w:r>
                </w:p>
              </w:tc>
              <w:tc>
                <w:tcPr>
                  <w:tcW w:w="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A4489">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TP</w:t>
                  </w:r>
                </w:p>
              </w:tc>
              <w:tc>
                <w:tcPr>
                  <w:tcW w:w="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1886">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TN</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72E8">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LAS</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92A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总铝</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67BA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石油类</w:t>
                  </w:r>
                </w:p>
              </w:tc>
            </w:tr>
            <w:tr w14:paraId="47D03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5AC5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外排</w:t>
                  </w:r>
                  <w:r>
                    <w:rPr>
                      <w:rFonts w:hint="eastAsia" w:ascii="宋体" w:hAnsi="宋体" w:eastAsia="宋体" w:cs="宋体"/>
                      <w:i w:val="0"/>
                      <w:iCs w:val="0"/>
                      <w:color w:val="auto"/>
                      <w:kern w:val="0"/>
                      <w:sz w:val="21"/>
                      <w:szCs w:val="21"/>
                      <w:u w:val="none"/>
                      <w:lang w:val="en-US" w:eastAsia="zh-CN" w:bidi="ar"/>
                    </w:rPr>
                    <w:t>生产废水</w:t>
                  </w:r>
                  <w:r>
                    <w:rPr>
                      <w:rFonts w:hint="eastAsia" w:cs="Times New Roman"/>
                      <w:i w:val="0"/>
                      <w:iCs w:val="0"/>
                      <w:color w:val="auto"/>
                      <w:kern w:val="0"/>
                      <w:sz w:val="21"/>
                      <w:szCs w:val="21"/>
                      <w:u w:val="none"/>
                      <w:lang w:val="en-US" w:eastAsia="zh-CN" w:bidi="ar"/>
                    </w:rPr>
                    <w:t>10010.08</w:t>
                  </w:r>
                  <w:r>
                    <w:rPr>
                      <w:rFonts w:hint="default" w:ascii="Times New Roman" w:hAnsi="Times New Roman" w:eastAsia="宋体" w:cs="Times New Roman"/>
                      <w:i w:val="0"/>
                      <w:iCs w:val="0"/>
                      <w:color w:val="auto"/>
                      <w:kern w:val="0"/>
                      <w:sz w:val="21"/>
                      <w:szCs w:val="21"/>
                      <w:u w:val="none"/>
                      <w:lang w:val="en-US" w:eastAsia="zh-CN" w:bidi="ar"/>
                    </w:rPr>
                    <w:t>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/a</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D3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产生浓度</w:t>
                  </w:r>
                  <w:r>
                    <w:rPr>
                      <w:rFonts w:hint="default" w:ascii="Times New Roman" w:hAnsi="Times New Roman" w:eastAsia="宋体" w:cs="Times New Roman"/>
                      <w:i w:val="0"/>
                      <w:iCs w:val="0"/>
                      <w:color w:val="auto"/>
                      <w:kern w:val="0"/>
                      <w:sz w:val="21"/>
                      <w:szCs w:val="21"/>
                      <w:u w:val="none"/>
                      <w:lang w:val="en-US" w:eastAsia="zh-CN" w:bidi="ar"/>
                    </w:rPr>
                    <w:t>mg/L</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71BA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F012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372</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503B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129</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D885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67</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629E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15.4</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AE62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109</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1850A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0.85</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7F0F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46.2</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9E6D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5196A9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42.6</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784BC01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32.1</w:t>
                  </w:r>
                </w:p>
              </w:tc>
            </w:tr>
            <w:tr w14:paraId="1BC8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06204">
                  <w:pPr>
                    <w:jc w:val="center"/>
                    <w:rPr>
                      <w:rFonts w:hint="eastAsia" w:ascii="宋体" w:hAnsi="宋体" w:eastAsia="宋体" w:cs="宋体"/>
                      <w:i w:val="0"/>
                      <w:iCs w:val="0"/>
                      <w:color w:val="auto"/>
                      <w:sz w:val="21"/>
                      <w:szCs w:val="21"/>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38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产生量</w:t>
                  </w:r>
                  <w:r>
                    <w:rPr>
                      <w:rFonts w:hint="default" w:ascii="Times New Roman" w:hAnsi="Times New Roman" w:eastAsia="宋体" w:cs="Times New Roman"/>
                      <w:i w:val="0"/>
                      <w:iCs w:val="0"/>
                      <w:color w:val="auto"/>
                      <w:kern w:val="0"/>
                      <w:sz w:val="21"/>
                      <w:szCs w:val="21"/>
                      <w:u w:val="none"/>
                      <w:lang w:val="en-US" w:eastAsia="zh-CN" w:bidi="ar"/>
                    </w:rPr>
                    <w:t>t/a</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BFD6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AB27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3.724 </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BA6C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1.291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D6C0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0.671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42F4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0.154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6FD8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1.091 </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5A060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A393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0.462 </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751D5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0.010 </w:t>
                  </w:r>
                </w:p>
              </w:tc>
              <w:tc>
                <w:tcPr>
                  <w:tcW w:w="57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609E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0.426 </w:t>
                  </w:r>
                </w:p>
              </w:tc>
              <w:tc>
                <w:tcPr>
                  <w:tcW w:w="57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57060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0.321 </w:t>
                  </w:r>
                </w:p>
              </w:tc>
            </w:tr>
            <w:tr w14:paraId="631AB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CB9AE">
                  <w:pPr>
                    <w:jc w:val="center"/>
                    <w:rPr>
                      <w:rFonts w:hint="eastAsia" w:ascii="宋体" w:hAnsi="宋体" w:eastAsia="宋体" w:cs="宋体"/>
                      <w:i w:val="0"/>
                      <w:iCs w:val="0"/>
                      <w:color w:val="auto"/>
                      <w:sz w:val="21"/>
                      <w:szCs w:val="21"/>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36C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治理工艺</w:t>
                  </w:r>
                </w:p>
              </w:tc>
              <w:tc>
                <w:tcPr>
                  <w:tcW w:w="6496" w:type="dxa"/>
                  <w:gridSpan w:val="11"/>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9FECF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中和调节</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混凝沉淀</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气浮</w:t>
                  </w:r>
                  <w:r>
                    <w:rPr>
                      <w:rFonts w:hint="default" w:ascii="Times New Roman" w:hAnsi="Times New Roman" w:eastAsia="宋体" w:cs="Times New Roman"/>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化学除氟</w:t>
                  </w:r>
                </w:p>
              </w:tc>
            </w:tr>
            <w:tr w14:paraId="60A12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0E3F9">
                  <w:pPr>
                    <w:jc w:val="center"/>
                    <w:rPr>
                      <w:rFonts w:hint="eastAsia" w:ascii="宋体" w:hAnsi="宋体" w:eastAsia="宋体" w:cs="宋体"/>
                      <w:i w:val="0"/>
                      <w:iCs w:val="0"/>
                      <w:color w:val="auto"/>
                      <w:sz w:val="21"/>
                      <w:szCs w:val="21"/>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8EE2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处理效率</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D0FD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3415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71%</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DC24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ABD4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95%</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E25A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6151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91%</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F1CD7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92%</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3222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B05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w:t>
                  </w:r>
                </w:p>
              </w:tc>
              <w:tc>
                <w:tcPr>
                  <w:tcW w:w="572"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04F6B8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96%</w:t>
                  </w:r>
                </w:p>
              </w:tc>
              <w:tc>
                <w:tcPr>
                  <w:tcW w:w="573" w:type="dxa"/>
                  <w:tcBorders>
                    <w:top w:val="single" w:color="000000" w:sz="4" w:space="0"/>
                    <w:left w:val="single" w:color="000000" w:sz="4" w:space="0"/>
                    <w:bottom w:val="single" w:color="000000" w:sz="4" w:space="0"/>
                    <w:right w:val="single" w:color="000000" w:sz="4" w:space="0"/>
                  </w:tcBorders>
                  <w:shd w:val="clear" w:color="auto" w:fill="auto"/>
                  <w:noWrap/>
                  <w:tcMar>
                    <w:top w:w="0" w:type="dxa"/>
                    <w:left w:w="0" w:type="dxa"/>
                    <w:bottom w:w="0" w:type="dxa"/>
                    <w:right w:w="0" w:type="dxa"/>
                  </w:tcMar>
                  <w:vAlign w:val="center"/>
                </w:tcPr>
                <w:p w14:paraId="14BBE5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87%</w:t>
                  </w:r>
                </w:p>
              </w:tc>
            </w:tr>
            <w:tr w14:paraId="3279E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705C0">
                  <w:pPr>
                    <w:jc w:val="center"/>
                    <w:rPr>
                      <w:rFonts w:hint="eastAsia" w:ascii="宋体" w:hAnsi="宋体" w:eastAsia="宋体" w:cs="宋体"/>
                      <w:i w:val="0"/>
                      <w:iCs w:val="0"/>
                      <w:color w:val="auto"/>
                      <w:sz w:val="21"/>
                      <w:szCs w:val="21"/>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70A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排放浓度</w:t>
                  </w:r>
                  <w:r>
                    <w:rPr>
                      <w:rFonts w:hint="default" w:ascii="Times New Roman" w:hAnsi="Times New Roman" w:eastAsia="宋体" w:cs="Times New Roman"/>
                      <w:i w:val="0"/>
                      <w:iCs w:val="0"/>
                      <w:color w:val="auto"/>
                      <w:kern w:val="0"/>
                      <w:sz w:val="21"/>
                      <w:szCs w:val="21"/>
                      <w:u w:val="none"/>
                      <w:lang w:val="en-US" w:eastAsia="zh-CN" w:bidi="ar"/>
                    </w:rPr>
                    <w:t>mg/L</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A3F1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E3BF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108.4 </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E2FC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53.2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4CFE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 xml:space="preserve">3.6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D12E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12.5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820B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9.8 </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5C12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 </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7D81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37.6 </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3D18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 </w:t>
                  </w:r>
                </w:p>
              </w:tc>
              <w:tc>
                <w:tcPr>
                  <w:tcW w:w="57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CA4A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1.8 </w:t>
                  </w:r>
                </w:p>
              </w:tc>
              <w:tc>
                <w:tcPr>
                  <w:tcW w:w="57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F246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4.1 </w:t>
                  </w:r>
                </w:p>
              </w:tc>
            </w:tr>
            <w:tr w14:paraId="17323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AB07D">
                  <w:pPr>
                    <w:jc w:val="center"/>
                    <w:rPr>
                      <w:rFonts w:hint="eastAsia" w:ascii="宋体" w:hAnsi="宋体" w:eastAsia="宋体" w:cs="宋体"/>
                      <w:i w:val="0"/>
                      <w:iCs w:val="0"/>
                      <w:color w:val="auto"/>
                      <w:sz w:val="21"/>
                      <w:szCs w:val="21"/>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0C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浓度标准</w:t>
                  </w:r>
                  <w:r>
                    <w:rPr>
                      <w:rFonts w:hint="default" w:ascii="Times New Roman" w:hAnsi="Times New Roman" w:eastAsia="宋体" w:cs="Times New Roman"/>
                      <w:i w:val="0"/>
                      <w:iCs w:val="0"/>
                      <w:color w:val="auto"/>
                      <w:kern w:val="0"/>
                      <w:sz w:val="21"/>
                      <w:szCs w:val="21"/>
                      <w:u w:val="none"/>
                      <w:lang w:val="en-US" w:eastAsia="zh-CN" w:bidi="ar"/>
                    </w:rPr>
                    <w:t>mg/L</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2FE9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39EB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9AA0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8C1B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C051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B9DC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B553D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BFF8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1C7C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7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07BF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7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933C2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≤6.0</w:t>
                  </w:r>
                </w:p>
              </w:tc>
            </w:tr>
            <w:tr w14:paraId="32366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20C4A">
                  <w:pPr>
                    <w:jc w:val="center"/>
                    <w:rPr>
                      <w:rFonts w:hint="eastAsia" w:ascii="宋体" w:hAnsi="宋体" w:eastAsia="宋体" w:cs="宋体"/>
                      <w:i w:val="0"/>
                      <w:iCs w:val="0"/>
                      <w:color w:val="auto"/>
                      <w:sz w:val="21"/>
                      <w:szCs w:val="21"/>
                      <w:u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E7D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排放量</w:t>
                  </w:r>
                  <w:r>
                    <w:rPr>
                      <w:rFonts w:hint="default" w:ascii="Times New Roman" w:hAnsi="Times New Roman" w:eastAsia="宋体" w:cs="Times New Roman"/>
                      <w:i w:val="0"/>
                      <w:iCs w:val="0"/>
                      <w:color w:val="auto"/>
                      <w:kern w:val="0"/>
                      <w:sz w:val="21"/>
                      <w:szCs w:val="21"/>
                      <w:u w:val="none"/>
                      <w:lang w:val="en-US" w:eastAsia="zh-CN" w:bidi="ar"/>
                    </w:rPr>
                    <w:t>t/a</w:t>
                  </w:r>
                </w:p>
              </w:tc>
              <w:tc>
                <w:tcPr>
                  <w:tcW w:w="6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EB0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844B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1.085 </w:t>
                  </w:r>
                </w:p>
              </w:tc>
              <w:tc>
                <w:tcPr>
                  <w:tcW w:w="71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15CC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0.533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9DA7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0.036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76A3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0.126 </w:t>
                  </w:r>
                </w:p>
              </w:tc>
              <w:tc>
                <w:tcPr>
                  <w:tcW w:w="4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3A04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0.098 </w:t>
                  </w:r>
                </w:p>
              </w:tc>
              <w:tc>
                <w:tcPr>
                  <w:tcW w:w="4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1DA5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FB3E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0.377 </w:t>
                  </w:r>
                </w:p>
              </w:tc>
              <w:tc>
                <w:tcPr>
                  <w:tcW w:w="6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F9E5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0.003 </w:t>
                  </w:r>
                </w:p>
              </w:tc>
              <w:tc>
                <w:tcPr>
                  <w:tcW w:w="57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A855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c>
                <w:tcPr>
                  <w:tcW w:w="57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84AA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r>
            <w:tr w14:paraId="54096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0" w:hRule="atLeast"/>
              </w:trPr>
              <w:tc>
                <w:tcPr>
                  <w:tcW w:w="833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594AE44">
                  <w:pPr>
                    <w:keepNext w:val="0"/>
                    <w:keepLines w:val="0"/>
                    <w:widowControl/>
                    <w:numPr>
                      <w:ilvl w:val="0"/>
                      <w:numId w:val="0"/>
                    </w:numPr>
                    <w:suppressLineNumbers w:val="0"/>
                    <w:jc w:val="both"/>
                    <w:textAlignment w:val="center"/>
                    <w:rPr>
                      <w:rFonts w:hint="eastAsia" w:ascii="宋体" w:hAnsi="宋体" w:eastAsia="宋体" w:cs="宋体"/>
                      <w:color w:val="auto"/>
                      <w:kern w:val="0"/>
                      <w:sz w:val="20"/>
                      <w:szCs w:val="20"/>
                      <w:lang w:val="en-US" w:eastAsia="zh-CN" w:bidi="ar"/>
                    </w:rPr>
                  </w:pPr>
                  <w:r>
                    <w:rPr>
                      <w:rFonts w:hint="default" w:ascii="Times New Roman" w:hAnsi="Times New Roman" w:eastAsia="宋体" w:cs="Times New Roman"/>
                      <w:color w:val="auto"/>
                      <w:kern w:val="0"/>
                      <w:sz w:val="21"/>
                      <w:szCs w:val="21"/>
                      <w:lang w:val="en-US" w:eastAsia="zh-CN" w:bidi="ar"/>
                    </w:rPr>
                    <w:t>注：</w:t>
                  </w:r>
                  <w:r>
                    <w:rPr>
                      <w:rFonts w:hint="default" w:ascii="Times New Roman" w:hAnsi="Times New Roman" w:cs="Times New Roman"/>
                      <w:color w:val="auto"/>
                      <w:kern w:val="0"/>
                      <w:sz w:val="21"/>
                      <w:szCs w:val="21"/>
                      <w:lang w:val="en-US" w:eastAsia="zh-CN" w:bidi="ar"/>
                    </w:rPr>
                    <w:t>①</w:t>
                  </w:r>
                  <w:r>
                    <w:rPr>
                      <w:rFonts w:hint="default" w:ascii="Times New Roman" w:hAnsi="Times New Roman" w:eastAsia="宋体" w:cs="Times New Roman"/>
                      <w:i w:val="0"/>
                      <w:iCs w:val="0"/>
                      <w:color w:val="auto"/>
                      <w:kern w:val="0"/>
                      <w:sz w:val="21"/>
                      <w:szCs w:val="21"/>
                      <w:u w:val="none"/>
                      <w:lang w:val="en-US" w:eastAsia="zh-CN" w:bidi="ar"/>
                    </w:rPr>
                    <w:t>项目废水排放执行园区污水处理厂接管水质要求、广东省《水污染物排放限值》（DB44/26-2001）第二时段三级标准以及《电镀水污染物排放标准》（DB44/1597-2015）</w:t>
                  </w:r>
                  <w:r>
                    <w:rPr>
                      <w:rFonts w:hint="default" w:ascii="Times New Roman" w:hAnsi="Times New Roman" w:cs="Times New Roman"/>
                      <w:i w:val="0"/>
                      <w:iCs w:val="0"/>
                      <w:color w:val="auto"/>
                      <w:kern w:val="0"/>
                      <w:sz w:val="21"/>
                      <w:szCs w:val="21"/>
                      <w:u w:val="none"/>
                      <w:lang w:val="en-US" w:eastAsia="zh-CN" w:bidi="ar"/>
                    </w:rPr>
                    <w:t>表现有项目水污染物非珠三角排放限值200%（其中总铝按表2新建项目水污染物排放限值-非珠三角地区执行）</w:t>
                  </w:r>
                  <w:r>
                    <w:rPr>
                      <w:rFonts w:hint="default" w:ascii="Times New Roman" w:hAnsi="Times New Roman" w:eastAsia="宋体" w:cs="Times New Roman"/>
                      <w:i w:val="0"/>
                      <w:iCs w:val="0"/>
                      <w:color w:val="auto"/>
                      <w:kern w:val="0"/>
                      <w:sz w:val="21"/>
                      <w:szCs w:val="21"/>
                      <w:u w:val="none"/>
                      <w:lang w:val="en-US" w:eastAsia="zh-CN" w:bidi="ar"/>
                    </w:rPr>
                    <w:t>三者较严值要求。</w:t>
                  </w:r>
                </w:p>
              </w:tc>
            </w:tr>
          </w:tbl>
          <w:p w14:paraId="19129F92">
            <w:pPr>
              <w:pStyle w:val="2"/>
              <w:rPr>
                <w:rFonts w:hint="default" w:ascii="Times New Roman" w:hAnsi="Times New Roman" w:cs="Times New Roman"/>
                <w:b/>
                <w:bCs/>
                <w:color w:val="auto"/>
                <w:sz w:val="21"/>
                <w:szCs w:val="21"/>
                <w:highlight w:val="none"/>
              </w:rPr>
            </w:pPr>
          </w:p>
          <w:p w14:paraId="14E0ED3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 w:val="0"/>
                <w:bCs w:val="0"/>
                <w:color w:val="auto"/>
                <w:kern w:val="2"/>
                <w:sz w:val="24"/>
                <w:szCs w:val="24"/>
                <w:highlight w:val="none"/>
              </w:rPr>
              <w:t>综上，</w:t>
            </w:r>
            <w:r>
              <w:rPr>
                <w:rFonts w:hint="default" w:ascii="Times New Roman" w:hAnsi="Times New Roman" w:cs="Times New Roman"/>
                <w:color w:val="auto"/>
                <w:sz w:val="24"/>
                <w:szCs w:val="24"/>
                <w:highlight w:val="none"/>
              </w:rPr>
              <w:t>项目</w:t>
            </w:r>
            <w:r>
              <w:rPr>
                <w:rFonts w:hint="default" w:ascii="Times New Roman" w:hAnsi="Times New Roman" w:cs="Times New Roman"/>
                <w:color w:val="auto"/>
                <w:sz w:val="24"/>
                <w:szCs w:val="24"/>
                <w:highlight w:val="none"/>
                <w:lang w:val="en-US" w:eastAsia="zh-CN"/>
              </w:rPr>
              <w:t>生活污水经“三级化粪池+隔油隔渣池”处理达到广东省地方标准《水污染物排放限值》（DB44/26-2001）第二时段三级标准以及园区污水处理厂接管水质要求两者较严值后，</w:t>
            </w:r>
            <w:r>
              <w:rPr>
                <w:rFonts w:hint="default" w:ascii="Times New Roman" w:hAnsi="Times New Roman" w:cs="Times New Roman"/>
                <w:color w:val="auto"/>
                <w:sz w:val="24"/>
                <w:szCs w:val="24"/>
                <w:highlight w:val="none"/>
              </w:rPr>
              <w:t>排入园区污水处理厂处理</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外排</w:t>
            </w:r>
            <w:r>
              <w:rPr>
                <w:rFonts w:hint="default" w:ascii="Times New Roman" w:hAnsi="Times New Roman" w:cs="Times New Roman"/>
                <w:color w:val="auto"/>
                <w:sz w:val="24"/>
                <w:szCs w:val="24"/>
                <w:highlight w:val="none"/>
              </w:rPr>
              <w:t>生产废水经“</w:t>
            </w:r>
            <w:r>
              <w:rPr>
                <w:rFonts w:hint="eastAsia" w:cs="Times New Roman"/>
                <w:color w:val="auto"/>
                <w:sz w:val="24"/>
                <w:szCs w:val="24"/>
                <w:highlight w:val="none"/>
                <w:lang w:eastAsia="zh-CN"/>
              </w:rPr>
              <w:t>中和调节+混凝沉淀+气浮+化学除氟</w:t>
            </w:r>
            <w:r>
              <w:rPr>
                <w:rFonts w:hint="default" w:ascii="Times New Roman" w:hAnsi="Times New Roman" w:cs="Times New Roman"/>
                <w:color w:val="auto"/>
                <w:sz w:val="24"/>
                <w:szCs w:val="24"/>
                <w:highlight w:val="none"/>
              </w:rPr>
              <w:t>”处理</w:t>
            </w:r>
            <w:r>
              <w:rPr>
                <w:rFonts w:hint="default" w:ascii="Times New Roman" w:hAnsi="Times New Roman" w:cs="Times New Roman"/>
                <w:color w:val="auto"/>
                <w:sz w:val="24"/>
                <w:szCs w:val="24"/>
                <w:highlight w:val="none"/>
                <w:lang w:val="en-US" w:eastAsia="zh-CN"/>
              </w:rPr>
              <w:t>达到园区污水处理厂接管水质要求、广东省《水污染物排放限值》（DB44/26-2001）第二时段三级标准以及《电镀水污染物排放标准》（DB44/1597-2015）</w:t>
            </w:r>
            <w:r>
              <w:rPr>
                <w:rFonts w:hint="eastAsia" w:cs="Times New Roman"/>
                <w:color w:val="auto"/>
                <w:sz w:val="24"/>
                <w:szCs w:val="24"/>
                <w:highlight w:val="none"/>
                <w:lang w:val="en-US" w:eastAsia="zh-CN"/>
              </w:rPr>
              <w:t>表1现有项目水污染物非珠三角排放限值200%（其中总铝按表2新建项目水污染物排放限值-非珠三角地区执行）</w:t>
            </w:r>
            <w:r>
              <w:rPr>
                <w:rFonts w:hint="default" w:ascii="Times New Roman" w:hAnsi="Times New Roman" w:cs="Times New Roman"/>
                <w:color w:val="auto"/>
                <w:sz w:val="24"/>
                <w:szCs w:val="24"/>
                <w:highlight w:val="none"/>
                <w:lang w:val="en-US" w:eastAsia="zh-CN"/>
              </w:rPr>
              <w:t>三者较严值要求，</w:t>
            </w:r>
            <w:r>
              <w:rPr>
                <w:rFonts w:hint="default" w:ascii="Times New Roman" w:hAnsi="Times New Roman" w:cs="Times New Roman"/>
                <w:color w:val="auto"/>
                <w:sz w:val="24"/>
                <w:szCs w:val="24"/>
                <w:highlight w:val="none"/>
              </w:rPr>
              <w:t>排入园区污水处理厂处理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项目设置两个废水排放口，生活污水和</w:t>
            </w:r>
            <w:r>
              <w:rPr>
                <w:rFonts w:hint="eastAsia" w:cs="Times New Roman"/>
                <w:color w:val="auto"/>
                <w:sz w:val="24"/>
                <w:szCs w:val="24"/>
                <w:highlight w:val="none"/>
                <w:lang w:val="en-US" w:eastAsia="zh-CN"/>
              </w:rPr>
              <w:t>外排</w:t>
            </w:r>
            <w:r>
              <w:rPr>
                <w:rFonts w:hint="default" w:ascii="Times New Roman" w:hAnsi="Times New Roman" w:cs="Times New Roman"/>
                <w:color w:val="auto"/>
                <w:sz w:val="24"/>
                <w:szCs w:val="24"/>
                <w:highlight w:val="none"/>
                <w:lang w:val="en-US" w:eastAsia="zh-CN"/>
              </w:rPr>
              <w:t>生产废水各自处理后排入园区污水处理厂，项目废水排放情况如下表所示。</w:t>
            </w:r>
          </w:p>
          <w:p w14:paraId="14B1E67A">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6</w:t>
            </w:r>
            <w:r>
              <w:rPr>
                <w:rFonts w:hint="default" w:ascii="Times New Roman" w:hAnsi="Times New Roman" w:cs="Times New Roman"/>
                <w:b/>
                <w:bCs/>
                <w:color w:val="auto"/>
                <w:sz w:val="21"/>
                <w:szCs w:val="21"/>
                <w:highlight w:val="none"/>
                <w:lang w:val="en-US" w:eastAsia="zh-CN"/>
              </w:rPr>
              <w:t>本项目</w:t>
            </w:r>
            <w:r>
              <w:rPr>
                <w:rFonts w:hint="default" w:ascii="Times New Roman" w:hAnsi="Times New Roman" w:eastAsia="宋体" w:cs="Times New Roman"/>
                <w:b/>
                <w:bCs/>
                <w:color w:val="auto"/>
                <w:sz w:val="21"/>
                <w:szCs w:val="21"/>
                <w:highlight w:val="none"/>
              </w:rPr>
              <w:t>废水污染物排放信息表</w:t>
            </w:r>
          </w:p>
          <w:tbl>
            <w:tblPr>
              <w:tblStyle w:val="48"/>
              <w:tblW w:w="8217"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51"/>
              <w:gridCol w:w="1451"/>
              <w:gridCol w:w="1174"/>
              <w:gridCol w:w="1223"/>
              <w:gridCol w:w="1451"/>
              <w:gridCol w:w="1467"/>
            </w:tblGrid>
            <w:tr w14:paraId="5EF77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5710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EE09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排放口编号</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87F7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污染物种类</w:t>
                  </w:r>
                </w:p>
              </w:tc>
              <w:tc>
                <w:tcPr>
                  <w:tcW w:w="12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1246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排放浓度</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mg/L</w:t>
                  </w:r>
                  <w:r>
                    <w:rPr>
                      <w:rFonts w:hint="eastAsia" w:ascii="宋体" w:hAnsi="宋体" w:eastAsia="宋体" w:cs="宋体"/>
                      <w:b/>
                      <w:bCs/>
                      <w:i w:val="0"/>
                      <w:iCs w:val="0"/>
                      <w:color w:val="auto"/>
                      <w:kern w:val="0"/>
                      <w:sz w:val="21"/>
                      <w:szCs w:val="21"/>
                      <w:u w:val="none"/>
                      <w:lang w:val="en-US" w:eastAsia="zh-CN" w:bidi="ar"/>
                    </w:rPr>
                    <w:t>）</w:t>
                  </w:r>
                </w:p>
              </w:tc>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7E0C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全厂日排放量</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kg/d</w:t>
                  </w:r>
                  <w:r>
                    <w:rPr>
                      <w:rFonts w:hint="eastAsia" w:ascii="宋体" w:hAnsi="宋体" w:eastAsia="宋体" w:cs="宋体"/>
                      <w:b/>
                      <w:bCs/>
                      <w:i w:val="0"/>
                      <w:iCs w:val="0"/>
                      <w:color w:val="auto"/>
                      <w:kern w:val="0"/>
                      <w:sz w:val="21"/>
                      <w:szCs w:val="21"/>
                      <w:u w:val="none"/>
                      <w:lang w:val="en-US" w:eastAsia="zh-CN" w:bidi="ar"/>
                    </w:rPr>
                    <w:t>）</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1990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全厂年排放量</w:t>
                  </w:r>
                  <w:r>
                    <w:rPr>
                      <w:rFonts w:hint="default" w:ascii="Times New Roman" w:hAnsi="Times New Roman" w:eastAsia="宋体" w:cs="Times New Roman"/>
                      <w:b/>
                      <w:bCs/>
                      <w:i w:val="0"/>
                      <w:iCs w:val="0"/>
                      <w:color w:val="auto"/>
                      <w:kern w:val="0"/>
                      <w:sz w:val="21"/>
                      <w:szCs w:val="21"/>
                      <w:u w:val="none"/>
                      <w:lang w:val="en-US" w:eastAsia="zh-CN" w:bidi="ar"/>
                    </w:rPr>
                    <w:t>/</w:t>
                  </w:r>
                  <w:r>
                    <w:rPr>
                      <w:rFonts w:hint="eastAsia" w:ascii="宋体" w:hAnsi="宋体" w:eastAsia="宋体" w:cs="宋体"/>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t/a</w:t>
                  </w:r>
                  <w:r>
                    <w:rPr>
                      <w:rFonts w:hint="eastAsia" w:ascii="宋体" w:hAnsi="宋体" w:eastAsia="宋体" w:cs="宋体"/>
                      <w:b/>
                      <w:bCs/>
                      <w:i w:val="0"/>
                      <w:iCs w:val="0"/>
                      <w:color w:val="auto"/>
                      <w:kern w:val="0"/>
                      <w:sz w:val="21"/>
                      <w:szCs w:val="21"/>
                      <w:u w:val="none"/>
                      <w:lang w:val="en-US" w:eastAsia="zh-CN" w:bidi="ar"/>
                    </w:rPr>
                    <w:t>）</w:t>
                  </w:r>
                </w:p>
              </w:tc>
            </w:tr>
            <w:tr w14:paraId="3CD01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ED0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E568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DW001</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236C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Cr</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D53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200</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0B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1.718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1F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0.414</w:t>
                  </w:r>
                </w:p>
              </w:tc>
            </w:tr>
            <w:tr w14:paraId="07B2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7C6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E92FFF">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AB6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6A5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142.5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0B9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1.224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71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0.295</w:t>
                  </w:r>
                </w:p>
              </w:tc>
            </w:tr>
            <w:tr w14:paraId="37B21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7C98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C94F1">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851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CC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104.8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9A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0.900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EB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0.217</w:t>
                  </w:r>
                </w:p>
              </w:tc>
            </w:tr>
            <w:tr w14:paraId="50413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0AB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C7BF5C">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6C3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-N</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25E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30.0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BB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0.257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7B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0.062</w:t>
                  </w:r>
                </w:p>
              </w:tc>
            </w:tr>
            <w:tr w14:paraId="33CAC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9DB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6A045">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C9F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总磷</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0B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3.9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3E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0.033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2E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0.008</w:t>
                  </w:r>
                </w:p>
              </w:tc>
            </w:tr>
            <w:tr w14:paraId="4CF86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37E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4B782C">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73D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动植物油</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EB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19.8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AD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8B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0.041</w:t>
                  </w:r>
                </w:p>
              </w:tc>
            </w:tr>
            <w:tr w14:paraId="12303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ABA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45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8EF9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DW002</w:t>
                  </w: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107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Cr</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F5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108.4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5D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4.503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AD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1.085 </w:t>
                  </w:r>
                </w:p>
              </w:tc>
            </w:tr>
            <w:tr w14:paraId="140E7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BF0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64EDF7">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CD0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6B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53.2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02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2.210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BF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0.533 </w:t>
                  </w:r>
                </w:p>
              </w:tc>
            </w:tr>
            <w:tr w14:paraId="2E284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B37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BD8CBF">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82E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DB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3.6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D0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0.150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5B8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0.036 </w:t>
                  </w:r>
                </w:p>
              </w:tc>
            </w:tr>
            <w:tr w14:paraId="690E1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CC9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1E1958">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C73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-N</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D66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12.5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5BA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0.521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A5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0.126 </w:t>
                  </w:r>
                </w:p>
              </w:tc>
            </w:tr>
            <w:tr w14:paraId="2C288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786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3B3315">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9BA8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氟化物</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8F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9.8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D38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0.407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81C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0.098 </w:t>
                  </w:r>
                </w:p>
              </w:tc>
            </w:tr>
            <w:tr w14:paraId="4C902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09E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2F5F4A">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088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总磷</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C9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0A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0.003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508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0.001 </w:t>
                  </w:r>
                </w:p>
              </w:tc>
            </w:tr>
            <w:tr w14:paraId="50DD4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539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D378A5">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72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TN</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95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37.6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46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1.563 </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0BD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0.377 </w:t>
                  </w:r>
                </w:p>
              </w:tc>
            </w:tr>
            <w:tr w14:paraId="75CBB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605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CA133B">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69C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阴离子表面活性剂</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26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5A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0.011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74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0.003 </w:t>
                  </w:r>
                </w:p>
              </w:tc>
            </w:tr>
            <w:tr w14:paraId="0821B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4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300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DD766E">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A00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总铝</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60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1.8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B7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0.077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B5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r>
            <w:tr w14:paraId="1D28D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229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45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93610C">
                  <w:pPr>
                    <w:jc w:val="center"/>
                    <w:rPr>
                      <w:rFonts w:hint="default" w:ascii="Times New Roman" w:hAnsi="Times New Roman" w:eastAsia="宋体" w:cs="Times New Roman"/>
                      <w:i w:val="0"/>
                      <w:iCs w:val="0"/>
                      <w:color w:val="auto"/>
                      <w:sz w:val="21"/>
                      <w:szCs w:val="21"/>
                      <w:u w:val="none"/>
                    </w:rPr>
                  </w:pPr>
                </w:p>
              </w:tc>
              <w:tc>
                <w:tcPr>
                  <w:tcW w:w="11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AA9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石油类</w:t>
                  </w:r>
                </w:p>
              </w:tc>
              <w:tc>
                <w:tcPr>
                  <w:tcW w:w="12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3E4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4.1 </w:t>
                  </w:r>
                </w:p>
              </w:tc>
              <w:tc>
                <w:tcPr>
                  <w:tcW w:w="14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40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0.170 </w:t>
                  </w:r>
                </w:p>
              </w:tc>
              <w:tc>
                <w:tcPr>
                  <w:tcW w:w="1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35E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r>
            <w:tr w14:paraId="451C0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B132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全厂排放口合计</w:t>
                  </w: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52F1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Cr</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1FD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1.499 </w:t>
                  </w:r>
                </w:p>
              </w:tc>
            </w:tr>
            <w:tr w14:paraId="0A3DC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2B58C3">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90628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7DD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0.828 </w:t>
                  </w:r>
                </w:p>
              </w:tc>
            </w:tr>
            <w:tr w14:paraId="6FF85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FF404">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F131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SS</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DCE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0.253 </w:t>
                  </w:r>
                </w:p>
              </w:tc>
            </w:tr>
            <w:tr w14:paraId="0D197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0C4EB">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0FDC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-N</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546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0.188 </w:t>
                  </w:r>
                </w:p>
              </w:tc>
            </w:tr>
            <w:tr w14:paraId="5DD2D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C365E1">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1CFE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氟化物</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A59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0.098 </w:t>
                  </w:r>
                </w:p>
              </w:tc>
            </w:tr>
            <w:tr w14:paraId="5DA32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477E87">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1AFBA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TP</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F5E3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r>
            <w:tr w14:paraId="51028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ECA0F9">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57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TN</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27A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0.377 </w:t>
                  </w:r>
                </w:p>
              </w:tc>
            </w:tr>
            <w:tr w14:paraId="7210D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60645E">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FBC26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阴离子表面活性剂</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62C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0.003 </w:t>
                  </w:r>
                </w:p>
              </w:tc>
            </w:tr>
            <w:tr w14:paraId="21C3C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10D20B">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C37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总铝</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33E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r>
            <w:tr w14:paraId="650D5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9498AA">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E2F4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石油类</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8A1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r>
            <w:tr w14:paraId="0621D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0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F3D550">
                  <w:pPr>
                    <w:jc w:val="center"/>
                    <w:rPr>
                      <w:rFonts w:hint="default" w:ascii="Times New Roman" w:hAnsi="Times New Roman" w:eastAsia="宋体" w:cs="Times New Roman"/>
                      <w:i w:val="0"/>
                      <w:iCs w:val="0"/>
                      <w:color w:val="auto"/>
                      <w:sz w:val="21"/>
                      <w:szCs w:val="21"/>
                      <w:u w:val="none"/>
                    </w:rPr>
                  </w:pPr>
                </w:p>
              </w:tc>
              <w:tc>
                <w:tcPr>
                  <w:tcW w:w="384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9739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动植物油</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F0C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r>
          </w:tbl>
          <w:p w14:paraId="55A8F004">
            <w:pPr>
              <w:keepNext w:val="0"/>
              <w:keepLines w:val="0"/>
              <w:pageBreakBefore w:val="0"/>
              <w:widowControl w:val="0"/>
              <w:kinsoku/>
              <w:wordWrap/>
              <w:overflowPunct/>
              <w:topLinePunct w:val="0"/>
              <w:autoSpaceDE/>
              <w:autoSpaceDN/>
              <w:bidi w:val="0"/>
              <w:adjustRightInd/>
              <w:snapToGrid/>
              <w:spacing w:line="100" w:lineRule="exact"/>
              <w:ind w:firstLine="480" w:firstLineChars="200"/>
              <w:textAlignment w:val="auto"/>
              <w:rPr>
                <w:rFonts w:hint="default" w:ascii="Times New Roman" w:hAnsi="Times New Roman" w:eastAsia="宋体" w:cs="Times New Roman"/>
                <w:color w:val="auto"/>
                <w:sz w:val="24"/>
                <w:szCs w:val="24"/>
                <w:highlight w:val="none"/>
              </w:rPr>
            </w:pPr>
          </w:p>
          <w:p w14:paraId="0B131558">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（4）锆、钛离子影响分析</w:t>
            </w:r>
          </w:p>
          <w:p w14:paraId="7EAFB0B1">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color w:val="auto"/>
                <w:sz w:val="24"/>
                <w:szCs w:val="24"/>
                <w:highlight w:val="none"/>
                <w:vertAlign w:val="baseline"/>
                <w:lang w:val="en-US" w:eastAsia="zh-CN"/>
              </w:rPr>
            </w:pPr>
            <w:r>
              <w:rPr>
                <w:rFonts w:hint="default" w:ascii="Times New Roman" w:hAnsi="Times New Roman" w:cs="Times New Roman"/>
                <w:color w:val="auto"/>
                <w:sz w:val="24"/>
                <w:szCs w:val="24"/>
                <w:highlight w:val="none"/>
                <w:lang w:val="en-US" w:eastAsia="zh-CN"/>
              </w:rPr>
              <w:t>由于项目无铬钝化剂中含氟锆酸和氟钛酸，会有少量锆离子和钛离子产生，但目前锆、钛未有相关排放标准要求，且项目钝化剂使用量较少，本项目不将锆和钛作为控制标准，但为进一步考虑环境影响，本项目将锆、钛定量分析，论证本项目废水处理工艺是否能对上述污染物进行有效处理。本项目无铬钝化剂用量为</w:t>
            </w:r>
            <w:r>
              <w:rPr>
                <w:rFonts w:hint="eastAsia" w:cs="Times New Roman"/>
                <w:color w:val="auto"/>
                <w:sz w:val="24"/>
                <w:szCs w:val="24"/>
                <w:highlight w:val="none"/>
                <w:lang w:val="en-US" w:eastAsia="zh-CN"/>
              </w:rPr>
              <w:t>3.750</w:t>
            </w:r>
            <w:r>
              <w:rPr>
                <w:rFonts w:hint="default" w:ascii="Times New Roman" w:hAnsi="Times New Roman" w:cs="Times New Roman"/>
                <w:color w:val="auto"/>
                <w:sz w:val="24"/>
                <w:szCs w:val="24"/>
                <w:highlight w:val="none"/>
                <w:lang w:val="en-US" w:eastAsia="zh-CN"/>
              </w:rPr>
              <w:t>t/a，氟锆酸和氟钛酸含量均为5%～10%，项目按最大占比10%计算，分子式分别为H</w:t>
            </w:r>
            <w:r>
              <w:rPr>
                <w:rFonts w:hint="default" w:ascii="Times New Roman" w:hAnsi="Times New Roman" w:cs="Times New Roman"/>
                <w:color w:val="auto"/>
                <w:sz w:val="24"/>
                <w:szCs w:val="24"/>
                <w:highlight w:val="none"/>
                <w:vertAlign w:val="subscript"/>
                <w:lang w:val="en-US" w:eastAsia="zh-CN"/>
              </w:rPr>
              <w:t>2</w:t>
            </w:r>
            <w:r>
              <w:rPr>
                <w:rFonts w:hint="default" w:ascii="Times New Roman" w:hAnsi="Times New Roman" w:cs="Times New Roman"/>
                <w:color w:val="auto"/>
                <w:sz w:val="24"/>
                <w:szCs w:val="24"/>
                <w:highlight w:val="none"/>
                <w:lang w:val="en-US" w:eastAsia="zh-CN"/>
              </w:rPr>
              <w:t>F</w:t>
            </w:r>
            <w:r>
              <w:rPr>
                <w:rFonts w:hint="default" w:ascii="Times New Roman" w:hAnsi="Times New Roman" w:cs="Times New Roman"/>
                <w:color w:val="auto"/>
                <w:sz w:val="24"/>
                <w:szCs w:val="24"/>
                <w:highlight w:val="none"/>
                <w:vertAlign w:val="subscript"/>
                <w:lang w:val="en-US" w:eastAsia="zh-CN"/>
              </w:rPr>
              <w:t>2</w:t>
            </w:r>
            <w:r>
              <w:rPr>
                <w:rFonts w:hint="default" w:ascii="Times New Roman" w:hAnsi="Times New Roman" w:cs="Times New Roman"/>
                <w:color w:val="auto"/>
                <w:sz w:val="24"/>
                <w:szCs w:val="24"/>
                <w:highlight w:val="none"/>
                <w:lang w:val="en-US" w:eastAsia="zh-CN"/>
              </w:rPr>
              <w:t>Zr、H</w:t>
            </w:r>
            <w:r>
              <w:rPr>
                <w:rFonts w:hint="default" w:ascii="Times New Roman" w:hAnsi="Times New Roman" w:cs="Times New Roman"/>
                <w:color w:val="auto"/>
                <w:sz w:val="24"/>
                <w:szCs w:val="24"/>
                <w:highlight w:val="none"/>
                <w:vertAlign w:val="subscript"/>
                <w:lang w:val="en-US" w:eastAsia="zh-CN"/>
              </w:rPr>
              <w:t>2</w:t>
            </w:r>
            <w:r>
              <w:rPr>
                <w:rFonts w:hint="default" w:ascii="Times New Roman" w:hAnsi="Times New Roman" w:cs="Times New Roman"/>
                <w:color w:val="auto"/>
                <w:sz w:val="24"/>
                <w:szCs w:val="24"/>
                <w:highlight w:val="none"/>
                <w:lang w:val="en-US" w:eastAsia="zh-CN"/>
              </w:rPr>
              <w:t>TiF</w:t>
            </w:r>
            <w:r>
              <w:rPr>
                <w:rFonts w:hint="default" w:ascii="Times New Roman" w:hAnsi="Times New Roman" w:cs="Times New Roman"/>
                <w:color w:val="auto"/>
                <w:sz w:val="24"/>
                <w:szCs w:val="24"/>
                <w:highlight w:val="none"/>
                <w:vertAlign w:val="subscript"/>
                <w:lang w:val="en-US" w:eastAsia="zh-CN"/>
              </w:rPr>
              <w:t>6</w:t>
            </w:r>
            <w:r>
              <w:rPr>
                <w:rFonts w:hint="default" w:ascii="Times New Roman" w:hAnsi="Times New Roman" w:cs="Times New Roman"/>
                <w:color w:val="auto"/>
                <w:sz w:val="24"/>
                <w:szCs w:val="24"/>
                <w:highlight w:val="none"/>
                <w:vertAlign w:val="baseline"/>
                <w:lang w:val="en-US" w:eastAsia="zh-CN"/>
              </w:rPr>
              <w:t>，按照原子质量占比</w:t>
            </w:r>
            <w:r>
              <w:rPr>
                <w:rFonts w:hint="eastAsia" w:cs="Times New Roman"/>
                <w:color w:val="auto"/>
                <w:sz w:val="24"/>
                <w:szCs w:val="24"/>
                <w:highlight w:val="none"/>
                <w:vertAlign w:val="baseline"/>
                <w:lang w:val="en-US" w:eastAsia="zh-CN"/>
              </w:rPr>
              <w:t>分别为44.02%、29.21%。项目无铬钝化槽槽液不外排，仅定期更换槽液，因此进入废水中的钝化剂仅来自钝化槽工件带出废水。</w:t>
            </w:r>
            <w:r>
              <w:rPr>
                <w:rFonts w:hint="eastAsia"/>
                <w:color w:val="auto"/>
                <w:sz w:val="24"/>
                <w:szCs w:val="24"/>
                <w:lang w:val="en-US" w:eastAsia="zh-CN"/>
              </w:rPr>
              <w:t>参考《污染源源强核算技术指南 电镀》（HJ984-2018）中附录 D 不同形状镀件镀液带出量参考值一览表中简单镀件形状的自动线挂镀的镀液带出量＜0.1L/m</w:t>
            </w:r>
            <w:r>
              <w:rPr>
                <w:rFonts w:hint="eastAsia"/>
                <w:color w:val="auto"/>
                <w:sz w:val="24"/>
                <w:szCs w:val="24"/>
                <w:vertAlign w:val="superscript"/>
                <w:lang w:val="en-US" w:eastAsia="zh-CN"/>
              </w:rPr>
              <w:t>2</w:t>
            </w:r>
            <w:r>
              <w:rPr>
                <w:rFonts w:hint="eastAsia"/>
                <w:color w:val="auto"/>
                <w:sz w:val="24"/>
                <w:szCs w:val="24"/>
                <w:lang w:val="en-US" w:eastAsia="zh-CN"/>
              </w:rPr>
              <w:t xml:space="preserve"> ， 取 值 0.1L/m</w:t>
            </w:r>
            <w:r>
              <w:rPr>
                <w:rFonts w:hint="eastAsia"/>
                <w:color w:val="auto"/>
                <w:sz w:val="24"/>
                <w:szCs w:val="24"/>
                <w:vertAlign w:val="superscript"/>
                <w:lang w:val="en-US" w:eastAsia="zh-CN"/>
              </w:rPr>
              <w:t>2</w:t>
            </w:r>
            <w:r>
              <w:rPr>
                <w:rFonts w:hint="eastAsia"/>
                <w:color w:val="auto"/>
                <w:sz w:val="24"/>
                <w:szCs w:val="24"/>
                <w:lang w:val="en-US" w:eastAsia="zh-CN"/>
              </w:rPr>
              <w:t xml:space="preserve"> 。根据建设单位提供数据，钝化工艺浓度为1%，</w:t>
            </w:r>
            <w:r>
              <w:rPr>
                <w:rFonts w:hint="eastAsia"/>
                <w:color w:val="auto"/>
                <w:sz w:val="24"/>
                <w:szCs w:val="24"/>
                <w:vertAlign w:val="baseline"/>
                <w:lang w:val="en-US" w:eastAsia="zh-CN"/>
              </w:rPr>
              <w:t>需钝化处理的工件面积以双面计为1100000m</w:t>
            </w:r>
            <w:r>
              <w:rPr>
                <w:rFonts w:hint="eastAsia"/>
                <w:color w:val="auto"/>
                <w:sz w:val="24"/>
                <w:szCs w:val="24"/>
                <w:vertAlign w:val="superscript"/>
                <w:lang w:val="en-US" w:eastAsia="zh-CN"/>
              </w:rPr>
              <w:t>2</w:t>
            </w:r>
            <w:r>
              <w:rPr>
                <w:rFonts w:hint="eastAsia"/>
                <w:color w:val="auto"/>
                <w:sz w:val="24"/>
                <w:szCs w:val="24"/>
                <w:vertAlign w:val="baseline"/>
                <w:lang w:val="en-US" w:eastAsia="zh-CN"/>
              </w:rPr>
              <w:t>，则</w:t>
            </w:r>
            <w:r>
              <w:rPr>
                <w:rFonts w:hint="eastAsia"/>
                <w:color w:val="auto"/>
                <w:sz w:val="24"/>
                <w:szCs w:val="24"/>
                <w:lang w:val="en-US" w:eastAsia="zh-CN"/>
              </w:rPr>
              <w:t>工件带出无铬钝化剂量为0.1L/m</w:t>
            </w:r>
            <w:r>
              <w:rPr>
                <w:rFonts w:hint="eastAsia"/>
                <w:color w:val="auto"/>
                <w:sz w:val="24"/>
                <w:szCs w:val="24"/>
                <w:vertAlign w:val="superscript"/>
                <w:lang w:val="en-US" w:eastAsia="zh-CN"/>
              </w:rPr>
              <w:t>2</w:t>
            </w:r>
            <w:r>
              <w:rPr>
                <w:rFonts w:hint="eastAsia"/>
                <w:color w:val="auto"/>
                <w:sz w:val="24"/>
                <w:szCs w:val="24"/>
                <w:lang w:val="en-US" w:eastAsia="zh-CN"/>
              </w:rPr>
              <w:t xml:space="preserve"> × 1100000m</w:t>
            </w:r>
            <w:r>
              <w:rPr>
                <w:rFonts w:hint="eastAsia"/>
                <w:color w:val="auto"/>
                <w:sz w:val="24"/>
                <w:szCs w:val="24"/>
                <w:vertAlign w:val="superscript"/>
                <w:lang w:val="en-US" w:eastAsia="zh-CN"/>
              </w:rPr>
              <w:t>2</w:t>
            </w:r>
            <w:r>
              <w:rPr>
                <w:rFonts w:hint="eastAsia"/>
                <w:color w:val="auto"/>
                <w:sz w:val="24"/>
                <w:szCs w:val="24"/>
                <w:lang w:val="en-US" w:eastAsia="zh-CN"/>
              </w:rPr>
              <w:t xml:space="preserve"> × 10</w:t>
            </w:r>
            <w:r>
              <w:rPr>
                <w:rFonts w:hint="eastAsia"/>
                <w:color w:val="auto"/>
                <w:sz w:val="24"/>
                <w:szCs w:val="24"/>
                <w:vertAlign w:val="superscript"/>
                <w:lang w:val="en-US" w:eastAsia="zh-CN"/>
              </w:rPr>
              <w:t>-3</w:t>
            </w:r>
            <w:r>
              <w:rPr>
                <w:rFonts w:hint="eastAsia"/>
                <w:color w:val="auto"/>
                <w:sz w:val="24"/>
                <w:szCs w:val="24"/>
                <w:vertAlign w:val="baseline"/>
                <w:lang w:val="en-US" w:eastAsia="zh-CN"/>
              </w:rPr>
              <w:t>×1%×1.003t/m</w:t>
            </w:r>
            <w:r>
              <w:rPr>
                <w:rFonts w:hint="eastAsia"/>
                <w:color w:val="auto"/>
                <w:sz w:val="24"/>
                <w:szCs w:val="24"/>
                <w:vertAlign w:val="superscript"/>
                <w:lang w:val="en-US" w:eastAsia="zh-CN"/>
              </w:rPr>
              <w:t>3</w:t>
            </w:r>
            <w:r>
              <w:rPr>
                <w:rFonts w:hint="eastAsia"/>
                <w:color w:val="auto"/>
                <w:sz w:val="24"/>
                <w:szCs w:val="24"/>
                <w:lang w:val="en-US" w:eastAsia="zh-CN"/>
              </w:rPr>
              <w:t>=1.102t/a。由此</w:t>
            </w:r>
            <w:r>
              <w:rPr>
                <w:rFonts w:hint="default" w:ascii="Times New Roman" w:hAnsi="Times New Roman" w:cs="Times New Roman"/>
                <w:color w:val="auto"/>
                <w:sz w:val="24"/>
                <w:szCs w:val="24"/>
                <w:highlight w:val="none"/>
                <w:vertAlign w:val="baseline"/>
                <w:lang w:val="en-US" w:eastAsia="zh-CN"/>
              </w:rPr>
              <w:t>计算得</w:t>
            </w:r>
            <w:r>
              <w:rPr>
                <w:rFonts w:hint="eastAsia" w:cs="Times New Roman"/>
                <w:color w:val="auto"/>
                <w:sz w:val="24"/>
                <w:szCs w:val="24"/>
                <w:highlight w:val="none"/>
                <w:vertAlign w:val="baseline"/>
                <w:lang w:val="en-US" w:eastAsia="zh-CN"/>
              </w:rPr>
              <w:t>废水中</w:t>
            </w:r>
            <w:r>
              <w:rPr>
                <w:rFonts w:hint="default" w:ascii="Times New Roman" w:hAnsi="Times New Roman" w:cs="Times New Roman"/>
                <w:color w:val="auto"/>
                <w:sz w:val="24"/>
                <w:szCs w:val="24"/>
                <w:highlight w:val="none"/>
                <w:vertAlign w:val="baseline"/>
                <w:lang w:val="en-US" w:eastAsia="zh-CN"/>
              </w:rPr>
              <w:t>Zr产生量为</w:t>
            </w:r>
            <w:r>
              <w:rPr>
                <w:rFonts w:hint="eastAsia" w:cs="Times New Roman"/>
                <w:color w:val="auto"/>
                <w:sz w:val="24"/>
                <w:szCs w:val="24"/>
                <w:highlight w:val="none"/>
                <w:vertAlign w:val="baseline"/>
                <w:lang w:val="en-US" w:eastAsia="zh-CN"/>
              </w:rPr>
              <w:t>1.102×10%×44.02%=</w:t>
            </w:r>
            <w:r>
              <w:rPr>
                <w:rFonts w:hint="default" w:ascii="Times New Roman" w:hAnsi="Times New Roman" w:cs="Times New Roman"/>
                <w:color w:val="auto"/>
                <w:sz w:val="24"/>
                <w:szCs w:val="24"/>
                <w:highlight w:val="none"/>
                <w:vertAlign w:val="baseline"/>
                <w:lang w:val="en-US" w:eastAsia="zh-CN"/>
              </w:rPr>
              <w:t>0.</w:t>
            </w:r>
            <w:r>
              <w:rPr>
                <w:rFonts w:hint="eastAsia" w:cs="Times New Roman"/>
                <w:color w:val="auto"/>
                <w:sz w:val="24"/>
                <w:szCs w:val="24"/>
                <w:highlight w:val="none"/>
                <w:vertAlign w:val="baseline"/>
                <w:lang w:val="en-US" w:eastAsia="zh-CN"/>
              </w:rPr>
              <w:t>049</w:t>
            </w:r>
            <w:r>
              <w:rPr>
                <w:rFonts w:hint="default" w:ascii="Times New Roman" w:hAnsi="Times New Roman" w:cs="Times New Roman"/>
                <w:color w:val="auto"/>
                <w:sz w:val="24"/>
                <w:szCs w:val="24"/>
                <w:highlight w:val="none"/>
                <w:vertAlign w:val="baseline"/>
                <w:lang w:val="en-US" w:eastAsia="zh-CN"/>
              </w:rPr>
              <w:t>t/a，Ti产生量为</w:t>
            </w:r>
            <w:bookmarkStart w:id="27" w:name="OLE_LINK42"/>
            <w:r>
              <w:rPr>
                <w:rFonts w:hint="eastAsia" w:cs="Times New Roman"/>
                <w:color w:val="auto"/>
                <w:sz w:val="24"/>
                <w:szCs w:val="24"/>
                <w:highlight w:val="none"/>
                <w:vertAlign w:val="baseline"/>
                <w:lang w:val="en-US" w:eastAsia="zh-CN"/>
              </w:rPr>
              <w:t>1.102×10%×29.21%=0.</w:t>
            </w:r>
            <w:bookmarkEnd w:id="27"/>
            <w:r>
              <w:rPr>
                <w:rFonts w:hint="eastAsia" w:cs="Times New Roman"/>
                <w:color w:val="auto"/>
                <w:sz w:val="24"/>
                <w:szCs w:val="24"/>
                <w:highlight w:val="none"/>
                <w:vertAlign w:val="baseline"/>
                <w:lang w:val="en-US" w:eastAsia="zh-CN"/>
              </w:rPr>
              <w:t>032</w:t>
            </w:r>
            <w:r>
              <w:rPr>
                <w:rFonts w:hint="default" w:ascii="Times New Roman" w:hAnsi="Times New Roman" w:cs="Times New Roman"/>
                <w:color w:val="auto"/>
                <w:sz w:val="24"/>
                <w:szCs w:val="24"/>
                <w:highlight w:val="none"/>
                <w:vertAlign w:val="baseline"/>
                <w:lang w:val="en-US" w:eastAsia="zh-CN"/>
              </w:rPr>
              <w:t>t/a，本项目</w:t>
            </w:r>
            <w:r>
              <w:rPr>
                <w:rFonts w:hint="eastAsia" w:cs="Times New Roman"/>
                <w:color w:val="auto"/>
                <w:sz w:val="24"/>
                <w:szCs w:val="24"/>
                <w:highlight w:val="none"/>
                <w:lang w:val="en-US" w:eastAsia="zh-CN"/>
              </w:rPr>
              <w:t>外排生产</w:t>
            </w:r>
            <w:r>
              <w:rPr>
                <w:rFonts w:hint="default" w:ascii="Times New Roman" w:hAnsi="Times New Roman" w:cs="Times New Roman"/>
                <w:color w:val="auto"/>
                <w:sz w:val="24"/>
                <w:szCs w:val="24"/>
                <w:highlight w:val="none"/>
                <w:vertAlign w:val="baseline"/>
                <w:lang w:val="en-US" w:eastAsia="zh-CN"/>
              </w:rPr>
              <w:t>废水产生量为</w:t>
            </w:r>
            <w:r>
              <w:rPr>
                <w:rFonts w:hint="eastAsia" w:cs="Times New Roman"/>
                <w:color w:val="auto"/>
                <w:sz w:val="24"/>
                <w:szCs w:val="24"/>
                <w:highlight w:val="none"/>
                <w:vertAlign w:val="baseline"/>
                <w:lang w:val="en-US" w:eastAsia="zh-CN"/>
              </w:rPr>
              <w:t>10010.08</w:t>
            </w:r>
            <w:r>
              <w:rPr>
                <w:rFonts w:hint="default" w:ascii="Times New Roman" w:hAnsi="Times New Roman" w:cs="Times New Roman"/>
                <w:color w:val="auto"/>
                <w:sz w:val="24"/>
                <w:szCs w:val="24"/>
                <w:highlight w:val="none"/>
                <w:vertAlign w:val="baseline"/>
                <w:lang w:val="en-US" w:eastAsia="zh-CN"/>
              </w:rPr>
              <w:t>t/a，</w:t>
            </w:r>
            <w:r>
              <w:rPr>
                <w:rFonts w:hint="eastAsia" w:cs="Times New Roman"/>
                <w:color w:val="auto"/>
                <w:sz w:val="24"/>
                <w:szCs w:val="24"/>
                <w:highlight w:val="none"/>
                <w:vertAlign w:val="baseline"/>
                <w:lang w:val="en-US" w:eastAsia="zh-CN"/>
              </w:rPr>
              <w:t>得</w:t>
            </w:r>
            <w:r>
              <w:rPr>
                <w:rFonts w:hint="default" w:ascii="Times New Roman" w:hAnsi="Times New Roman" w:cs="Times New Roman"/>
                <w:color w:val="auto"/>
                <w:sz w:val="24"/>
                <w:szCs w:val="24"/>
                <w:highlight w:val="none"/>
                <w:vertAlign w:val="baseline"/>
                <w:lang w:val="en-US" w:eastAsia="zh-CN"/>
              </w:rPr>
              <w:t>出Zr和Ti产生浓度分别为</w:t>
            </w:r>
            <w:r>
              <w:rPr>
                <w:rFonts w:hint="eastAsia" w:cs="Times New Roman"/>
                <w:color w:val="auto"/>
                <w:sz w:val="24"/>
                <w:szCs w:val="24"/>
                <w:highlight w:val="none"/>
                <w:vertAlign w:val="baseline"/>
                <w:lang w:val="en-US" w:eastAsia="zh-CN"/>
              </w:rPr>
              <w:t>4.85</w:t>
            </w:r>
            <w:r>
              <w:rPr>
                <w:rFonts w:hint="default" w:ascii="Times New Roman" w:hAnsi="Times New Roman" w:cs="Times New Roman"/>
                <w:color w:val="auto"/>
                <w:sz w:val="24"/>
                <w:szCs w:val="24"/>
                <w:highlight w:val="none"/>
                <w:vertAlign w:val="baseline"/>
                <w:lang w:val="en-US" w:eastAsia="zh-CN"/>
              </w:rPr>
              <w:t>mg/L和</w:t>
            </w:r>
            <w:r>
              <w:rPr>
                <w:rFonts w:hint="eastAsia" w:cs="Times New Roman"/>
                <w:color w:val="auto"/>
                <w:sz w:val="24"/>
                <w:szCs w:val="24"/>
                <w:highlight w:val="none"/>
                <w:vertAlign w:val="baseline"/>
                <w:lang w:val="en-US" w:eastAsia="zh-CN"/>
              </w:rPr>
              <w:t>3.22</w:t>
            </w:r>
            <w:r>
              <w:rPr>
                <w:rFonts w:hint="default" w:ascii="Times New Roman" w:hAnsi="Times New Roman" w:cs="Times New Roman"/>
                <w:color w:val="auto"/>
                <w:sz w:val="24"/>
                <w:szCs w:val="24"/>
                <w:highlight w:val="none"/>
                <w:vertAlign w:val="baseline"/>
                <w:lang w:val="en-US" w:eastAsia="zh-CN"/>
              </w:rPr>
              <w:t>mg/L。</w:t>
            </w:r>
          </w:p>
          <w:p w14:paraId="52EDED3B">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eastAsia="宋体" w:cs="Times New Roman"/>
                <w:b w:val="0"/>
                <w:bCs w:val="0"/>
                <w:color w:val="auto"/>
                <w:sz w:val="24"/>
                <w:szCs w:val="24"/>
                <w:highlight w:val="none"/>
                <w:vertAlign w:val="baseline"/>
                <w:lang w:val="en-US"/>
              </w:rPr>
            </w:pPr>
            <w:r>
              <w:rPr>
                <w:rFonts w:hint="default" w:ascii="Times New Roman" w:hAnsi="Times New Roman" w:eastAsia="宋体" w:cs="Times New Roman"/>
                <w:b w:val="0"/>
                <w:bCs w:val="0"/>
                <w:color w:val="auto"/>
                <w:sz w:val="24"/>
                <w:szCs w:val="24"/>
                <w:highlight w:val="none"/>
                <w:vertAlign w:val="baseline"/>
                <w:lang w:val="en-US"/>
              </w:rPr>
              <w:t>“</w:t>
            </w:r>
            <w:r>
              <w:rPr>
                <w:rFonts w:hint="eastAsia" w:cs="Times New Roman"/>
                <w:b w:val="0"/>
                <w:bCs w:val="0"/>
                <w:color w:val="auto"/>
                <w:sz w:val="24"/>
                <w:szCs w:val="24"/>
                <w:highlight w:val="none"/>
                <w:vertAlign w:val="baseline"/>
                <w:lang w:val="en-US" w:eastAsia="zh-CN"/>
              </w:rPr>
              <w:t>中和调节+混凝沉淀+气浮+化学除氟</w:t>
            </w:r>
            <w:r>
              <w:rPr>
                <w:rFonts w:hint="default" w:ascii="Times New Roman" w:hAnsi="Times New Roman" w:eastAsia="宋体" w:cs="Times New Roman"/>
                <w:b w:val="0"/>
                <w:bCs w:val="0"/>
                <w:color w:val="auto"/>
                <w:sz w:val="24"/>
                <w:szCs w:val="24"/>
                <w:highlight w:val="none"/>
                <w:vertAlign w:val="baseline"/>
                <w:lang w:val="en-US"/>
              </w:rPr>
              <w:t>”组合工艺对锆（Zr）和钛（Ti）的处理效率预计可达85%</w:t>
            </w:r>
            <w:r>
              <w:rPr>
                <w:rFonts w:hint="default" w:ascii="Times New Roman" w:hAnsi="Times New Roman" w:eastAsia="宋体" w:cs="Times New Roman"/>
                <w:b w:val="0"/>
                <w:bCs w:val="0"/>
                <w:color w:val="auto"/>
                <w:sz w:val="24"/>
                <w:szCs w:val="24"/>
                <w:highlight w:val="none"/>
                <w:vertAlign w:val="baseline"/>
                <w:lang w:val="en-US" w:eastAsia="zh-CN"/>
              </w:rPr>
              <w:t>～</w:t>
            </w:r>
            <w:r>
              <w:rPr>
                <w:rFonts w:hint="default" w:ascii="Times New Roman" w:hAnsi="Times New Roman" w:eastAsia="宋体" w:cs="Times New Roman"/>
                <w:b w:val="0"/>
                <w:bCs w:val="0"/>
                <w:color w:val="auto"/>
                <w:sz w:val="24"/>
                <w:szCs w:val="24"/>
                <w:highlight w:val="none"/>
                <w:vertAlign w:val="baseline"/>
                <w:lang w:val="en-US"/>
              </w:rPr>
              <w:t>95%。中和调节通过精准控制pH（Zr:8~10，Ti:6~8），促使Zr⁴⁺和Ti⁴⁺形成难溶氢氧化物沉淀（如Zr(OH)₄、Ti(OH)₄），初步去除率约50%</w:t>
            </w:r>
            <w:r>
              <w:rPr>
                <w:rFonts w:hint="default" w:ascii="Times New Roman" w:hAnsi="Times New Roman" w:eastAsia="宋体" w:cs="Times New Roman"/>
                <w:b w:val="0"/>
                <w:bCs w:val="0"/>
                <w:color w:val="auto"/>
                <w:sz w:val="24"/>
                <w:szCs w:val="24"/>
                <w:highlight w:val="none"/>
                <w:vertAlign w:val="baseline"/>
                <w:lang w:val="en-US" w:eastAsia="zh-CN"/>
              </w:rPr>
              <w:t>～</w:t>
            </w:r>
            <w:r>
              <w:rPr>
                <w:rFonts w:hint="default" w:ascii="Times New Roman" w:hAnsi="Times New Roman" w:eastAsia="宋体" w:cs="Times New Roman"/>
                <w:b w:val="0"/>
                <w:bCs w:val="0"/>
                <w:color w:val="auto"/>
                <w:sz w:val="24"/>
                <w:szCs w:val="24"/>
                <w:highlight w:val="none"/>
                <w:vertAlign w:val="baseline"/>
                <w:lang w:val="en-US"/>
              </w:rPr>
              <w:t>80%，类比氟化钙沉淀的pH依赖性（pH6.5~7.0时氟去除率&gt;90%）；混凝沉淀中铝盐（PAC）或铁盐（聚合硫酸铁）水解生成Al(OH)₃/Fe(OH)₃胶体，通过电荷中和与共沉淀吸附残留金属离子，提升效率10%</w:t>
            </w:r>
            <w:r>
              <w:rPr>
                <w:rFonts w:hint="default" w:ascii="Times New Roman" w:hAnsi="Times New Roman" w:eastAsia="宋体" w:cs="Times New Roman"/>
                <w:b w:val="0"/>
                <w:bCs w:val="0"/>
                <w:color w:val="auto"/>
                <w:sz w:val="24"/>
                <w:szCs w:val="24"/>
                <w:highlight w:val="none"/>
                <w:vertAlign w:val="baseline"/>
                <w:lang w:val="en-US" w:eastAsia="zh-CN"/>
              </w:rPr>
              <w:t>～</w:t>
            </w:r>
            <w:r>
              <w:rPr>
                <w:rFonts w:hint="default" w:ascii="Times New Roman" w:hAnsi="Times New Roman" w:eastAsia="宋体" w:cs="Times New Roman"/>
                <w:b w:val="0"/>
                <w:bCs w:val="0"/>
                <w:color w:val="auto"/>
                <w:sz w:val="24"/>
                <w:szCs w:val="24"/>
                <w:highlight w:val="none"/>
                <w:vertAlign w:val="baseline"/>
                <w:lang w:val="en-US"/>
              </w:rPr>
              <w:t>30%（参考铁盐对氟的去除率&gt;96%）；气浮利用微小气泡（如电凝聚产生的H₂/O₂）强化絮体分离，减少悬浮物残留（国家科技支撑项目验证其分离优化效果），提升总去除率5%</w:t>
            </w:r>
            <w:r>
              <w:rPr>
                <w:rFonts w:hint="default" w:ascii="Times New Roman" w:hAnsi="Times New Roman" w:eastAsia="宋体" w:cs="Times New Roman"/>
                <w:b w:val="0"/>
                <w:bCs w:val="0"/>
                <w:color w:val="auto"/>
                <w:sz w:val="24"/>
                <w:szCs w:val="24"/>
                <w:highlight w:val="none"/>
                <w:vertAlign w:val="baseline"/>
                <w:lang w:val="en-US" w:eastAsia="zh-CN"/>
              </w:rPr>
              <w:t>～</w:t>
            </w:r>
            <w:r>
              <w:rPr>
                <w:rFonts w:hint="default" w:ascii="Times New Roman" w:hAnsi="Times New Roman" w:eastAsia="宋体" w:cs="Times New Roman"/>
                <w:b w:val="0"/>
                <w:bCs w:val="0"/>
                <w:color w:val="auto"/>
                <w:sz w:val="24"/>
                <w:szCs w:val="24"/>
                <w:highlight w:val="none"/>
                <w:vertAlign w:val="baseline"/>
                <w:lang w:val="en-US"/>
              </w:rPr>
              <w:t>15%。</w:t>
            </w:r>
          </w:p>
          <w:p w14:paraId="3E14858C">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eastAsia" w:ascii="Times New Roman" w:hAnsi="Times New Roman" w:cs="Times New Roman"/>
                <w:b w:val="0"/>
                <w:bCs w:val="0"/>
                <w:color w:val="auto"/>
                <w:sz w:val="24"/>
                <w:szCs w:val="24"/>
                <w:highlight w:val="none"/>
                <w:vertAlign w:val="baseline"/>
                <w:lang w:val="en-US" w:eastAsia="zh-CN"/>
              </w:rPr>
              <w:t>①</w:t>
            </w:r>
            <w:r>
              <w:rPr>
                <w:rFonts w:hint="default" w:ascii="Times New Roman" w:hAnsi="Times New Roman" w:cs="Times New Roman"/>
                <w:b w:val="0"/>
                <w:bCs w:val="0"/>
                <w:color w:val="auto"/>
                <w:sz w:val="24"/>
                <w:szCs w:val="24"/>
                <w:highlight w:val="none"/>
                <w:vertAlign w:val="baseline"/>
                <w:lang w:val="en-US"/>
              </w:rPr>
              <w:t>pH控制与氢氧化物生成及溶解度特性</w:t>
            </w:r>
          </w:p>
          <w:p w14:paraId="4F2074F4">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中和调节单元通过精准控制pH（Zr控制8~10、Ti控制6~8），促使废水中Zr</w:t>
            </w:r>
            <w:r>
              <w:rPr>
                <w:rFonts w:hint="default" w:ascii="Times New Roman" w:hAnsi="Times New Roman" w:cs="Times New Roman"/>
                <w:b w:val="0"/>
                <w:bCs w:val="0"/>
                <w:color w:val="auto"/>
                <w:sz w:val="24"/>
                <w:szCs w:val="24"/>
                <w:highlight w:val="none"/>
                <w:vertAlign w:val="superscript"/>
                <w:lang w:val="en-US"/>
              </w:rPr>
              <w:t>4+</w:t>
            </w:r>
            <w:r>
              <w:rPr>
                <w:rFonts w:hint="default" w:ascii="Times New Roman" w:hAnsi="Times New Roman" w:cs="Times New Roman"/>
                <w:b w:val="0"/>
                <w:bCs w:val="0"/>
                <w:color w:val="auto"/>
                <w:sz w:val="24"/>
                <w:szCs w:val="24"/>
                <w:highlight w:val="none"/>
                <w:vertAlign w:val="baseline"/>
                <w:lang w:val="en-US"/>
              </w:rPr>
              <w:t>、Ti</w:t>
            </w:r>
            <w:r>
              <w:rPr>
                <w:rFonts w:hint="default" w:ascii="Times New Roman" w:hAnsi="Times New Roman" w:cs="Times New Roman"/>
                <w:b w:val="0"/>
                <w:bCs w:val="0"/>
                <w:color w:val="auto"/>
                <w:sz w:val="24"/>
                <w:szCs w:val="24"/>
                <w:highlight w:val="none"/>
                <w:vertAlign w:val="superscript"/>
                <w:lang w:val="en-US"/>
              </w:rPr>
              <w:t>4+</w:t>
            </w:r>
            <w:r>
              <w:rPr>
                <w:rFonts w:hint="default" w:ascii="Times New Roman" w:hAnsi="Times New Roman" w:cs="Times New Roman"/>
                <w:b w:val="0"/>
                <w:bCs w:val="0"/>
                <w:color w:val="auto"/>
                <w:sz w:val="24"/>
                <w:szCs w:val="24"/>
                <w:highlight w:val="none"/>
                <w:vertAlign w:val="baseline"/>
                <w:lang w:val="en-US"/>
              </w:rPr>
              <w:t>水解生成难溶氢氧化物Zr(OH)</w:t>
            </w:r>
            <w:r>
              <w:rPr>
                <w:rFonts w:hint="default" w:ascii="Times New Roman" w:hAnsi="Times New Roman" w:cs="Times New Roman"/>
                <w:b w:val="0"/>
                <w:bCs w:val="0"/>
                <w:color w:val="auto"/>
                <w:sz w:val="24"/>
                <w:szCs w:val="24"/>
                <w:highlight w:val="none"/>
                <w:vertAlign w:val="subscript"/>
                <w:lang w:val="en-US"/>
              </w:rPr>
              <w:t>4</w:t>
            </w:r>
            <w:r>
              <w:rPr>
                <w:rFonts w:hint="default" w:ascii="Times New Roman" w:hAnsi="Times New Roman" w:cs="Times New Roman"/>
                <w:b w:val="0"/>
                <w:bCs w:val="0"/>
                <w:color w:val="auto"/>
                <w:sz w:val="24"/>
                <w:szCs w:val="24"/>
                <w:highlight w:val="none"/>
                <w:vertAlign w:val="baseline"/>
                <w:lang w:val="en-US"/>
              </w:rPr>
              <w:t>、Ti(OH)</w:t>
            </w:r>
            <w:r>
              <w:rPr>
                <w:rFonts w:hint="default" w:ascii="Times New Roman" w:hAnsi="Times New Roman" w:cs="Times New Roman"/>
                <w:b w:val="0"/>
                <w:bCs w:val="0"/>
                <w:color w:val="auto"/>
                <w:sz w:val="24"/>
                <w:szCs w:val="24"/>
                <w:highlight w:val="none"/>
                <w:vertAlign w:val="subscript"/>
                <w:lang w:val="en-US"/>
              </w:rPr>
              <w:t>4</w:t>
            </w:r>
            <w:r>
              <w:rPr>
                <w:rFonts w:hint="default" w:ascii="Times New Roman" w:hAnsi="Times New Roman" w:cs="Times New Roman"/>
                <w:b w:val="0"/>
                <w:bCs w:val="0"/>
                <w:color w:val="auto"/>
                <w:sz w:val="24"/>
                <w:szCs w:val="24"/>
                <w:highlight w:val="none"/>
                <w:vertAlign w:val="baseline"/>
                <w:lang w:val="en-US"/>
              </w:rPr>
              <w:t>。</w:t>
            </w:r>
          </w:p>
          <w:p w14:paraId="6DC24557">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溶解度关键参数：</w:t>
            </w:r>
          </w:p>
          <w:p w14:paraId="4B5D6491">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Zr(OH)</w:t>
            </w:r>
            <w:r>
              <w:rPr>
                <w:rFonts w:hint="default" w:ascii="Times New Roman" w:hAnsi="Times New Roman" w:cs="Times New Roman"/>
                <w:b w:val="0"/>
                <w:bCs w:val="0"/>
                <w:color w:val="auto"/>
                <w:sz w:val="24"/>
                <w:szCs w:val="24"/>
                <w:highlight w:val="none"/>
                <w:vertAlign w:val="subscript"/>
                <w:lang w:val="en-US"/>
              </w:rPr>
              <w:t>4</w:t>
            </w:r>
            <w:r>
              <w:rPr>
                <w:rFonts w:hint="default" w:ascii="Times New Roman" w:hAnsi="Times New Roman" w:cs="Times New Roman"/>
                <w:b w:val="0"/>
                <w:bCs w:val="0"/>
                <w:color w:val="auto"/>
                <w:sz w:val="24"/>
                <w:szCs w:val="24"/>
                <w:highlight w:val="none"/>
                <w:vertAlign w:val="baseline"/>
                <w:lang w:val="en-US"/>
              </w:rPr>
              <w:t>溶度积K</w:t>
            </w:r>
            <w:r>
              <w:rPr>
                <w:rFonts w:hint="default" w:ascii="Times New Roman" w:hAnsi="Times New Roman" w:cs="Times New Roman"/>
                <w:b w:val="0"/>
                <w:bCs w:val="0"/>
                <w:color w:val="auto"/>
                <w:sz w:val="24"/>
                <w:szCs w:val="24"/>
                <w:highlight w:val="none"/>
                <w:vertAlign w:val="subscript"/>
                <w:lang w:val="en-US"/>
              </w:rPr>
              <w:t>sp</w:t>
            </w:r>
            <w:r>
              <w:rPr>
                <w:rFonts w:hint="eastAsia" w:ascii="Times New Roman" w:hAnsi="Times New Roman" w:cs="Times New Roman"/>
                <w:b w:val="0"/>
                <w:bCs w:val="0"/>
                <w:color w:val="auto"/>
                <w:sz w:val="24"/>
                <w:szCs w:val="24"/>
                <w:highlight w:val="none"/>
                <w:vertAlign w:val="baseline"/>
                <w:lang w:val="en-US" w:eastAsia="zh-CN"/>
              </w:rPr>
              <w:t>≈</w:t>
            </w:r>
            <w:r>
              <w:rPr>
                <w:rFonts w:hint="default" w:ascii="Times New Roman" w:hAnsi="Times New Roman" w:cs="Times New Roman"/>
                <w:b w:val="0"/>
                <w:bCs w:val="0"/>
                <w:color w:val="auto"/>
                <w:sz w:val="24"/>
                <w:szCs w:val="24"/>
                <w:highlight w:val="none"/>
                <w:vertAlign w:val="baseline"/>
                <w:lang w:val="en-US"/>
              </w:rPr>
              <w:t>10</w:t>
            </w:r>
            <w:r>
              <w:rPr>
                <w:rFonts w:hint="default" w:ascii="Times New Roman" w:hAnsi="Times New Roman" w:cs="Times New Roman"/>
                <w:b w:val="0"/>
                <w:bCs w:val="0"/>
                <w:color w:val="auto"/>
                <w:sz w:val="24"/>
                <w:szCs w:val="24"/>
                <w:highlight w:val="none"/>
                <w:vertAlign w:val="superscript"/>
                <w:lang w:val="en-US"/>
              </w:rPr>
              <w:t>-54</w:t>
            </w:r>
            <w:r>
              <w:rPr>
                <w:rFonts w:hint="eastAsia" w:ascii="Times New Roman" w:hAnsi="Times New Roman" w:cs="Times New Roman"/>
                <w:b w:val="0"/>
                <w:bCs w:val="0"/>
                <w:color w:val="auto"/>
                <w:sz w:val="24"/>
                <w:szCs w:val="24"/>
                <w:highlight w:val="none"/>
                <w:vertAlign w:val="baseline"/>
                <w:lang w:val="en-US" w:eastAsia="zh-CN"/>
              </w:rPr>
              <w:t>~</w:t>
            </w:r>
            <w:r>
              <w:rPr>
                <w:rFonts w:hint="default" w:ascii="Times New Roman" w:hAnsi="Times New Roman" w:cs="Times New Roman"/>
                <w:b w:val="0"/>
                <w:bCs w:val="0"/>
                <w:color w:val="auto"/>
                <w:sz w:val="24"/>
                <w:szCs w:val="24"/>
                <w:highlight w:val="none"/>
                <w:vertAlign w:val="baseline"/>
                <w:lang w:val="en-US"/>
              </w:rPr>
              <w:t>10</w:t>
            </w:r>
            <w:r>
              <w:rPr>
                <w:rFonts w:hint="default" w:ascii="Times New Roman" w:hAnsi="Times New Roman" w:cs="Times New Roman"/>
                <w:b w:val="0"/>
                <w:bCs w:val="0"/>
                <w:color w:val="auto"/>
                <w:sz w:val="24"/>
                <w:szCs w:val="24"/>
                <w:highlight w:val="none"/>
                <w:vertAlign w:val="superscript"/>
                <w:lang w:val="en-US"/>
              </w:rPr>
              <w:t>-56</w:t>
            </w:r>
            <w:r>
              <w:rPr>
                <w:rFonts w:hint="default" w:ascii="Times New Roman" w:hAnsi="Times New Roman" w:cs="Times New Roman"/>
                <w:b w:val="0"/>
                <w:bCs w:val="0"/>
                <w:color w:val="auto"/>
                <w:sz w:val="24"/>
                <w:szCs w:val="24"/>
                <w:highlight w:val="none"/>
                <w:vertAlign w:val="baseline"/>
                <w:lang w:val="en-US"/>
              </w:rPr>
              <w:t>，中性至弱碱性条件下溶解度极低，饱和残留浓度＜0.1 mg/L；</w:t>
            </w:r>
          </w:p>
          <w:p w14:paraId="6B9BAEE7">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Ti(OH)</w:t>
            </w:r>
            <w:r>
              <w:rPr>
                <w:rFonts w:hint="default" w:ascii="Times New Roman" w:hAnsi="Times New Roman" w:cs="Times New Roman"/>
                <w:b w:val="0"/>
                <w:bCs w:val="0"/>
                <w:color w:val="auto"/>
                <w:sz w:val="24"/>
                <w:szCs w:val="24"/>
                <w:highlight w:val="none"/>
                <w:vertAlign w:val="subscript"/>
                <w:lang w:val="en-US"/>
              </w:rPr>
              <w:t>4</w:t>
            </w:r>
            <w:r>
              <w:rPr>
                <w:rFonts w:hint="default" w:ascii="Times New Roman" w:hAnsi="Times New Roman" w:cs="Times New Roman"/>
                <w:b w:val="0"/>
                <w:bCs w:val="0"/>
                <w:color w:val="auto"/>
                <w:sz w:val="24"/>
                <w:szCs w:val="24"/>
                <w:highlight w:val="none"/>
                <w:vertAlign w:val="baseline"/>
                <w:lang w:val="en-US"/>
              </w:rPr>
              <w:t>溶度积K</w:t>
            </w:r>
            <w:r>
              <w:rPr>
                <w:rFonts w:hint="default" w:ascii="Times New Roman" w:hAnsi="Times New Roman" w:cs="Times New Roman"/>
                <w:b w:val="0"/>
                <w:bCs w:val="0"/>
                <w:color w:val="auto"/>
                <w:sz w:val="24"/>
                <w:szCs w:val="24"/>
                <w:highlight w:val="none"/>
                <w:vertAlign w:val="subscript"/>
                <w:lang w:val="en-US"/>
              </w:rPr>
              <w:t>sp</w:t>
            </w:r>
            <w:r>
              <w:rPr>
                <w:rFonts w:hint="eastAsia" w:ascii="Times New Roman" w:hAnsi="Times New Roman" w:cs="Times New Roman"/>
                <w:b w:val="0"/>
                <w:bCs w:val="0"/>
                <w:color w:val="auto"/>
                <w:sz w:val="24"/>
                <w:szCs w:val="24"/>
                <w:highlight w:val="none"/>
                <w:vertAlign w:val="baseline"/>
                <w:lang w:val="en-US" w:eastAsia="zh-CN"/>
              </w:rPr>
              <w:t>≈</w:t>
            </w:r>
            <w:r>
              <w:rPr>
                <w:rFonts w:hint="default" w:ascii="Times New Roman" w:hAnsi="Times New Roman" w:cs="Times New Roman"/>
                <w:b w:val="0"/>
                <w:bCs w:val="0"/>
                <w:color w:val="auto"/>
                <w:sz w:val="24"/>
                <w:szCs w:val="24"/>
                <w:highlight w:val="none"/>
                <w:vertAlign w:val="baseline"/>
                <w:lang w:val="en-US"/>
              </w:rPr>
              <w:t>10</w:t>
            </w:r>
            <w:r>
              <w:rPr>
                <w:rFonts w:hint="default" w:ascii="Times New Roman" w:hAnsi="Times New Roman" w:cs="Times New Roman"/>
                <w:b w:val="0"/>
                <w:bCs w:val="0"/>
                <w:color w:val="auto"/>
                <w:sz w:val="24"/>
                <w:szCs w:val="24"/>
                <w:highlight w:val="none"/>
                <w:vertAlign w:val="superscript"/>
                <w:lang w:val="en-US"/>
              </w:rPr>
              <w:t>-5</w:t>
            </w:r>
            <w:r>
              <w:rPr>
                <w:rFonts w:hint="eastAsia" w:ascii="Times New Roman" w:hAnsi="Times New Roman" w:cs="Times New Roman"/>
                <w:b w:val="0"/>
                <w:bCs w:val="0"/>
                <w:color w:val="auto"/>
                <w:sz w:val="24"/>
                <w:szCs w:val="24"/>
                <w:highlight w:val="none"/>
                <w:vertAlign w:val="superscript"/>
                <w:lang w:val="en-US" w:eastAsia="zh-CN"/>
              </w:rPr>
              <w:t>0</w:t>
            </w:r>
            <w:r>
              <w:rPr>
                <w:rFonts w:hint="eastAsia" w:ascii="Times New Roman" w:hAnsi="Times New Roman" w:cs="Times New Roman"/>
                <w:b w:val="0"/>
                <w:bCs w:val="0"/>
                <w:color w:val="auto"/>
                <w:sz w:val="24"/>
                <w:szCs w:val="24"/>
                <w:highlight w:val="none"/>
                <w:vertAlign w:val="baseline"/>
                <w:lang w:val="en-US" w:eastAsia="zh-CN"/>
              </w:rPr>
              <w:t>~</w:t>
            </w:r>
            <w:r>
              <w:rPr>
                <w:rFonts w:hint="default" w:ascii="Times New Roman" w:hAnsi="Times New Roman" w:cs="Times New Roman"/>
                <w:b w:val="0"/>
                <w:bCs w:val="0"/>
                <w:color w:val="auto"/>
                <w:sz w:val="24"/>
                <w:szCs w:val="24"/>
                <w:highlight w:val="none"/>
                <w:vertAlign w:val="baseline"/>
                <w:lang w:val="en-US"/>
              </w:rPr>
              <w:t>10</w:t>
            </w:r>
            <w:r>
              <w:rPr>
                <w:rFonts w:hint="default" w:ascii="Times New Roman" w:hAnsi="Times New Roman" w:cs="Times New Roman"/>
                <w:b w:val="0"/>
                <w:bCs w:val="0"/>
                <w:color w:val="auto"/>
                <w:sz w:val="24"/>
                <w:szCs w:val="24"/>
                <w:highlight w:val="none"/>
                <w:vertAlign w:val="superscript"/>
                <w:lang w:val="en-US"/>
              </w:rPr>
              <w:t>-5</w:t>
            </w:r>
            <w:r>
              <w:rPr>
                <w:rFonts w:hint="eastAsia" w:ascii="Times New Roman" w:hAnsi="Times New Roman" w:cs="Times New Roman"/>
                <w:b w:val="0"/>
                <w:bCs w:val="0"/>
                <w:color w:val="auto"/>
                <w:sz w:val="24"/>
                <w:szCs w:val="24"/>
                <w:highlight w:val="none"/>
                <w:vertAlign w:val="superscript"/>
                <w:lang w:val="en-US" w:eastAsia="zh-CN"/>
              </w:rPr>
              <w:t>2</w:t>
            </w:r>
            <w:r>
              <w:rPr>
                <w:rFonts w:hint="default" w:ascii="Times New Roman" w:hAnsi="Times New Roman" w:cs="Times New Roman"/>
                <w:b w:val="0"/>
                <w:bCs w:val="0"/>
                <w:color w:val="auto"/>
                <w:sz w:val="24"/>
                <w:szCs w:val="24"/>
                <w:highlight w:val="none"/>
                <w:vertAlign w:val="baseline"/>
                <w:lang w:val="en-US"/>
              </w:rPr>
              <w:t>，在pH 6~8范围内几乎完全以固相沉淀形式存在，水溶性可忽略。</w:t>
            </w:r>
          </w:p>
          <w:p w14:paraId="45F133FF">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二者均属于高难溶金属氢氧化物，pH调控达标后具备自发沉淀分离的物化基础，该单元对Zr、Ti初步去除率约50%～80%，可类比氟化钙沉淀pH依赖性（pH6.5~7.0时氟去除率＞90%）。</w:t>
            </w:r>
          </w:p>
          <w:p w14:paraId="3E39BA23">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 xml:space="preserve"> </w:t>
            </w:r>
            <w:r>
              <w:rPr>
                <w:rFonts w:hint="eastAsia" w:ascii="Times New Roman" w:hAnsi="Times New Roman" w:cs="Times New Roman"/>
                <w:b w:val="0"/>
                <w:bCs w:val="0"/>
                <w:color w:val="auto"/>
                <w:sz w:val="24"/>
                <w:szCs w:val="24"/>
                <w:highlight w:val="none"/>
                <w:vertAlign w:val="baseline"/>
                <w:lang w:val="en-US" w:eastAsia="zh-CN"/>
              </w:rPr>
              <w:t>②</w:t>
            </w:r>
            <w:r>
              <w:rPr>
                <w:rFonts w:hint="default" w:ascii="Times New Roman" w:hAnsi="Times New Roman" w:cs="Times New Roman"/>
                <w:b w:val="0"/>
                <w:bCs w:val="0"/>
                <w:color w:val="auto"/>
                <w:sz w:val="24"/>
                <w:szCs w:val="24"/>
                <w:highlight w:val="none"/>
                <w:vertAlign w:val="baseline"/>
                <w:lang w:val="en-US"/>
              </w:rPr>
              <w:t>结合水力停留时间，明确氢氧化物沉淀时长匹配性</w:t>
            </w:r>
          </w:p>
          <w:p w14:paraId="06A00564">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 xml:space="preserve"> 整套工艺各单元水力停留时间（HRT） 按沉淀分离需求优化配置，保障氢氧化物絮体充分沉降： </w:t>
            </w:r>
          </w:p>
          <w:p w14:paraId="7D84B741">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eastAsia" w:ascii="Times New Roman" w:hAnsi="Times New Roman" w:cs="Times New Roman"/>
                <w:b w:val="0"/>
                <w:bCs w:val="0"/>
                <w:color w:val="auto"/>
                <w:sz w:val="24"/>
                <w:szCs w:val="24"/>
                <w:highlight w:val="none"/>
                <w:vertAlign w:val="baseline"/>
                <w:lang w:val="en-US" w:eastAsia="zh-CN"/>
              </w:rPr>
              <w:t>a</w:t>
            </w:r>
            <w:r>
              <w:rPr>
                <w:rFonts w:hint="default" w:ascii="Times New Roman" w:hAnsi="Times New Roman" w:cs="Times New Roman"/>
                <w:b w:val="0"/>
                <w:bCs w:val="0"/>
                <w:color w:val="auto"/>
                <w:sz w:val="24"/>
                <w:szCs w:val="24"/>
                <w:highlight w:val="none"/>
                <w:vertAlign w:val="baseline"/>
                <w:lang w:val="en-US"/>
              </w:rPr>
              <w:t>.中和调节池HRT：设置30～40 min，满足Zr⁴⁺、Ti⁴⁺充分水解络合、生成微细氢氧化物晶核及初生絮体的反应时间；</w:t>
            </w:r>
          </w:p>
          <w:p w14:paraId="514590EB">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eastAsia" w:ascii="Times New Roman" w:hAnsi="Times New Roman" w:cs="Times New Roman"/>
                <w:b w:val="0"/>
                <w:bCs w:val="0"/>
                <w:color w:val="auto"/>
                <w:sz w:val="24"/>
                <w:szCs w:val="24"/>
                <w:highlight w:val="none"/>
                <w:vertAlign w:val="baseline"/>
                <w:lang w:val="en-US" w:eastAsia="zh-CN"/>
              </w:rPr>
              <w:t>b</w:t>
            </w:r>
            <w:r>
              <w:rPr>
                <w:rFonts w:hint="default" w:ascii="Times New Roman" w:hAnsi="Times New Roman" w:cs="Times New Roman"/>
                <w:b w:val="0"/>
                <w:bCs w:val="0"/>
                <w:color w:val="auto"/>
                <w:sz w:val="24"/>
                <w:szCs w:val="24"/>
                <w:highlight w:val="none"/>
                <w:vertAlign w:val="baseline"/>
                <w:lang w:val="en-US"/>
              </w:rPr>
              <w:t>.混凝沉淀池HRT：总停留时间60～90 min，其中絮凝反应段15～20 min、斜管沉淀段静置沉降45～70 min，给Zr(OH)</w:t>
            </w:r>
            <w:r>
              <w:rPr>
                <w:rFonts w:hint="default" w:ascii="Times New Roman" w:hAnsi="Times New Roman" w:cs="Times New Roman"/>
                <w:b w:val="0"/>
                <w:bCs w:val="0"/>
                <w:color w:val="auto"/>
                <w:sz w:val="24"/>
                <w:szCs w:val="24"/>
                <w:highlight w:val="none"/>
                <w:vertAlign w:val="subscript"/>
                <w:lang w:val="en-US"/>
              </w:rPr>
              <w:t>4</w:t>
            </w:r>
            <w:r>
              <w:rPr>
                <w:rFonts w:hint="default" w:ascii="Times New Roman" w:hAnsi="Times New Roman" w:cs="Times New Roman"/>
                <w:b w:val="0"/>
                <w:bCs w:val="0"/>
                <w:color w:val="auto"/>
                <w:sz w:val="24"/>
                <w:szCs w:val="24"/>
                <w:highlight w:val="none"/>
                <w:vertAlign w:val="baseline"/>
                <w:lang w:val="en-US"/>
              </w:rPr>
              <w:t>、Ti(OH)</w:t>
            </w:r>
            <w:r>
              <w:rPr>
                <w:rFonts w:hint="default" w:ascii="Times New Roman" w:hAnsi="Times New Roman" w:cs="Times New Roman"/>
                <w:b w:val="0"/>
                <w:bCs w:val="0"/>
                <w:color w:val="auto"/>
                <w:sz w:val="24"/>
                <w:szCs w:val="24"/>
                <w:highlight w:val="none"/>
                <w:vertAlign w:val="subscript"/>
                <w:lang w:val="en-US"/>
              </w:rPr>
              <w:t>4</w:t>
            </w:r>
            <w:r>
              <w:rPr>
                <w:rFonts w:hint="default" w:ascii="Times New Roman" w:hAnsi="Times New Roman" w:cs="Times New Roman"/>
                <w:b w:val="0"/>
                <w:bCs w:val="0"/>
                <w:color w:val="auto"/>
                <w:sz w:val="24"/>
                <w:szCs w:val="24"/>
                <w:highlight w:val="none"/>
                <w:vertAlign w:val="baseline"/>
                <w:lang w:val="en-US"/>
              </w:rPr>
              <w:t>微细絮体提供充足的重力沉降时长，避免因停留时间不足导致细微颗粒随出水流失；</w:t>
            </w:r>
          </w:p>
          <w:p w14:paraId="2D009844">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eastAsia" w:ascii="Times New Roman" w:hAnsi="Times New Roman" w:cs="Times New Roman"/>
                <w:b w:val="0"/>
                <w:bCs w:val="0"/>
                <w:color w:val="auto"/>
                <w:sz w:val="24"/>
                <w:szCs w:val="24"/>
                <w:highlight w:val="none"/>
                <w:vertAlign w:val="baseline"/>
                <w:lang w:val="en-US" w:eastAsia="zh-CN"/>
              </w:rPr>
              <w:t>c</w:t>
            </w:r>
            <w:r>
              <w:rPr>
                <w:rFonts w:hint="default" w:ascii="Times New Roman" w:hAnsi="Times New Roman" w:cs="Times New Roman"/>
                <w:b w:val="0"/>
                <w:bCs w:val="0"/>
                <w:color w:val="auto"/>
                <w:sz w:val="24"/>
                <w:szCs w:val="24"/>
                <w:highlight w:val="none"/>
                <w:vertAlign w:val="baseline"/>
                <w:lang w:val="en-US"/>
              </w:rPr>
              <w:t>.后续气浮单元HRT 20～30 min，针对未完全沉降的超细氢氧化物絮体进行气泡粘附上浮分离，作为沉淀工序的补充保障。</w:t>
            </w:r>
          </w:p>
          <w:p w14:paraId="64FDAAF1">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整体工艺HRT配置可完全匹配Zr(OH)₄、Ti(OH)₄的沉降动力学要求，不存在生成氢氧化物后因停留时间不足无法有效沉淀的问题。</w:t>
            </w:r>
          </w:p>
          <w:p w14:paraId="06CCD6A5">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eastAsia" w:ascii="Times New Roman" w:hAnsi="Times New Roman" w:cs="Times New Roman"/>
                <w:b w:val="0"/>
                <w:bCs w:val="0"/>
                <w:color w:val="auto"/>
                <w:sz w:val="24"/>
                <w:szCs w:val="24"/>
                <w:highlight w:val="none"/>
                <w:vertAlign w:val="baseline"/>
                <w:lang w:val="en-US" w:eastAsia="zh-CN"/>
              </w:rPr>
              <w:t>③</w:t>
            </w:r>
            <w:r>
              <w:rPr>
                <w:rFonts w:hint="default" w:ascii="Times New Roman" w:hAnsi="Times New Roman" w:cs="Times New Roman"/>
                <w:b w:val="0"/>
                <w:bCs w:val="0"/>
                <w:color w:val="auto"/>
                <w:sz w:val="24"/>
                <w:szCs w:val="24"/>
                <w:highlight w:val="none"/>
                <w:vertAlign w:val="baseline"/>
                <w:lang w:val="en-US"/>
              </w:rPr>
              <w:t>后续工段协同去除机理</w:t>
            </w:r>
          </w:p>
          <w:p w14:paraId="447ED8C9">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混凝沉淀中投加铝盐（PAC）或铁盐（聚合硫酸铁），水解生成Al(OH)</w:t>
            </w:r>
            <w:r>
              <w:rPr>
                <w:rFonts w:hint="default" w:ascii="Times New Roman" w:hAnsi="Times New Roman" w:cs="Times New Roman"/>
                <w:b w:val="0"/>
                <w:bCs w:val="0"/>
                <w:color w:val="auto"/>
                <w:sz w:val="24"/>
                <w:szCs w:val="24"/>
                <w:highlight w:val="none"/>
                <w:vertAlign w:val="subscript"/>
                <w:lang w:val="en-US"/>
              </w:rPr>
              <w:t>3</w:t>
            </w:r>
            <w:r>
              <w:rPr>
                <w:rFonts w:hint="default" w:ascii="Times New Roman" w:hAnsi="Times New Roman" w:cs="Times New Roman"/>
                <w:b w:val="0"/>
                <w:bCs w:val="0"/>
                <w:color w:val="auto"/>
                <w:sz w:val="24"/>
                <w:szCs w:val="24"/>
                <w:highlight w:val="none"/>
                <w:vertAlign w:val="baseline"/>
                <w:lang w:val="en-US"/>
              </w:rPr>
              <w:t>、Fe(OH)</w:t>
            </w:r>
            <w:r>
              <w:rPr>
                <w:rFonts w:hint="default" w:ascii="Times New Roman" w:hAnsi="Times New Roman" w:cs="Times New Roman"/>
                <w:b w:val="0"/>
                <w:bCs w:val="0"/>
                <w:color w:val="auto"/>
                <w:sz w:val="24"/>
                <w:szCs w:val="24"/>
                <w:highlight w:val="none"/>
                <w:vertAlign w:val="subscript"/>
                <w:lang w:val="en-US"/>
              </w:rPr>
              <w:t>3</w:t>
            </w:r>
            <w:r>
              <w:rPr>
                <w:rFonts w:hint="default" w:ascii="Times New Roman" w:hAnsi="Times New Roman" w:cs="Times New Roman"/>
                <w:b w:val="0"/>
                <w:bCs w:val="0"/>
                <w:color w:val="auto"/>
                <w:sz w:val="24"/>
                <w:szCs w:val="24"/>
                <w:highlight w:val="none"/>
                <w:vertAlign w:val="baseline"/>
                <w:lang w:val="en-US"/>
              </w:rPr>
              <w:t>无机高分子胶体，通过电荷中和、网捕卷扫及共沉淀作用，吸附水体中残留微量Zr、Ti离子及未沉降微细氢氧化物颗粒，进一步提升去除效率10%～30%（参考铁盐对氟的去除率＞96%）；</w:t>
            </w:r>
          </w:p>
          <w:p w14:paraId="5F18B922">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气浮单元利用电凝聚产生H</w:t>
            </w:r>
            <w:r>
              <w:rPr>
                <w:rFonts w:hint="default" w:ascii="Times New Roman" w:hAnsi="Times New Roman" w:cs="Times New Roman"/>
                <w:b w:val="0"/>
                <w:bCs w:val="0"/>
                <w:color w:val="auto"/>
                <w:sz w:val="24"/>
                <w:szCs w:val="24"/>
                <w:highlight w:val="none"/>
                <w:vertAlign w:val="subscript"/>
                <w:lang w:val="en-US"/>
              </w:rPr>
              <w:t>2</w:t>
            </w:r>
            <w:r>
              <w:rPr>
                <w:rFonts w:hint="default" w:ascii="Times New Roman" w:hAnsi="Times New Roman" w:cs="Times New Roman"/>
                <w:b w:val="0"/>
                <w:bCs w:val="0"/>
                <w:color w:val="auto"/>
                <w:sz w:val="24"/>
                <w:szCs w:val="24"/>
                <w:highlight w:val="none"/>
                <w:vertAlign w:val="baseline"/>
                <w:lang w:val="en-US"/>
              </w:rPr>
              <w:t>O</w:t>
            </w:r>
            <w:r>
              <w:rPr>
                <w:rFonts w:hint="default" w:ascii="Times New Roman" w:hAnsi="Times New Roman" w:cs="Times New Roman"/>
                <w:b w:val="0"/>
                <w:bCs w:val="0"/>
                <w:color w:val="auto"/>
                <w:sz w:val="24"/>
                <w:szCs w:val="24"/>
                <w:highlight w:val="none"/>
                <w:vertAlign w:val="subscript"/>
                <w:lang w:val="en-US"/>
              </w:rPr>
              <w:t>2</w:t>
            </w:r>
            <w:r>
              <w:rPr>
                <w:rFonts w:hint="default" w:ascii="Times New Roman" w:hAnsi="Times New Roman" w:cs="Times New Roman"/>
                <w:b w:val="0"/>
                <w:bCs w:val="0"/>
                <w:color w:val="auto"/>
                <w:sz w:val="24"/>
                <w:szCs w:val="24"/>
                <w:highlight w:val="none"/>
                <w:vertAlign w:val="baseline"/>
                <w:lang w:val="en-US"/>
              </w:rPr>
              <w:t>微小气泡，粘附轻质超细金属氢氧化物絮体强化固液分离，大幅减少出水悬浮物与残留金属含量（国家科技支撑项目已验证其对微细絮体的分离优化效果），提升总去除率5%～15%；</w:t>
            </w:r>
          </w:p>
          <w:p w14:paraId="386CDC3B">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b w:val="0"/>
                <w:bCs w:val="0"/>
                <w:color w:val="auto"/>
                <w:sz w:val="24"/>
                <w:szCs w:val="24"/>
                <w:highlight w:val="none"/>
                <w:vertAlign w:val="baseline"/>
                <w:lang w:val="en-US"/>
              </w:rPr>
            </w:pPr>
            <w:r>
              <w:rPr>
                <w:rFonts w:hint="default" w:ascii="Times New Roman" w:hAnsi="Times New Roman" w:cs="Times New Roman"/>
                <w:b w:val="0"/>
                <w:bCs w:val="0"/>
                <w:color w:val="auto"/>
                <w:sz w:val="24"/>
                <w:szCs w:val="24"/>
                <w:highlight w:val="none"/>
                <w:vertAlign w:val="baseline"/>
                <w:lang w:val="en-US"/>
              </w:rPr>
              <w:t>化学除氟单元投加钙盐（CaCl₂），解离释放Ca</w:t>
            </w:r>
            <w:r>
              <w:rPr>
                <w:rFonts w:hint="default" w:ascii="Times New Roman" w:hAnsi="Times New Roman" w:cs="Times New Roman"/>
                <w:b w:val="0"/>
                <w:bCs w:val="0"/>
                <w:color w:val="auto"/>
                <w:sz w:val="24"/>
                <w:szCs w:val="24"/>
                <w:highlight w:val="none"/>
                <w:vertAlign w:val="superscript"/>
                <w:lang w:val="en-US"/>
              </w:rPr>
              <w:t>2+</w:t>
            </w:r>
            <w:r>
              <w:rPr>
                <w:rFonts w:hint="default" w:ascii="Times New Roman" w:hAnsi="Times New Roman" w:cs="Times New Roman"/>
                <w:b w:val="0"/>
                <w:bCs w:val="0"/>
                <w:color w:val="auto"/>
                <w:sz w:val="24"/>
                <w:szCs w:val="24"/>
                <w:highlight w:val="none"/>
                <w:vertAlign w:val="baseline"/>
                <w:lang w:val="en-US"/>
              </w:rPr>
              <w:t>与F</w:t>
            </w:r>
            <w:r>
              <w:rPr>
                <w:rFonts w:hint="default" w:ascii="Times New Roman" w:hAnsi="Times New Roman" w:cs="Times New Roman"/>
                <w:b w:val="0"/>
                <w:bCs w:val="0"/>
                <w:color w:val="auto"/>
                <w:sz w:val="24"/>
                <w:szCs w:val="24"/>
                <w:highlight w:val="none"/>
                <w:vertAlign w:val="superscript"/>
                <w:lang w:val="en-US"/>
              </w:rPr>
              <w:t>-</w:t>
            </w:r>
            <w:r>
              <w:rPr>
                <w:rFonts w:hint="default" w:ascii="Times New Roman" w:hAnsi="Times New Roman" w:cs="Times New Roman"/>
                <w:b w:val="0"/>
                <w:bCs w:val="0"/>
                <w:color w:val="auto"/>
                <w:sz w:val="24"/>
                <w:szCs w:val="24"/>
                <w:highlight w:val="none"/>
                <w:vertAlign w:val="baseline"/>
                <w:lang w:val="en-US"/>
              </w:rPr>
              <w:t>生成CaF</w:t>
            </w:r>
            <w:r>
              <w:rPr>
                <w:rFonts w:hint="default" w:ascii="Times New Roman" w:hAnsi="Times New Roman" w:cs="Times New Roman"/>
                <w:b w:val="0"/>
                <w:bCs w:val="0"/>
                <w:color w:val="auto"/>
                <w:sz w:val="24"/>
                <w:szCs w:val="24"/>
                <w:highlight w:val="none"/>
                <w:vertAlign w:val="subscript"/>
                <w:lang w:val="en-US"/>
              </w:rPr>
              <w:t>2</w:t>
            </w:r>
            <w:r>
              <w:rPr>
                <w:rFonts w:hint="default" w:ascii="Times New Roman" w:hAnsi="Times New Roman" w:cs="Times New Roman"/>
                <w:b w:val="0"/>
                <w:bCs w:val="0"/>
                <w:color w:val="auto"/>
                <w:sz w:val="24"/>
                <w:szCs w:val="24"/>
                <w:highlight w:val="none"/>
                <w:vertAlign w:val="baseline"/>
                <w:lang w:val="en-US"/>
              </w:rPr>
              <w:t>沉淀，同时体系维持弱碱性环境，进一步稳定剩余微量Zr、Ti氢氧化物沉淀形态，深度削减污染物浓度5%～10%，依托钙盐体系对氟及重金属氢氧化物的同步稳定去除能力，保障整体出水稳定达标。</w:t>
            </w:r>
          </w:p>
          <w:p w14:paraId="016B3A7E">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eastAsia="宋体" w:cs="Times New Roman"/>
                <w:b w:val="0"/>
                <w:bCs w:val="0"/>
                <w:color w:val="auto"/>
                <w:sz w:val="24"/>
                <w:szCs w:val="24"/>
                <w:highlight w:val="none"/>
                <w:vertAlign w:val="baseline"/>
                <w:lang w:val="en-US" w:eastAsia="zh-CN"/>
              </w:rPr>
            </w:pPr>
            <w:r>
              <w:rPr>
                <w:rFonts w:hint="default" w:ascii="Times New Roman" w:hAnsi="Times New Roman" w:eastAsia="宋体" w:cs="Times New Roman"/>
                <w:b w:val="0"/>
                <w:bCs w:val="0"/>
                <w:color w:val="auto"/>
                <w:sz w:val="24"/>
                <w:szCs w:val="24"/>
                <w:highlight w:val="none"/>
                <w:vertAlign w:val="baseline"/>
                <w:lang w:val="en-US" w:eastAsia="zh-CN"/>
              </w:rPr>
              <w:t>本项目</w:t>
            </w:r>
            <w:r>
              <w:rPr>
                <w:rFonts w:hint="default" w:ascii="Times New Roman" w:hAnsi="Times New Roman" w:eastAsia="宋体" w:cs="Times New Roman"/>
                <w:b w:val="0"/>
                <w:bCs w:val="0"/>
                <w:color w:val="auto"/>
                <w:sz w:val="24"/>
                <w:szCs w:val="24"/>
                <w:highlight w:val="none"/>
                <w:vertAlign w:val="baseline"/>
                <w:lang w:val="en-US"/>
              </w:rPr>
              <w:t>“</w:t>
            </w:r>
            <w:r>
              <w:rPr>
                <w:rFonts w:hint="eastAsia" w:cs="Times New Roman"/>
                <w:b w:val="0"/>
                <w:bCs w:val="0"/>
                <w:color w:val="auto"/>
                <w:sz w:val="24"/>
                <w:szCs w:val="24"/>
                <w:highlight w:val="none"/>
                <w:vertAlign w:val="baseline"/>
                <w:lang w:val="en-US" w:eastAsia="zh-CN"/>
              </w:rPr>
              <w:t>中和调节+混凝沉淀+气浮+化学除氟</w:t>
            </w:r>
            <w:r>
              <w:rPr>
                <w:rFonts w:hint="default" w:ascii="Times New Roman" w:hAnsi="Times New Roman" w:eastAsia="宋体" w:cs="Times New Roman"/>
                <w:b w:val="0"/>
                <w:bCs w:val="0"/>
                <w:color w:val="auto"/>
                <w:sz w:val="24"/>
                <w:szCs w:val="24"/>
                <w:highlight w:val="none"/>
                <w:vertAlign w:val="baseline"/>
                <w:lang w:val="en-US"/>
              </w:rPr>
              <w:t>”</w:t>
            </w:r>
            <w:r>
              <w:rPr>
                <w:rFonts w:hint="default" w:ascii="Times New Roman" w:hAnsi="Times New Roman" w:eastAsia="宋体" w:cs="Times New Roman"/>
                <w:b w:val="0"/>
                <w:bCs w:val="0"/>
                <w:color w:val="auto"/>
                <w:sz w:val="24"/>
                <w:szCs w:val="24"/>
                <w:highlight w:val="none"/>
                <w:vertAlign w:val="baseline"/>
                <w:lang w:val="en-US" w:eastAsia="zh-CN"/>
              </w:rPr>
              <w:t>对Zr和Ti保守按80%处理效率计算。计算得出Zr和Ti排放浓度分别为</w:t>
            </w:r>
            <w:r>
              <w:rPr>
                <w:rFonts w:hint="eastAsia" w:cs="Times New Roman"/>
                <w:b w:val="0"/>
                <w:bCs w:val="0"/>
                <w:color w:val="auto"/>
                <w:sz w:val="24"/>
                <w:szCs w:val="24"/>
                <w:highlight w:val="none"/>
                <w:vertAlign w:val="baseline"/>
                <w:lang w:val="en-US" w:eastAsia="zh-CN"/>
              </w:rPr>
              <w:t>0.97</w:t>
            </w:r>
            <w:r>
              <w:rPr>
                <w:rFonts w:hint="default" w:ascii="Times New Roman" w:hAnsi="Times New Roman" w:eastAsia="宋体" w:cs="Times New Roman"/>
                <w:b w:val="0"/>
                <w:bCs w:val="0"/>
                <w:color w:val="auto"/>
                <w:sz w:val="24"/>
                <w:szCs w:val="24"/>
                <w:highlight w:val="none"/>
                <w:vertAlign w:val="baseline"/>
                <w:lang w:val="en-US" w:eastAsia="zh-CN"/>
              </w:rPr>
              <w:t>mg/L和</w:t>
            </w:r>
            <w:r>
              <w:rPr>
                <w:rFonts w:hint="eastAsia" w:cs="Times New Roman"/>
                <w:b w:val="0"/>
                <w:bCs w:val="0"/>
                <w:color w:val="auto"/>
                <w:sz w:val="24"/>
                <w:szCs w:val="24"/>
                <w:highlight w:val="none"/>
                <w:vertAlign w:val="baseline"/>
                <w:lang w:val="en-US" w:eastAsia="zh-CN"/>
              </w:rPr>
              <w:t>0.64</w:t>
            </w:r>
            <w:r>
              <w:rPr>
                <w:rFonts w:hint="default" w:ascii="Times New Roman" w:hAnsi="Times New Roman" w:eastAsia="宋体" w:cs="Times New Roman"/>
                <w:b w:val="0"/>
                <w:bCs w:val="0"/>
                <w:color w:val="auto"/>
                <w:sz w:val="24"/>
                <w:szCs w:val="24"/>
                <w:highlight w:val="none"/>
                <w:vertAlign w:val="baseline"/>
                <w:lang w:val="en-US" w:eastAsia="zh-CN"/>
              </w:rPr>
              <w:t>mg/L，此排放浓度较低，经过与其他废水混合稀释后排入园区污水处理厂再进一步处理，对外环境影响很小。</w:t>
            </w:r>
          </w:p>
          <w:p w14:paraId="2CCFAE1F">
            <w:pPr>
              <w:keepNext/>
              <w:keepLines/>
              <w:suppressLineNumbers w:val="0"/>
              <w:tabs>
                <w:tab w:val="left" w:pos="0"/>
              </w:tabs>
              <w:spacing w:before="0" w:beforeAutospacing="0" w:after="0" w:afterAutospacing="0" w:line="360" w:lineRule="auto"/>
              <w:ind w:left="0" w:right="0" w:firstLine="480" w:firstLineChars="200"/>
              <w:outlineLvl w:val="3"/>
              <w:rPr>
                <w:rFonts w:hint="default"/>
                <w:color w:val="auto"/>
                <w:sz w:val="24"/>
                <w:szCs w:val="32"/>
                <w:lang w:val="en-US" w:eastAsia="zh-CN"/>
              </w:rPr>
            </w:pPr>
            <w:r>
              <w:rPr>
                <w:rFonts w:hint="default"/>
                <w:color w:val="auto"/>
                <w:sz w:val="24"/>
                <w:szCs w:val="32"/>
                <w:lang w:val="en-US" w:eastAsia="zh-CN"/>
              </w:rPr>
              <w:t>为确保环境安全，并满足园区环保管理要求，建设单位应：</w:t>
            </w:r>
          </w:p>
          <w:p w14:paraId="54B1B76D">
            <w:pPr>
              <w:keepNext/>
              <w:keepLines/>
              <w:suppressLineNumbers w:val="0"/>
              <w:tabs>
                <w:tab w:val="left" w:pos="0"/>
              </w:tabs>
              <w:spacing w:before="0" w:beforeAutospacing="0" w:after="0" w:afterAutospacing="0" w:line="360" w:lineRule="auto"/>
              <w:ind w:left="0" w:right="0" w:firstLine="480" w:firstLineChars="200"/>
              <w:outlineLvl w:val="3"/>
              <w:rPr>
                <w:rFonts w:hint="default"/>
                <w:color w:val="auto"/>
                <w:sz w:val="24"/>
                <w:szCs w:val="32"/>
                <w:lang w:val="en-US" w:eastAsia="zh-CN"/>
              </w:rPr>
            </w:pPr>
            <w:r>
              <w:rPr>
                <w:rFonts w:hint="default"/>
                <w:color w:val="auto"/>
                <w:sz w:val="24"/>
                <w:szCs w:val="32"/>
                <w:lang w:val="en-US" w:eastAsia="zh-CN"/>
              </w:rPr>
              <w:t xml:space="preserve"> 1.  加强自建污水处理站运行管理，确保“</w:t>
            </w:r>
            <w:r>
              <w:rPr>
                <w:rFonts w:hint="eastAsia"/>
                <w:color w:val="auto"/>
                <w:sz w:val="24"/>
                <w:szCs w:val="32"/>
                <w:lang w:val="en-US" w:eastAsia="zh-CN"/>
              </w:rPr>
              <w:t>中和调节+混凝沉淀+气浮+化学除氟</w:t>
            </w:r>
            <w:r>
              <w:rPr>
                <w:rFonts w:hint="default"/>
                <w:color w:val="auto"/>
                <w:sz w:val="24"/>
                <w:szCs w:val="32"/>
                <w:lang w:val="en-US" w:eastAsia="zh-CN"/>
              </w:rPr>
              <w:t>”工艺对重金属的去除效率稳定在80%以上。</w:t>
            </w:r>
          </w:p>
          <w:p w14:paraId="724C0736">
            <w:pPr>
              <w:keepNext/>
              <w:keepLines/>
              <w:suppressLineNumbers w:val="0"/>
              <w:tabs>
                <w:tab w:val="left" w:pos="0"/>
              </w:tabs>
              <w:spacing w:before="0" w:beforeAutospacing="0" w:after="0" w:afterAutospacing="0" w:line="360" w:lineRule="auto"/>
              <w:ind w:left="0" w:right="0" w:firstLine="480" w:firstLineChars="200"/>
              <w:outlineLvl w:val="3"/>
              <w:rPr>
                <w:rFonts w:hint="default"/>
                <w:color w:val="auto"/>
                <w:sz w:val="24"/>
                <w:szCs w:val="32"/>
                <w:lang w:val="en-US" w:eastAsia="zh-CN"/>
              </w:rPr>
            </w:pPr>
            <w:r>
              <w:rPr>
                <w:rFonts w:hint="default"/>
                <w:color w:val="auto"/>
                <w:sz w:val="24"/>
                <w:szCs w:val="32"/>
                <w:lang w:val="en-US" w:eastAsia="zh-CN"/>
              </w:rPr>
              <w:t xml:space="preserve"> 2.  定期委托有资质的单位对废水排放口进行Zr、Ti的检测，并建立相关数据台账，以备日后环保检查或标准更新时追溯。</w:t>
            </w:r>
          </w:p>
          <w:p w14:paraId="3CC9E411">
            <w:pPr>
              <w:keepNext/>
              <w:keepLines/>
              <w:suppressLineNumbers w:val="0"/>
              <w:tabs>
                <w:tab w:val="left" w:pos="0"/>
              </w:tabs>
              <w:spacing w:before="0" w:beforeAutospacing="0" w:after="0" w:afterAutospacing="0" w:line="360" w:lineRule="auto"/>
              <w:ind w:left="0" w:right="0" w:firstLine="480" w:firstLineChars="200"/>
              <w:outlineLvl w:val="3"/>
              <w:rPr>
                <w:rFonts w:hint="default"/>
                <w:color w:val="auto"/>
                <w:lang w:val="en-US" w:eastAsia="zh-CN"/>
              </w:rPr>
            </w:pPr>
            <w:r>
              <w:rPr>
                <w:rFonts w:hint="default"/>
                <w:color w:val="auto"/>
                <w:sz w:val="24"/>
                <w:szCs w:val="32"/>
                <w:lang w:val="en-US" w:eastAsia="zh-CN"/>
              </w:rPr>
              <w:t xml:space="preserve"> 3.  将Zr、Ti纳入企业应急预案和日常环境风险管理范畴，关注其在土壤和地下水中的潜在累积风险</w:t>
            </w:r>
            <w:r>
              <w:rPr>
                <w:rFonts w:hint="default"/>
                <w:color w:val="auto"/>
                <w:lang w:val="en-US" w:eastAsia="zh-CN"/>
              </w:rPr>
              <w:t>。</w:t>
            </w:r>
          </w:p>
          <w:p w14:paraId="46C98467">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2.2</w:t>
            </w:r>
            <w:r>
              <w:rPr>
                <w:rFonts w:hint="default" w:ascii="Times New Roman" w:hAnsi="Times New Roman" w:cs="Times New Roman"/>
                <w:b/>
                <w:bCs/>
                <w:color w:val="auto"/>
                <w:sz w:val="24"/>
                <w:szCs w:val="24"/>
                <w:highlight w:val="none"/>
              </w:rPr>
              <w:t>废水收集处理情况</w:t>
            </w:r>
          </w:p>
          <w:p w14:paraId="58261276">
            <w:pPr>
              <w:pStyle w:val="2"/>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项目</w:t>
            </w:r>
            <w:r>
              <w:rPr>
                <w:rFonts w:hint="default" w:ascii="Times New Roman" w:hAnsi="Times New Roman" w:cs="Times New Roman"/>
                <w:color w:val="auto"/>
                <w:highlight w:val="none"/>
                <w:lang w:val="en-US" w:eastAsia="zh-CN"/>
              </w:rPr>
              <w:t>生活污水经“三级化粪池、隔油隔渣池”处理</w:t>
            </w:r>
            <w:r>
              <w:rPr>
                <w:rFonts w:hint="default" w:ascii="Times New Roman" w:hAnsi="Times New Roman" w:cs="Times New Roman"/>
                <w:color w:val="auto"/>
                <w:sz w:val="24"/>
                <w:szCs w:val="24"/>
                <w:highlight w:val="none"/>
                <w:lang w:val="en-US" w:eastAsia="zh-CN"/>
              </w:rPr>
              <w:t>达到广东省地方标准《水污染物排放限值》（DB44/26-2001）第二时段三级标准以及园区污水处理厂接管水质要求两者较严值后，</w:t>
            </w:r>
            <w:r>
              <w:rPr>
                <w:rFonts w:hint="default" w:ascii="Times New Roman" w:hAnsi="Times New Roman" w:cs="Times New Roman"/>
                <w:color w:val="auto"/>
                <w:sz w:val="24"/>
                <w:szCs w:val="24"/>
                <w:highlight w:val="none"/>
              </w:rPr>
              <w:t>排入园区污水处理厂处理</w:t>
            </w:r>
            <w:r>
              <w:rPr>
                <w:rFonts w:hint="default" w:ascii="Times New Roman" w:hAnsi="Times New Roman" w:eastAsia="宋体" w:cs="Times New Roman"/>
                <w:snapToGrid w:val="0"/>
                <w:color w:val="auto"/>
                <w:kern w:val="0"/>
                <w:sz w:val="24"/>
                <w:szCs w:val="21"/>
                <w:highlight w:val="none"/>
                <w:lang w:val="en-US" w:eastAsia="zh-CN" w:bidi="ar-SA"/>
              </w:rPr>
              <w:t>；</w:t>
            </w:r>
            <w:r>
              <w:rPr>
                <w:rFonts w:hint="eastAsia" w:ascii="Times New Roman" w:eastAsia="宋体" w:cs="Times New Roman"/>
                <w:snapToGrid w:val="0"/>
                <w:color w:val="auto"/>
                <w:kern w:val="0"/>
                <w:sz w:val="24"/>
                <w:szCs w:val="21"/>
                <w:highlight w:val="none"/>
                <w:lang w:val="en-US" w:eastAsia="zh-CN" w:bidi="ar-SA"/>
              </w:rPr>
              <w:t>外排</w:t>
            </w:r>
            <w:r>
              <w:rPr>
                <w:rFonts w:hint="default" w:ascii="Times New Roman" w:hAnsi="Times New Roman" w:cs="Times New Roman"/>
                <w:color w:val="auto"/>
                <w:highlight w:val="none"/>
              </w:rPr>
              <w:t>生产废水经“</w:t>
            </w:r>
            <w:r>
              <w:rPr>
                <w:rFonts w:hint="eastAsia" w:ascii="Times New Roman" w:cs="Times New Roman"/>
                <w:color w:val="auto"/>
                <w:highlight w:val="none"/>
                <w:lang w:eastAsia="zh-CN"/>
              </w:rPr>
              <w:t>中和调节+混凝沉淀+气浮+化学除氟</w:t>
            </w:r>
            <w:r>
              <w:rPr>
                <w:rFonts w:hint="default" w:ascii="Times New Roman" w:hAnsi="Times New Roman" w:cs="Times New Roman"/>
                <w:color w:val="auto"/>
                <w:highlight w:val="none"/>
              </w:rPr>
              <w:t>”处理</w:t>
            </w:r>
            <w:r>
              <w:rPr>
                <w:rFonts w:hint="default" w:ascii="Times New Roman" w:hAnsi="Times New Roman" w:cs="Times New Roman"/>
                <w:color w:val="auto"/>
                <w:highlight w:val="none"/>
                <w:lang w:val="en-US" w:eastAsia="zh-CN"/>
              </w:rPr>
              <w:t>达到园区污水处理厂接管水质要求、广东省《水污染物排放限值》（DB44/26-2001）第二时段三级标准以及《电镀水污染物排放标准》（DB44/1597-2015）</w:t>
            </w:r>
            <w:r>
              <w:rPr>
                <w:rFonts w:hint="eastAsia" w:ascii="Times New Roman" w:cs="Times New Roman"/>
                <w:color w:val="auto"/>
                <w:highlight w:val="none"/>
                <w:lang w:val="en-US" w:eastAsia="zh-CN"/>
              </w:rPr>
              <w:t>表1现有项目水污染物非珠三角排放限值200%</w:t>
            </w:r>
            <w:r>
              <w:rPr>
                <w:rFonts w:hint="default" w:ascii="Times New Roman" w:hAnsi="Times New Roman" w:cs="Times New Roman"/>
                <w:color w:val="auto"/>
                <w:highlight w:val="none"/>
                <w:lang w:val="en-US" w:eastAsia="zh-CN"/>
              </w:rPr>
              <w:t>三者（其中总铝按表2新建项目水污染物排放限值-非珠三角地区执行）较严值要求，</w:t>
            </w:r>
            <w:r>
              <w:rPr>
                <w:rFonts w:hint="default" w:ascii="Times New Roman" w:hAnsi="Times New Roman" w:cs="Times New Roman"/>
                <w:color w:val="auto"/>
                <w:highlight w:val="none"/>
              </w:rPr>
              <w:t>排入园区污水处理厂处理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废水经</w:t>
            </w:r>
            <w:r>
              <w:rPr>
                <w:rFonts w:hint="default" w:ascii="Times New Roman" w:hAnsi="Times New Roman" w:cs="Times New Roman"/>
                <w:color w:val="auto"/>
                <w:highlight w:val="none"/>
              </w:rPr>
              <w:t>园区污水处理厂处理后达到广东省《</w:t>
            </w:r>
            <w:r>
              <w:rPr>
                <w:rFonts w:hint="default" w:ascii="Times New Roman" w:hAnsi="Times New Roman" w:cs="Times New Roman"/>
                <w:color w:val="auto"/>
                <w:highlight w:val="none"/>
                <w:lang w:eastAsia="zh-CN"/>
              </w:rPr>
              <w:t>水污染物排放限值</w:t>
            </w:r>
            <w:r>
              <w:rPr>
                <w:rFonts w:hint="default" w:ascii="Times New Roman" w:hAnsi="Times New Roman" w:cs="Times New Roman"/>
                <w:color w:val="auto"/>
                <w:highlight w:val="none"/>
              </w:rPr>
              <w:t>》（DB44/26-2001）第二时段一级标准和《城镇污水处理厂污染物排放标准》（</w:t>
            </w:r>
            <w:r>
              <w:rPr>
                <w:rFonts w:hint="eastAsia" w:ascii="Times New Roman" w:cs="Times New Roman"/>
                <w:color w:val="auto"/>
                <w:highlight w:val="none"/>
                <w:lang w:eastAsia="zh-CN"/>
              </w:rPr>
              <w:t>GB18918-2002</w:t>
            </w:r>
            <w:r>
              <w:rPr>
                <w:rFonts w:hint="default" w:ascii="Times New Roman" w:hAnsi="Times New Roman" w:cs="Times New Roman"/>
                <w:color w:val="auto"/>
                <w:highlight w:val="none"/>
              </w:rPr>
              <w:t>）</w:t>
            </w:r>
            <w:r>
              <w:rPr>
                <w:rFonts w:hint="eastAsia" w:ascii="Times New Roman" w:cs="Times New Roman"/>
                <w:color w:val="auto"/>
                <w:highlight w:val="none"/>
                <w:lang w:eastAsia="zh-CN"/>
              </w:rPr>
              <w:t>及其修改单一级 A 标准</w:t>
            </w:r>
            <w:r>
              <w:rPr>
                <w:rFonts w:hint="default" w:ascii="Times New Roman" w:hAnsi="Times New Roman" w:cs="Times New Roman"/>
                <w:color w:val="auto"/>
                <w:highlight w:val="none"/>
              </w:rPr>
              <w:t>中严者后</w:t>
            </w:r>
            <w:r>
              <w:rPr>
                <w:rFonts w:hint="default" w:ascii="Times New Roman" w:hAnsi="Times New Roman" w:cs="Times New Roman"/>
                <w:color w:val="auto"/>
                <w:highlight w:val="none"/>
                <w:lang w:eastAsia="zh-CN"/>
              </w:rPr>
              <w:t>排</w:t>
            </w:r>
            <w:r>
              <w:rPr>
                <w:rFonts w:hint="default" w:ascii="Times New Roman" w:hAnsi="Times New Roman" w:cs="Times New Roman"/>
                <w:color w:val="auto"/>
                <w:highlight w:val="none"/>
              </w:rPr>
              <w:t>入武江。</w:t>
            </w:r>
          </w:p>
          <w:p w14:paraId="4D3D8F43">
            <w:pPr>
              <w:pStyle w:val="2"/>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eastAsia" w:ascii="Times New Roman" w:cs="Times New Roman"/>
                <w:color w:val="auto"/>
                <w:highlight w:val="none"/>
                <w:lang w:val="en-US" w:eastAsia="zh-CN"/>
              </w:rPr>
              <w:t>外排</w:t>
            </w:r>
            <w:r>
              <w:rPr>
                <w:rFonts w:hint="default" w:ascii="Times New Roman" w:hAnsi="Times New Roman" w:cs="Times New Roman"/>
                <w:color w:val="auto"/>
                <w:highlight w:val="none"/>
                <w:lang w:val="en-US" w:eastAsia="zh-CN"/>
              </w:rPr>
              <w:t>生产废水处理工艺流程如下图所示：</w:t>
            </w:r>
          </w:p>
          <w:p w14:paraId="7E841026">
            <w:pPr>
              <w:pStyle w:val="2"/>
              <w:keepNext w:val="0"/>
              <w:keepLines w:val="0"/>
              <w:pageBreakBefore w:val="0"/>
              <w:widowControl w:val="0"/>
              <w:suppressLineNumbers w:val="0"/>
              <w:kinsoku/>
              <w:wordWrap/>
              <w:overflowPunct/>
              <w:topLinePunct w:val="0"/>
              <w:bidi w:val="0"/>
              <w:snapToGrid w:val="0"/>
              <w:spacing w:before="0" w:beforeAutospacing="0" w:after="0" w:afterAutospacing="0"/>
              <w:ind w:left="0" w:right="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object>
                <v:shape id="_x0000_i1029" o:spt="75" type="#_x0000_t75" style="height:77.05pt;width:420.1pt;" o:ole="t" filled="f" o:preferrelative="t" stroked="f" coordsize="21600,21600">
                  <v:path/>
                  <v:fill on="f" focussize="0,0"/>
                  <v:stroke on="f"/>
                  <v:imagedata r:id="rId30" o:title=""/>
                  <o:lock v:ext="edit" aspectratio="f"/>
                  <w10:wrap type="none"/>
                  <w10:anchorlock/>
                </v:shape>
                <o:OLEObject Type="Embed" ProgID="Visio.Drawing.15" ShapeID="_x0000_i1029" DrawAspect="Content" ObjectID="_1468075729" r:id="rId29">
                  <o:LockedField>false</o:LockedField>
                </o:OLEObject>
              </w:object>
            </w:r>
          </w:p>
          <w:p w14:paraId="0287B256">
            <w:pPr>
              <w:keepNext/>
              <w:keepLines/>
              <w:pageBreakBefore w:val="0"/>
              <w:widowControl w:val="0"/>
              <w:numPr>
                <w:ilvl w:val="0"/>
                <w:numId w:val="0"/>
              </w:numPr>
              <w:suppressLineNumbers w:val="0"/>
              <w:tabs>
                <w:tab w:val="left" w:pos="0"/>
              </w:tabs>
              <w:kinsoku/>
              <w:wordWrap/>
              <w:overflowPunct/>
              <w:topLinePunct w:val="0"/>
              <w:bidi w:val="0"/>
              <w:snapToGrid w:val="0"/>
              <w:spacing w:before="0" w:beforeAutospacing="0" w:after="0" w:afterAutospacing="0"/>
              <w:ind w:left="0" w:leftChars="0" w:right="0" w:rightChars="0" w:firstLine="0" w:firstLineChars="0"/>
              <w:jc w:val="center"/>
              <w:textAlignment w:val="auto"/>
              <w:outlineLvl w:val="3"/>
              <w:rPr>
                <w:rFonts w:hint="default" w:ascii="Times New Roman" w:hAnsi="Times New Roman"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图4-</w:t>
            </w:r>
            <w:r>
              <w:rPr>
                <w:rFonts w:hint="eastAsia" w:cs="Times New Roman"/>
                <w:b/>
                <w:bCs/>
                <w:color w:val="auto"/>
                <w:kern w:val="2"/>
                <w:sz w:val="21"/>
                <w:szCs w:val="21"/>
                <w:lang w:val="en-US" w:eastAsia="zh-CN" w:bidi="ar-SA"/>
              </w:rPr>
              <w:t xml:space="preserve">3 </w:t>
            </w:r>
            <w:r>
              <w:rPr>
                <w:rFonts w:hint="default" w:ascii="Times New Roman" w:hAnsi="Times New Roman" w:cs="Times New Roman"/>
                <w:b/>
                <w:bCs/>
                <w:color w:val="auto"/>
                <w:sz w:val="21"/>
                <w:szCs w:val="21"/>
                <w:highlight w:val="none"/>
              </w:rPr>
              <w:t>项目</w:t>
            </w:r>
            <w:r>
              <w:rPr>
                <w:rFonts w:hint="eastAsia" w:cs="Times New Roman"/>
                <w:b/>
                <w:bCs/>
                <w:color w:val="auto"/>
                <w:sz w:val="21"/>
                <w:szCs w:val="21"/>
                <w:highlight w:val="none"/>
                <w:lang w:val="en-US" w:eastAsia="zh-CN"/>
              </w:rPr>
              <w:t>外排</w:t>
            </w:r>
            <w:r>
              <w:rPr>
                <w:rFonts w:hint="default" w:ascii="Times New Roman" w:hAnsi="Times New Roman" w:cs="Times New Roman"/>
                <w:b/>
                <w:bCs/>
                <w:color w:val="auto"/>
                <w:sz w:val="21"/>
                <w:szCs w:val="21"/>
                <w:highlight w:val="none"/>
              </w:rPr>
              <w:t>生产废水处理</w:t>
            </w:r>
            <w:r>
              <w:rPr>
                <w:rFonts w:hint="default" w:ascii="Times New Roman" w:hAnsi="Times New Roman" w:cs="Times New Roman"/>
                <w:b/>
                <w:bCs/>
                <w:color w:val="auto"/>
                <w:sz w:val="21"/>
                <w:szCs w:val="21"/>
                <w:highlight w:val="none"/>
                <w:lang w:val="en-US" w:eastAsia="zh-CN"/>
              </w:rPr>
              <w:t>工艺</w:t>
            </w:r>
            <w:r>
              <w:rPr>
                <w:rFonts w:hint="default" w:ascii="Times New Roman" w:hAnsi="Times New Roman" w:cs="Times New Roman"/>
                <w:b/>
                <w:bCs/>
                <w:color w:val="auto"/>
                <w:sz w:val="21"/>
                <w:szCs w:val="21"/>
                <w:highlight w:val="none"/>
              </w:rPr>
              <w:t>流程图</w:t>
            </w:r>
          </w:p>
          <w:p w14:paraId="140D5326">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工艺说明：</w:t>
            </w:r>
          </w:p>
          <w:p w14:paraId="38294239">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①中和调节池</w:t>
            </w:r>
          </w:p>
          <w:p w14:paraId="442AF820">
            <w:pPr>
              <w:keepNext/>
              <w:keepLines/>
              <w:pageBreakBefore w:val="0"/>
              <w:widowControl w:val="0"/>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3"/>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pPr>
            <w:r>
              <w:rPr>
                <w:rFonts w:hint="default" w:ascii="Times New Roman" w:hAnsi="Times New Roman" w:eastAsia="Segoe UI" w:cs="Times New Roman"/>
                <w:i w:val="0"/>
                <w:iCs w:val="0"/>
                <w:caps w:val="0"/>
                <w:color w:val="auto"/>
                <w:spacing w:val="0"/>
                <w:sz w:val="24"/>
                <w:szCs w:val="24"/>
                <w:highlight w:val="none"/>
                <w:shd w:val="clear" w:color="auto" w:fill="FFFFFF"/>
              </w:rPr>
              <w:t>生产废水进入中和调节池，通过8-12小时水力停留实现水质水量均衡。池内配备机械搅拌装置和pH在线监测系统，自动投加H₂SO₄或NaOH调节pH至6-9范围，液位控制器联动提升泵稳定输送均质废水至后续单元。</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本项目</w:t>
            </w:r>
            <w:r>
              <w:rPr>
                <w:rFonts w:hint="eastAsia" w:cs="Times New Roman"/>
                <w:color w:val="auto"/>
                <w:sz w:val="24"/>
                <w:szCs w:val="24"/>
                <w:highlight w:val="none"/>
                <w:lang w:val="en-US" w:eastAsia="zh-CN"/>
              </w:rPr>
              <w:t>外排生产</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废水主要来自预脱脂、脱脂池排出的槽液以及水洗池排出的水洗废水，其中预脱脂、脱脂池排出的槽液为高浓度的酸性废水，</w:t>
            </w:r>
            <w:r>
              <w:rPr>
                <w:rFonts w:hint="default" w:ascii="Times New Roman" w:hAnsi="Times New Roman" w:eastAsia="Segoe UI" w:cs="Times New Roman"/>
                <w:i w:val="0"/>
                <w:iCs w:val="0"/>
                <w:caps w:val="0"/>
                <w:color w:val="auto"/>
                <w:spacing w:val="0"/>
                <w:sz w:val="24"/>
                <w:szCs w:val="24"/>
                <w:highlight w:val="none"/>
                <w:shd w:val="clear" w:color="auto" w:fill="FFFFFF"/>
                <w:lang w:val="en-US" w:eastAsia="zh-CN"/>
              </w:rPr>
              <w:t>参考</w:t>
            </w:r>
            <w:r>
              <w:rPr>
                <w:rFonts w:hint="default" w:ascii="Times New Roman" w:hAnsi="Times New Roman" w:eastAsia="Segoe UI" w:cs="Times New Roman"/>
                <w:i w:val="0"/>
                <w:iCs w:val="0"/>
                <w:caps w:val="0"/>
                <w:color w:val="auto"/>
                <w:spacing w:val="0"/>
                <w:sz w:val="24"/>
                <w:szCs w:val="24"/>
                <w:highlight w:val="none"/>
                <w:shd w:val="clear" w:color="auto" w:fill="FFFFFF"/>
              </w:rPr>
              <w:t>《</w:t>
            </w:r>
            <w:r>
              <w:rPr>
                <w:rFonts w:hint="eastAsia" w:eastAsia="宋体" w:cs="Times New Roman"/>
                <w:i w:val="0"/>
                <w:iCs w:val="0"/>
                <w:caps w:val="0"/>
                <w:color w:val="auto"/>
                <w:spacing w:val="0"/>
                <w:sz w:val="24"/>
                <w:szCs w:val="24"/>
                <w:highlight w:val="none"/>
                <w:shd w:val="clear" w:color="auto" w:fill="FFFFFF"/>
                <w:lang w:eastAsia="zh-CN"/>
              </w:rPr>
              <w:t>电镀废水治理工程技术规范</w:t>
            </w:r>
            <w:r>
              <w:rPr>
                <w:rFonts w:hint="default" w:ascii="Times New Roman" w:hAnsi="Times New Roman" w:eastAsia="Segoe UI" w:cs="Times New Roman"/>
                <w:i w:val="0"/>
                <w:iCs w:val="0"/>
                <w:caps w:val="0"/>
                <w:color w:val="auto"/>
                <w:spacing w:val="0"/>
                <w:sz w:val="24"/>
                <w:szCs w:val="24"/>
                <w:highlight w:val="none"/>
                <w:shd w:val="clear" w:color="auto" w:fill="FFFFFF"/>
              </w:rPr>
              <w:t>》</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HJ 2002-2010</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附录案例</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Segoe UI" w:cs="Times New Roman"/>
                <w:i w:val="0"/>
                <w:iCs w:val="0"/>
                <w:caps w:val="0"/>
                <w:color w:val="auto"/>
                <w:spacing w:val="0"/>
                <w:sz w:val="24"/>
                <w:szCs w:val="24"/>
                <w:highlight w:val="none"/>
                <w:shd w:val="clear" w:color="auto" w:fill="FFFFFF"/>
              </w:rPr>
              <w:t>中和</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调节</w:t>
            </w:r>
            <w:r>
              <w:rPr>
                <w:rFonts w:hint="default" w:ascii="Times New Roman" w:hAnsi="Times New Roman" w:eastAsia="Segoe UI" w:cs="Times New Roman"/>
                <w:i w:val="0"/>
                <w:iCs w:val="0"/>
                <w:caps w:val="0"/>
                <w:color w:val="auto"/>
                <w:spacing w:val="0"/>
                <w:sz w:val="24"/>
                <w:szCs w:val="24"/>
                <w:highlight w:val="none"/>
                <w:shd w:val="clear" w:color="auto" w:fill="FFFFFF"/>
              </w:rPr>
              <w:t>后COD去除率约12%～18%</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w:t>
            </w:r>
          </w:p>
          <w:p w14:paraId="237083A7">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②混凝沉淀</w:t>
            </w:r>
          </w:p>
          <w:p w14:paraId="443C63A8">
            <w:pPr>
              <w:keepNext/>
              <w:keepLines/>
              <w:pageBreakBefore w:val="0"/>
              <w:widowControl w:val="0"/>
              <w:suppressLineNumbers w:val="0"/>
              <w:tabs>
                <w:tab w:val="left" w:pos="0"/>
              </w:tabs>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outlineLvl w:val="3"/>
              <w:rPr>
                <w:rFonts w:hint="default" w:ascii="Times New Roman" w:hAnsi="Times New Roman" w:cs="Times New Roman"/>
                <w:color w:val="auto"/>
                <w:sz w:val="24"/>
                <w:szCs w:val="24"/>
                <w:highlight w:val="none"/>
                <w:lang w:val="en-US"/>
              </w:rPr>
            </w:pPr>
            <w:r>
              <w:rPr>
                <w:rFonts w:hint="default" w:ascii="Times New Roman" w:hAnsi="Times New Roman" w:eastAsia="Segoe UI" w:cs="Times New Roman"/>
                <w:i w:val="0"/>
                <w:iCs w:val="0"/>
                <w:caps w:val="0"/>
                <w:color w:val="auto"/>
                <w:spacing w:val="0"/>
                <w:sz w:val="24"/>
                <w:szCs w:val="24"/>
                <w:highlight w:val="none"/>
                <w:shd w:val="clear" w:color="auto" w:fill="FFFFFF"/>
              </w:rPr>
              <w:t>均质废水经提升泵进入混凝反应池，依次投加PAC和PAM，快混阶段实现胶体脱稳，慢混阶段形成毫米级矾花。混合液进入斜板沉淀池，污泥沉降至泥斗定期排放</w:t>
            </w:r>
            <w:r>
              <w:rPr>
                <w:rFonts w:hint="default" w:ascii="Times New Roman" w:hAnsi="Times New Roman" w:eastAsia="宋体" w:cs="Times New Roman"/>
                <w:i w:val="0"/>
                <w:iCs w:val="0"/>
                <w:caps w:val="0"/>
                <w:color w:val="auto"/>
                <w:spacing w:val="0"/>
                <w:sz w:val="24"/>
                <w:szCs w:val="24"/>
                <w:highlight w:val="none"/>
                <w:shd w:val="clear" w:color="auto" w:fill="FFFFFF"/>
                <w:lang w:eastAsia="zh-CN"/>
              </w:rPr>
              <w:t>。</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根据《</w:t>
            </w:r>
            <w:r>
              <w:rPr>
                <w:rFonts w:hint="eastAsia" w:cs="Times New Roman"/>
                <w:i w:val="0"/>
                <w:iCs w:val="0"/>
                <w:caps w:val="0"/>
                <w:color w:val="auto"/>
                <w:spacing w:val="0"/>
                <w:sz w:val="24"/>
                <w:szCs w:val="24"/>
                <w:highlight w:val="none"/>
                <w:shd w:val="clear" w:color="auto" w:fill="FFFFFF"/>
                <w:lang w:val="en-US" w:eastAsia="zh-CN"/>
              </w:rPr>
              <w:t>污水过滤处理工程技术规范</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》（HJ 2008-2010）中“5.3.2 混凝沉淀工艺的设计参数及处理效率”提到污染物去除效率分别为SS：70%、COD</w:t>
            </w:r>
            <w:r>
              <w:rPr>
                <w:rFonts w:hint="default" w:ascii="Times New Roman" w:hAnsi="Times New Roman" w:eastAsia="宋体" w:cs="Times New Roman"/>
                <w:i w:val="0"/>
                <w:iCs w:val="0"/>
                <w:caps w:val="0"/>
                <w:color w:val="auto"/>
                <w:spacing w:val="0"/>
                <w:sz w:val="24"/>
                <w:szCs w:val="24"/>
                <w:highlight w:val="none"/>
                <w:shd w:val="clear" w:color="auto" w:fill="FFFFFF"/>
                <w:vertAlign w:val="subscript"/>
                <w:lang w:val="en-US" w:eastAsia="zh-CN"/>
              </w:rPr>
              <w:t>Cr</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：40%。</w:t>
            </w:r>
          </w:p>
          <w:p w14:paraId="4651CDA4">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bCs/>
                <w:color w:val="auto"/>
                <w:kern w:val="0"/>
                <w:sz w:val="24"/>
                <w:szCs w:val="24"/>
                <w:highlight w:val="none"/>
                <w:lang w:val="en-US" w:eastAsia="zh-CN" w:bidi="ar"/>
              </w:rPr>
              <w:t>③气浮单元</w:t>
            </w:r>
          </w:p>
          <w:p w14:paraId="4522243C">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混凝出水进入溶气气浮系统（DAF），溶气水压力0.3-0.5MPa，回流比30%-50%，释放30-50μm微气泡吸附石油类及LAS。浮渣由刮渣机清除。根据《</w:t>
            </w:r>
            <w:r>
              <w:rPr>
                <w:rFonts w:hint="eastAsia" w:cs="Times New Roman"/>
                <w:color w:val="auto"/>
                <w:sz w:val="24"/>
                <w:szCs w:val="24"/>
                <w:highlight w:val="none"/>
                <w:lang w:val="en-US" w:eastAsia="zh-CN"/>
              </w:rPr>
              <w:t>半干法脱硫用电石渣制粉设备</w:t>
            </w:r>
            <w:r>
              <w:rPr>
                <w:rFonts w:hint="default" w:ascii="Times New Roman" w:hAnsi="Times New Roman" w:eastAsia="宋体" w:cs="Times New Roman"/>
                <w:color w:val="auto"/>
                <w:sz w:val="24"/>
                <w:szCs w:val="24"/>
                <w:highlight w:val="none"/>
                <w:lang w:val="en-US" w:eastAsia="zh-CN"/>
              </w:rPr>
              <w:t>》（JB/T 11645-2013）：石油类去除率60%</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80%，本项目取60%，气浮工艺对悬浮物（SS）的去除效率通常为50%</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70%，本项目取</w:t>
            </w:r>
            <w:r>
              <w:rPr>
                <w:rFonts w:hint="eastAsia"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val="en-US" w:eastAsia="zh-CN"/>
              </w:rPr>
              <w:t>0%；《污水气浮处理工程技术规范》（T/CECS 548-2018）：LAS去除率20%</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30%。</w:t>
            </w:r>
          </w:p>
          <w:p w14:paraId="33424A5F">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bidi="ar"/>
              </w:rPr>
              <w:t>④</w:t>
            </w:r>
            <w:r>
              <w:rPr>
                <w:rFonts w:hint="default" w:ascii="Times New Roman" w:hAnsi="Times New Roman" w:eastAsia="宋体" w:cs="Times New Roman"/>
                <w:b/>
                <w:bCs/>
                <w:color w:val="auto"/>
                <w:kern w:val="0"/>
                <w:sz w:val="24"/>
                <w:szCs w:val="24"/>
                <w:highlight w:val="none"/>
                <w:lang w:val="en-US" w:eastAsia="zh-CN"/>
              </w:rPr>
              <w:t>化学除氟单元</w:t>
            </w:r>
          </w:p>
          <w:p w14:paraId="37F4C16F">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
                <w:bCs/>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rPr>
              <w:t>气浮出水进入钙盐沉淀池，投加石灰（pH8.5-9.5）和CaCl₂（钙氟摩尔比1.2:1），搅拌反应30分钟生成CaF₂沉淀。混合液经竖流沉淀池（HRT≥2h）分离后，出水pH回调至6-9</w:t>
            </w:r>
            <w:r>
              <w:rPr>
                <w:rFonts w:hint="eastAsia" w:cs="Times New Roman"/>
                <w:b w:val="0"/>
                <w:bCs w:val="0"/>
                <w:color w:val="auto"/>
                <w:kern w:val="0"/>
                <w:sz w:val="24"/>
                <w:szCs w:val="24"/>
                <w:highlight w:val="none"/>
                <w:lang w:val="en-US" w:eastAsia="zh-CN"/>
              </w:rPr>
              <w:t>。根据</w:t>
            </w:r>
            <w:r>
              <w:rPr>
                <w:rFonts w:ascii="宋体" w:hAnsi="宋体" w:eastAsia="宋体" w:cs="宋体"/>
                <w:color w:val="auto"/>
                <w:sz w:val="24"/>
                <w:szCs w:val="24"/>
              </w:rPr>
              <w:t>《</w:t>
            </w:r>
            <w:r>
              <w:rPr>
                <w:rFonts w:hint="default" w:ascii="Times New Roman" w:hAnsi="Times New Roman" w:eastAsia="宋体" w:cs="Times New Roman"/>
                <w:color w:val="auto"/>
                <w:sz w:val="24"/>
                <w:szCs w:val="24"/>
              </w:rPr>
              <w:t>化学工业污水处理与回用设计规范》</w:t>
            </w:r>
            <w:r>
              <w:rPr>
                <w:rFonts w:hint="default" w:ascii="Times New Roman" w:hAnsi="Times New Roman" w:eastAsia="宋体" w:cs="Times New Roman"/>
                <w:color w:val="auto"/>
                <w:sz w:val="24"/>
                <w:szCs w:val="24"/>
                <w:lang w:eastAsia="zh-CN"/>
              </w:rPr>
              <w:t>（GB 50684-2011）</w:t>
            </w:r>
            <w:r>
              <w:rPr>
                <w:rFonts w:hint="default" w:ascii="Times New Roman" w:hAnsi="Times New Roman" w:eastAsia="宋体" w:cs="Times New Roman"/>
                <w:b w:val="0"/>
                <w:bCs w:val="0"/>
                <w:color w:val="auto"/>
                <w:kern w:val="0"/>
                <w:sz w:val="24"/>
                <w:szCs w:val="24"/>
                <w:highlight w:val="none"/>
                <w:lang w:val="en-US" w:eastAsia="zh-CN"/>
              </w:rPr>
              <w:t>石灰沉淀法处理含氟污水时，影响去除效果的因素很多，如沉淀时间、沉淀池形式、pH值、温度、盐效应和同离子效应等</w:t>
            </w:r>
            <w:r>
              <w:rPr>
                <w:rFonts w:hint="eastAsia" w:cs="Times New Roman"/>
                <w:b w:val="0"/>
                <w:bCs w:val="0"/>
                <w:color w:val="auto"/>
                <w:kern w:val="0"/>
                <w:sz w:val="24"/>
                <w:szCs w:val="24"/>
                <w:highlight w:val="none"/>
                <w:lang w:val="en-US" w:eastAsia="zh-CN"/>
              </w:rPr>
              <w:t>，综合</w:t>
            </w:r>
            <w:r>
              <w:rPr>
                <w:rFonts w:hint="default" w:ascii="Times New Roman" w:hAnsi="Times New Roman" w:eastAsia="宋体" w:cs="Times New Roman"/>
                <w:b w:val="0"/>
                <w:bCs w:val="0"/>
                <w:color w:val="auto"/>
                <w:kern w:val="0"/>
                <w:sz w:val="24"/>
                <w:szCs w:val="24"/>
                <w:highlight w:val="none"/>
                <w:lang w:val="en-US" w:eastAsia="zh-CN"/>
              </w:rPr>
              <w:t>钙盐</w:t>
            </w:r>
            <w:r>
              <w:rPr>
                <w:rFonts w:hint="eastAsia" w:ascii="Times New Roman" w:hAnsi="Times New Roman" w:eastAsia="宋体" w:cs="Times New Roman"/>
                <w:b w:val="0"/>
                <w:bCs w:val="0"/>
                <w:color w:val="auto"/>
                <w:kern w:val="0"/>
                <w:sz w:val="24"/>
                <w:szCs w:val="24"/>
                <w:highlight w:val="none"/>
                <w:lang w:val="en-US" w:eastAsia="zh-CN"/>
              </w:rPr>
              <w:t>除氟效率为</w:t>
            </w:r>
            <w:r>
              <w:rPr>
                <w:rFonts w:hint="eastAsia" w:cs="Times New Roman"/>
                <w:b w:val="0"/>
                <w:bCs w:val="0"/>
                <w:color w:val="auto"/>
                <w:kern w:val="0"/>
                <w:sz w:val="24"/>
                <w:szCs w:val="24"/>
                <w:highlight w:val="none"/>
                <w:lang w:val="en-US" w:eastAsia="zh-CN"/>
              </w:rPr>
              <w:t>85%~95</w:t>
            </w:r>
            <w:r>
              <w:rPr>
                <w:rFonts w:hint="eastAsia" w:ascii="Times New Roman" w:hAnsi="Times New Roman" w:eastAsia="宋体" w:cs="Times New Roman"/>
                <w:b w:val="0"/>
                <w:bCs w:val="0"/>
                <w:color w:val="auto"/>
                <w:kern w:val="0"/>
                <w:sz w:val="24"/>
                <w:szCs w:val="24"/>
                <w:highlight w:val="none"/>
                <w:lang w:val="en-US" w:eastAsia="zh-CN"/>
              </w:rPr>
              <w:t>%</w:t>
            </w:r>
            <w:r>
              <w:rPr>
                <w:rFonts w:hint="eastAsia" w:eastAsia="宋体"/>
                <w:color w:val="auto"/>
                <w:sz w:val="24"/>
                <w:lang w:eastAsia="zh-CN"/>
              </w:rPr>
              <w:t>，</w:t>
            </w:r>
            <w:r>
              <w:rPr>
                <w:rFonts w:hint="eastAsia" w:cs="Times New Roman"/>
                <w:b w:val="0"/>
                <w:bCs w:val="0"/>
                <w:color w:val="auto"/>
                <w:kern w:val="0"/>
                <w:sz w:val="24"/>
                <w:szCs w:val="24"/>
                <w:highlight w:val="none"/>
                <w:lang w:val="en-US" w:eastAsia="zh-CN"/>
              </w:rPr>
              <w:t>由于难以彻底分离沉淀物，处理后污水中残留氟的浓度一般在10mg/L-20mg/L左右，本环评保守取85%</w:t>
            </w:r>
            <w:r>
              <w:rPr>
                <w:rFonts w:hint="eastAsia" w:ascii="Times New Roman" w:hAnsi="Times New Roman" w:eastAsia="宋体" w:cs="Times New Roman"/>
                <w:b w:val="0"/>
                <w:bCs w:val="0"/>
                <w:color w:val="auto"/>
                <w:kern w:val="0"/>
                <w:sz w:val="24"/>
                <w:szCs w:val="24"/>
                <w:highlight w:val="none"/>
                <w:lang w:val="en-US" w:eastAsia="zh-CN"/>
              </w:rPr>
              <w:t>。</w:t>
            </w:r>
          </w:p>
          <w:p w14:paraId="09B314F5">
            <w:pPr>
              <w:keepNext w:val="0"/>
              <w:keepLines w:val="0"/>
              <w:widowControl/>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val="0"/>
                <w:bCs w:val="0"/>
                <w:color w:val="auto"/>
                <w:kern w:val="0"/>
                <w:sz w:val="24"/>
                <w:szCs w:val="24"/>
                <w:highlight w:val="none"/>
                <w:lang w:val="en-US" w:eastAsia="zh-CN" w:bidi="ar"/>
              </w:rPr>
            </w:pPr>
            <w:r>
              <w:rPr>
                <w:rFonts w:hint="eastAsia" w:cs="Times New Roman"/>
                <w:b/>
                <w:bCs/>
                <w:color w:val="auto"/>
                <w:kern w:val="0"/>
                <w:sz w:val="24"/>
                <w:szCs w:val="24"/>
                <w:highlight w:val="none"/>
                <w:lang w:val="en-US" w:eastAsia="zh-CN" w:bidi="ar"/>
              </w:rPr>
              <w:t>⑤</w:t>
            </w:r>
            <w:r>
              <w:rPr>
                <w:rFonts w:hint="default" w:ascii="Times New Roman" w:hAnsi="Times New Roman" w:eastAsia="宋体" w:cs="Times New Roman"/>
                <w:b/>
                <w:bCs/>
                <w:color w:val="auto"/>
                <w:kern w:val="0"/>
                <w:sz w:val="24"/>
                <w:szCs w:val="24"/>
                <w:highlight w:val="none"/>
                <w:lang w:val="en-US" w:eastAsia="zh-CN" w:bidi="ar"/>
              </w:rPr>
              <w:t>污泥处理系统</w:t>
            </w:r>
          </w:p>
          <w:p w14:paraId="07CAD543">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各单元污泥（SS污泥、浮渣、含氟污泥）汇集至浓缩池，投加0.1%-0.3%PAM改性后通过板框压滤脱水</w:t>
            </w:r>
            <w:r>
              <w:rPr>
                <w:rFonts w:hint="default" w:ascii="Times New Roman" w:hAnsi="Times New Roman" w:cs="Times New Roman"/>
                <w:b w:val="0"/>
                <w:bCs w:val="0"/>
                <w:color w:val="auto"/>
                <w:kern w:val="0"/>
                <w:sz w:val="24"/>
                <w:szCs w:val="24"/>
                <w:highlight w:val="none"/>
                <w:lang w:val="en-US" w:eastAsia="zh-CN" w:bidi="ar"/>
              </w:rPr>
              <w:t>，脱水后污泥含水率按60%计算，污泥按作危险废物交由有处理资质的单位处理。</w:t>
            </w:r>
          </w:p>
          <w:p w14:paraId="4A76B854">
            <w:pPr>
              <w:keepNext w:val="0"/>
              <w:keepLines w:val="0"/>
              <w:widowControl/>
              <w:suppressLineNumbers w:val="0"/>
              <w:spacing w:before="0" w:beforeAutospacing="0" w:after="0" w:afterAutospacing="0" w:line="360" w:lineRule="auto"/>
              <w:ind w:left="0" w:right="0" w:firstLine="480" w:firstLineChars="200"/>
              <w:jc w:val="left"/>
              <w:rPr>
                <w:rFonts w:hint="default" w:ascii="Times New Roman" w:hAnsi="Times New Roman" w:eastAsia="宋体" w:cs="Times New Roman"/>
                <w:b w:val="0"/>
                <w:bCs w:val="0"/>
                <w:color w:val="auto"/>
                <w:kern w:val="0"/>
                <w:sz w:val="24"/>
                <w:szCs w:val="24"/>
                <w:highlight w:val="none"/>
                <w:lang w:val="en-US" w:eastAsia="zh-CN" w:bidi="ar"/>
              </w:rPr>
            </w:pPr>
            <w:r>
              <w:rPr>
                <w:rFonts w:hint="default" w:ascii="Times New Roman" w:hAnsi="Times New Roman" w:eastAsia="宋体" w:cs="Times New Roman"/>
                <w:b w:val="0"/>
                <w:bCs w:val="0"/>
                <w:color w:val="auto"/>
                <w:kern w:val="0"/>
                <w:sz w:val="24"/>
                <w:szCs w:val="24"/>
                <w:highlight w:val="none"/>
                <w:lang w:val="en-US" w:eastAsia="zh-CN" w:bidi="ar"/>
              </w:rPr>
              <w:t>根据建设单位提供的废水处理方案，本项目废水处理设施处理能力为</w:t>
            </w:r>
            <w:r>
              <w:rPr>
                <w:rFonts w:hint="eastAsia" w:cs="Times New Roman"/>
                <w:b w:val="0"/>
                <w:bCs w:val="0"/>
                <w:color w:val="auto"/>
                <w:kern w:val="0"/>
                <w:sz w:val="24"/>
                <w:szCs w:val="24"/>
                <w:highlight w:val="none"/>
                <w:lang w:val="en-US" w:eastAsia="zh-CN" w:bidi="ar"/>
              </w:rPr>
              <w:t>50</w:t>
            </w:r>
            <w:r>
              <w:rPr>
                <w:rFonts w:hint="default" w:ascii="Times New Roman" w:hAnsi="Times New Roman" w:eastAsia="宋体" w:cs="Times New Roman"/>
                <w:b w:val="0"/>
                <w:bCs w:val="0"/>
                <w:color w:val="auto"/>
                <w:kern w:val="0"/>
                <w:sz w:val="24"/>
                <w:szCs w:val="24"/>
                <w:highlight w:val="none"/>
                <w:lang w:val="en-US" w:eastAsia="zh-CN" w:bidi="ar"/>
              </w:rPr>
              <w:t>m</w:t>
            </w:r>
            <w:r>
              <w:rPr>
                <w:rFonts w:hint="default" w:ascii="Times New Roman" w:hAnsi="Times New Roman" w:eastAsia="宋体" w:cs="Times New Roman"/>
                <w:b w:val="0"/>
                <w:bCs w:val="0"/>
                <w:color w:val="auto"/>
                <w:kern w:val="0"/>
                <w:sz w:val="24"/>
                <w:szCs w:val="24"/>
                <w:highlight w:val="none"/>
                <w:vertAlign w:val="superscript"/>
                <w:lang w:val="en-US" w:eastAsia="zh-CN" w:bidi="ar"/>
              </w:rPr>
              <w:t>3</w:t>
            </w:r>
            <w:r>
              <w:rPr>
                <w:rFonts w:hint="default" w:ascii="Times New Roman" w:hAnsi="Times New Roman" w:eastAsia="宋体" w:cs="Times New Roman"/>
                <w:b w:val="0"/>
                <w:bCs w:val="0"/>
                <w:color w:val="auto"/>
                <w:kern w:val="0"/>
                <w:sz w:val="24"/>
                <w:szCs w:val="24"/>
                <w:highlight w:val="none"/>
                <w:lang w:val="en-US" w:eastAsia="zh-CN" w:bidi="ar"/>
              </w:rPr>
              <w:t>/d，项目废水处理设施主要构筑物参数：</w:t>
            </w:r>
          </w:p>
          <w:p w14:paraId="75FEA409">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eastAsia"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 xml:space="preserve">7 </w:t>
            </w:r>
            <w:r>
              <w:rPr>
                <w:rFonts w:hint="default" w:ascii="Times New Roman" w:hAnsi="Times New Roman" w:cs="Times New Roman"/>
                <w:b/>
                <w:bCs/>
                <w:color w:val="auto"/>
                <w:sz w:val="21"/>
                <w:szCs w:val="21"/>
                <w:highlight w:val="none"/>
              </w:rPr>
              <w:t>项目污水处理站废水处理</w:t>
            </w:r>
            <w:r>
              <w:rPr>
                <w:rFonts w:hint="default" w:ascii="Times New Roman" w:hAnsi="Times New Roman" w:cs="Times New Roman"/>
                <w:b/>
                <w:bCs/>
                <w:color w:val="auto"/>
                <w:sz w:val="21"/>
                <w:szCs w:val="21"/>
                <w:highlight w:val="none"/>
                <w:lang w:val="en-US" w:eastAsia="zh-CN"/>
              </w:rPr>
              <w:t>单元</w:t>
            </w:r>
            <w:r>
              <w:rPr>
                <w:rFonts w:hint="eastAsia" w:cs="Times New Roman"/>
                <w:b/>
                <w:bCs/>
                <w:color w:val="auto"/>
                <w:sz w:val="21"/>
                <w:szCs w:val="21"/>
                <w:highlight w:val="none"/>
                <w:lang w:val="en-US" w:eastAsia="zh-CN"/>
              </w:rPr>
              <w:t>去除效率</w:t>
            </w:r>
          </w:p>
          <w:tbl>
            <w:tblPr>
              <w:tblStyle w:val="48"/>
              <w:tblW w:w="830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99"/>
              <w:gridCol w:w="1175"/>
              <w:gridCol w:w="721"/>
              <w:gridCol w:w="714"/>
              <w:gridCol w:w="714"/>
              <w:gridCol w:w="714"/>
              <w:gridCol w:w="600"/>
              <w:gridCol w:w="620"/>
              <w:gridCol w:w="714"/>
              <w:gridCol w:w="721"/>
              <w:gridCol w:w="714"/>
              <w:gridCol w:w="600"/>
            </w:tblGrid>
            <w:tr w14:paraId="53304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4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891D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eastAsia" w:ascii="宋体" w:hAnsi="宋体" w:eastAsia="宋体" w:cs="宋体"/>
                      <w:b/>
                      <w:bCs/>
                      <w:i w:val="0"/>
                      <w:iCs w:val="0"/>
                      <w:color w:val="auto"/>
                      <w:kern w:val="0"/>
                      <w:sz w:val="20"/>
                      <w:szCs w:val="20"/>
                      <w:u w:val="none"/>
                      <w:lang w:val="en-US" w:eastAsia="zh-CN" w:bidi="ar"/>
                    </w:rPr>
                    <w:t>各级处理效果各项指标</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E4C7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COD</w:t>
                  </w:r>
                  <w:r>
                    <w:rPr>
                      <w:rFonts w:hint="default" w:ascii="Times New Roman" w:hAnsi="Times New Roman" w:eastAsia="宋体" w:cs="Times New Roman"/>
                      <w:b/>
                      <w:bCs/>
                      <w:i w:val="0"/>
                      <w:iCs w:val="0"/>
                      <w:color w:val="auto"/>
                      <w:kern w:val="0"/>
                      <w:sz w:val="20"/>
                      <w:szCs w:val="20"/>
                      <w:u w:val="none"/>
                      <w:vertAlign w:val="subscript"/>
                      <w:lang w:val="en-US" w:eastAsia="zh-CN" w:bidi="ar"/>
                    </w:rPr>
                    <w:t>Cr</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0D6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BOD</w:t>
                  </w:r>
                  <w:r>
                    <w:rPr>
                      <w:rFonts w:hint="default" w:ascii="Times New Roman" w:hAnsi="Times New Roman" w:eastAsia="宋体" w:cs="Times New Roman"/>
                      <w:b/>
                      <w:bCs/>
                      <w:i w:val="0"/>
                      <w:iCs w:val="0"/>
                      <w:color w:val="auto"/>
                      <w:kern w:val="0"/>
                      <w:sz w:val="20"/>
                      <w:szCs w:val="20"/>
                      <w:u w:val="none"/>
                      <w:vertAlign w:val="subscript"/>
                      <w:lang w:val="en-US" w:eastAsia="zh-CN" w:bidi="ar"/>
                    </w:rPr>
                    <w:t>5</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E675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SS</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26A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氨氮</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2F28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氟化物</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0ED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TP</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C24A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TN</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2D1E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LAS</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0AD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总铝</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BF2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0"/>
                      <w:szCs w:val="20"/>
                      <w:u w:val="none"/>
                    </w:rPr>
                  </w:pPr>
                  <w:r>
                    <w:rPr>
                      <w:rFonts w:hint="default" w:ascii="Times New Roman" w:hAnsi="Times New Roman" w:eastAsia="宋体" w:cs="Times New Roman"/>
                      <w:b/>
                      <w:bCs/>
                      <w:i w:val="0"/>
                      <w:iCs w:val="0"/>
                      <w:color w:val="auto"/>
                      <w:kern w:val="0"/>
                      <w:sz w:val="20"/>
                      <w:szCs w:val="20"/>
                      <w:u w:val="none"/>
                      <w:lang w:val="en-US" w:eastAsia="zh-CN" w:bidi="ar"/>
                    </w:rPr>
                    <w:t>石油类</w:t>
                  </w:r>
                </w:p>
              </w:tc>
            </w:tr>
            <w:tr w14:paraId="0B70A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9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239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cs="宋体"/>
                      <w:i w:val="0"/>
                      <w:iCs w:val="0"/>
                      <w:color w:val="auto"/>
                      <w:kern w:val="0"/>
                      <w:sz w:val="20"/>
                      <w:szCs w:val="20"/>
                      <w:u w:val="none"/>
                      <w:lang w:val="en-US" w:eastAsia="zh-CN" w:bidi="ar"/>
                    </w:rPr>
                    <w:t>外排</w:t>
                  </w:r>
                  <w:r>
                    <w:rPr>
                      <w:rFonts w:hint="eastAsia" w:ascii="宋体" w:hAnsi="宋体" w:eastAsia="宋体" w:cs="宋体"/>
                      <w:i w:val="0"/>
                      <w:iCs w:val="0"/>
                      <w:color w:val="auto"/>
                      <w:kern w:val="0"/>
                      <w:sz w:val="20"/>
                      <w:szCs w:val="20"/>
                      <w:u w:val="none"/>
                      <w:lang w:val="en-US" w:eastAsia="zh-CN" w:bidi="ar"/>
                    </w:rPr>
                    <w:t>生产废水</w:t>
                  </w: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1D77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进水（</w:t>
                  </w:r>
                  <w:r>
                    <w:rPr>
                      <w:rFonts w:hint="default" w:ascii="Times New Roman" w:hAnsi="Times New Roman" w:eastAsia="宋体" w:cs="Times New Roman"/>
                      <w:i w:val="0"/>
                      <w:iCs w:val="0"/>
                      <w:color w:val="auto"/>
                      <w:kern w:val="0"/>
                      <w:sz w:val="20"/>
                      <w:szCs w:val="20"/>
                      <w:u w:val="none"/>
                      <w:lang w:val="en-US" w:eastAsia="zh-CN" w:bidi="ar"/>
                    </w:rPr>
                    <w:t>mg/L</w:t>
                  </w:r>
                  <w:r>
                    <w:rPr>
                      <w:rFonts w:hint="eastAsia" w:ascii="宋体" w:hAnsi="宋体" w:eastAsia="宋体" w:cs="宋体"/>
                      <w:i w:val="0"/>
                      <w:iCs w:val="0"/>
                      <w:color w:val="auto"/>
                      <w:kern w:val="0"/>
                      <w:sz w:val="20"/>
                      <w:szCs w:val="20"/>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DE1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372</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6A56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129</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4BA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67</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C9B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4AC0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109</w:t>
                  </w:r>
                </w:p>
              </w:tc>
              <w:tc>
                <w:tcPr>
                  <w:tcW w:w="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7B6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0.85</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57F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46.2</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D79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721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42.6</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7EF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32.1</w:t>
                  </w:r>
                </w:p>
              </w:tc>
            </w:tr>
            <w:tr w14:paraId="08911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F3BAF">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067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中和调节池去除效率</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ECB3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8E0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1B19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B400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FCB4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14F0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1F40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A8EE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1B0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9A56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w:t>
                  </w:r>
                </w:p>
              </w:tc>
            </w:tr>
            <w:tr w14:paraId="70FDE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0E323">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741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处理后浓度（</w:t>
                  </w:r>
                  <w:r>
                    <w:rPr>
                      <w:rFonts w:hint="default" w:ascii="Times New Roman" w:hAnsi="Times New Roman" w:eastAsia="宋体" w:cs="Times New Roman"/>
                      <w:i w:val="0"/>
                      <w:iCs w:val="0"/>
                      <w:color w:val="auto"/>
                      <w:kern w:val="0"/>
                      <w:sz w:val="20"/>
                      <w:szCs w:val="20"/>
                      <w:u w:val="none"/>
                      <w:lang w:val="en-US" w:eastAsia="zh-CN" w:bidi="ar"/>
                    </w:rPr>
                    <w:t>mg/L</w:t>
                  </w:r>
                  <w:r>
                    <w:rPr>
                      <w:rFonts w:hint="eastAsia" w:ascii="宋体" w:hAnsi="宋体" w:eastAsia="宋体" w:cs="宋体"/>
                      <w:i w:val="0"/>
                      <w:iCs w:val="0"/>
                      <w:color w:val="auto"/>
                      <w:kern w:val="0"/>
                      <w:sz w:val="20"/>
                      <w:szCs w:val="20"/>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5418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327.4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A0EB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121.3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E5F1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60.3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4658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14.6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298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105.7 </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F2E0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0.8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DA5E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43.9 </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48E7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2CC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38.3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AE85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31.1 </w:t>
                  </w:r>
                </w:p>
              </w:tc>
            </w:tr>
            <w:tr w14:paraId="10B0D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EFB7">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5365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气浮去除效率</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B16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F042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35%</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A704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1ADC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AC1A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798F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14CA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7E73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77A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E62D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85%</w:t>
                  </w:r>
                </w:p>
              </w:tc>
            </w:tr>
            <w:tr w14:paraId="091BD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BF5F">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F34C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处理后浓度（</w:t>
                  </w:r>
                  <w:r>
                    <w:rPr>
                      <w:rFonts w:hint="default" w:ascii="Times New Roman" w:hAnsi="Times New Roman" w:eastAsia="宋体" w:cs="Times New Roman"/>
                      <w:i w:val="0"/>
                      <w:iCs w:val="0"/>
                      <w:color w:val="auto"/>
                      <w:kern w:val="0"/>
                      <w:sz w:val="20"/>
                      <w:szCs w:val="20"/>
                      <w:u w:val="none"/>
                      <w:lang w:val="en-US" w:eastAsia="zh-CN" w:bidi="ar"/>
                    </w:rPr>
                    <w:t>mg/L</w:t>
                  </w:r>
                  <w:r>
                    <w:rPr>
                      <w:rFonts w:hint="eastAsia" w:ascii="宋体" w:hAnsi="宋体" w:eastAsia="宋体" w:cs="宋体"/>
                      <w:i w:val="0"/>
                      <w:iCs w:val="0"/>
                      <w:color w:val="auto"/>
                      <w:kern w:val="0"/>
                      <w:sz w:val="20"/>
                      <w:szCs w:val="20"/>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FA28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196.4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C7AD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78.8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CF12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30.2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D16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13.9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DF49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100.4 </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AF8F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0.5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899D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41.7 </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79FE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0.5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9914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21.1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63AF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4.7 </w:t>
                  </w:r>
                </w:p>
              </w:tc>
            </w:tr>
            <w:tr w14:paraId="3253F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BC6B9">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382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化学除氟去除效率</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7984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12%</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2377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A519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D88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0003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85%</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CF8A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6913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95B9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48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B60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w:t>
                  </w:r>
                </w:p>
              </w:tc>
            </w:tr>
            <w:tr w14:paraId="1CD49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F354E">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C03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处理后浓度（</w:t>
                  </w:r>
                  <w:r>
                    <w:rPr>
                      <w:rFonts w:hint="default" w:ascii="Times New Roman" w:hAnsi="Times New Roman" w:eastAsia="宋体" w:cs="Times New Roman"/>
                      <w:i w:val="0"/>
                      <w:iCs w:val="0"/>
                      <w:color w:val="auto"/>
                      <w:kern w:val="0"/>
                      <w:sz w:val="20"/>
                      <w:szCs w:val="20"/>
                      <w:u w:val="none"/>
                      <w:lang w:val="en-US" w:eastAsia="zh-CN" w:bidi="ar"/>
                    </w:rPr>
                    <w:t>mg/L</w:t>
                  </w:r>
                  <w:r>
                    <w:rPr>
                      <w:rFonts w:hint="eastAsia" w:ascii="宋体" w:hAnsi="宋体" w:eastAsia="宋体" w:cs="宋体"/>
                      <w:i w:val="0"/>
                      <w:iCs w:val="0"/>
                      <w:color w:val="auto"/>
                      <w:kern w:val="0"/>
                      <w:sz w:val="20"/>
                      <w:szCs w:val="20"/>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4620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172.8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BC0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70.9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C96C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12.1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1A59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13.2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85C8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15.1 </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3F4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0.1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E468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39.6 </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0510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0.4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C973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7.4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7A6E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4.3 </w:t>
                  </w:r>
                </w:p>
              </w:tc>
            </w:tr>
            <w:tr w14:paraId="6CCC9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E3C47">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8BD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混凝沉淀去除效率</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4CF7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BE2C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25%</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65749">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87D8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F1E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35%</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EEB9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B5D0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AD63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CA00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75%</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DD5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w:t>
                  </w:r>
                </w:p>
              </w:tc>
            </w:tr>
            <w:tr w14:paraId="4D212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9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59D98">
                  <w:pPr>
                    <w:jc w:val="center"/>
                    <w:rPr>
                      <w:rFonts w:hint="default" w:ascii="Times New Roman" w:hAnsi="Times New Roman" w:eastAsia="宋体" w:cs="Times New Roman"/>
                      <w:i w:val="0"/>
                      <w:iCs w:val="0"/>
                      <w:color w:val="auto"/>
                      <w:sz w:val="20"/>
                      <w:szCs w:val="20"/>
                      <w:u w:val="none"/>
                    </w:rPr>
                  </w:pPr>
                </w:p>
              </w:tc>
              <w:tc>
                <w:tcPr>
                  <w:tcW w:w="11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547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处理后浓度（</w:t>
                  </w:r>
                  <w:r>
                    <w:rPr>
                      <w:rFonts w:hint="default" w:ascii="Times New Roman" w:hAnsi="Times New Roman" w:eastAsia="宋体" w:cs="Times New Roman"/>
                      <w:i w:val="0"/>
                      <w:iCs w:val="0"/>
                      <w:color w:val="auto"/>
                      <w:kern w:val="0"/>
                      <w:sz w:val="20"/>
                      <w:szCs w:val="20"/>
                      <w:u w:val="none"/>
                      <w:lang w:val="en-US" w:eastAsia="zh-CN" w:bidi="ar"/>
                    </w:rPr>
                    <w:t>mg/L</w:t>
                  </w:r>
                  <w:r>
                    <w:rPr>
                      <w:rFonts w:hint="eastAsia" w:ascii="宋体" w:hAnsi="宋体" w:eastAsia="宋体" w:cs="宋体"/>
                      <w:i w:val="0"/>
                      <w:iCs w:val="0"/>
                      <w:color w:val="auto"/>
                      <w:kern w:val="0"/>
                      <w:sz w:val="20"/>
                      <w:szCs w:val="20"/>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AEF0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103.7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53C0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53.2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B5C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3.6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D7DB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12.5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DF9D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9.8 </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357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0.1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176B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37.6 </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2F6F">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0.3 </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152A">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1.8 </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BF0D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 xml:space="preserve">4.1 </w:t>
                  </w:r>
                </w:p>
              </w:tc>
            </w:tr>
            <w:tr w14:paraId="5140D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1F6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综合治理效率</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BB80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72%</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7E397">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59%</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0040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95%</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FE11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76C1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91%</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A4B0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92%</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DB19D">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19%</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7D41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73%</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23D6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96%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1D3A4">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87%</w:t>
                  </w:r>
                </w:p>
              </w:tc>
            </w:tr>
            <w:tr w14:paraId="74EA9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A6223">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eastAsia" w:ascii="宋体" w:hAnsi="宋体" w:eastAsia="宋体" w:cs="宋体"/>
                      <w:i w:val="0"/>
                      <w:iCs w:val="0"/>
                      <w:color w:val="auto"/>
                      <w:kern w:val="0"/>
                      <w:sz w:val="20"/>
                      <w:szCs w:val="20"/>
                      <w:u w:val="none"/>
                      <w:lang w:val="en-US" w:eastAsia="zh-CN" w:bidi="ar"/>
                    </w:rPr>
                    <w:t>执行标准排放限值（</w:t>
                  </w:r>
                  <w:r>
                    <w:rPr>
                      <w:rFonts w:hint="default" w:ascii="Times New Roman" w:hAnsi="Times New Roman" w:eastAsia="宋体" w:cs="Times New Roman"/>
                      <w:i w:val="0"/>
                      <w:iCs w:val="0"/>
                      <w:color w:val="auto"/>
                      <w:kern w:val="0"/>
                      <w:sz w:val="20"/>
                      <w:szCs w:val="20"/>
                      <w:u w:val="none"/>
                      <w:lang w:val="en-US" w:eastAsia="zh-CN" w:bidi="ar"/>
                    </w:rPr>
                    <w:t>mg/L</w:t>
                  </w:r>
                  <w:r>
                    <w:rPr>
                      <w:rFonts w:hint="eastAsia" w:ascii="宋体" w:hAnsi="宋体" w:eastAsia="宋体" w:cs="宋体"/>
                      <w:i w:val="0"/>
                      <w:iCs w:val="0"/>
                      <w:color w:val="auto"/>
                      <w:kern w:val="0"/>
                      <w:sz w:val="20"/>
                      <w:szCs w:val="20"/>
                      <w:u w:val="none"/>
                      <w:lang w:val="en-US" w:eastAsia="zh-CN" w:bidi="ar"/>
                    </w:rPr>
                    <w:t>）</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5588">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≤160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76111">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≤150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B47B">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≤100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EA3FE">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≤30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5A785">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w:t>
                  </w:r>
                </w:p>
              </w:tc>
              <w:tc>
                <w:tcPr>
                  <w:tcW w:w="6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F4BD2">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464A6">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≤40</w:t>
                  </w:r>
                </w:p>
              </w:tc>
              <w:tc>
                <w:tcPr>
                  <w:tcW w:w="7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7D6F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2C5C">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≤2.0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E0B70">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≤6.0</w:t>
                  </w:r>
                </w:p>
              </w:tc>
            </w:tr>
          </w:tbl>
          <w:p w14:paraId="176A81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right="0" w:firstLine="480" w:firstLineChars="200"/>
              <w:textAlignment w:val="auto"/>
              <w:rPr>
                <w:rFonts w:hint="default" w:ascii="Times New Roman" w:hAnsi="Times New Roman" w:cs="Times New Roman"/>
                <w:color w:val="auto"/>
                <w:sz w:val="24"/>
                <w:szCs w:val="24"/>
                <w:highlight w:val="none"/>
                <w:lang w:val="en-US" w:eastAsia="zh-CN"/>
              </w:rPr>
            </w:pPr>
          </w:p>
          <w:p w14:paraId="5EB79C25">
            <w:pPr>
              <w:keepNext/>
              <w:keepLines/>
              <w:suppressLineNumbers w:val="0"/>
              <w:tabs>
                <w:tab w:val="left" w:pos="0"/>
              </w:tabs>
              <w:spacing w:before="0" w:beforeAutospacing="0" w:after="0" w:afterAutospacing="0" w:line="360" w:lineRule="auto"/>
              <w:ind w:left="0" w:right="0" w:firstLine="480" w:firstLineChars="200"/>
              <w:outlineLvl w:val="3"/>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根据上表计算，本项目</w:t>
            </w:r>
            <w:r>
              <w:rPr>
                <w:rFonts w:hint="eastAsia" w:cs="Times New Roman"/>
                <w:b w:val="0"/>
                <w:bCs w:val="0"/>
                <w:color w:val="auto"/>
                <w:sz w:val="24"/>
                <w:szCs w:val="24"/>
                <w:highlight w:val="none"/>
                <w:lang w:val="en-US" w:eastAsia="zh-CN"/>
              </w:rPr>
              <w:t>外排</w:t>
            </w:r>
            <w:r>
              <w:rPr>
                <w:rFonts w:hint="default" w:ascii="Times New Roman" w:hAnsi="Times New Roman" w:cs="Times New Roman"/>
                <w:b w:val="0"/>
                <w:bCs w:val="0"/>
                <w:color w:val="auto"/>
                <w:sz w:val="24"/>
                <w:szCs w:val="24"/>
                <w:highlight w:val="none"/>
                <w:lang w:val="en-US" w:eastAsia="zh-CN"/>
              </w:rPr>
              <w:t>生产废水经</w:t>
            </w:r>
            <w:r>
              <w:rPr>
                <w:rFonts w:hint="default" w:ascii="Times New Roman" w:hAnsi="Times New Roman" w:cs="Times New Roman"/>
                <w:color w:val="auto"/>
                <w:sz w:val="24"/>
                <w:szCs w:val="24"/>
                <w:highlight w:val="none"/>
              </w:rPr>
              <w:t>“</w:t>
            </w:r>
            <w:r>
              <w:rPr>
                <w:rFonts w:hint="eastAsia" w:cs="Times New Roman"/>
                <w:color w:val="auto"/>
                <w:sz w:val="24"/>
                <w:szCs w:val="24"/>
                <w:highlight w:val="none"/>
                <w:lang w:eastAsia="zh-CN"/>
              </w:rPr>
              <w:t>中和调节+混凝沉淀+气浮+化学除氟</w:t>
            </w:r>
            <w:r>
              <w:rPr>
                <w:rFonts w:hint="default" w:ascii="Times New Roman" w:hAnsi="Times New Roman" w:cs="Times New Roman"/>
                <w:color w:val="auto"/>
                <w:sz w:val="24"/>
                <w:szCs w:val="24"/>
                <w:highlight w:val="none"/>
              </w:rPr>
              <w:t>”处理</w:t>
            </w:r>
            <w:r>
              <w:rPr>
                <w:rFonts w:hint="default" w:ascii="Times New Roman" w:hAnsi="Times New Roman" w:cs="Times New Roman"/>
                <w:color w:val="auto"/>
                <w:sz w:val="24"/>
                <w:szCs w:val="24"/>
                <w:highlight w:val="none"/>
                <w:lang w:val="en-US" w:eastAsia="zh-CN"/>
              </w:rPr>
              <w:t>后</w:t>
            </w:r>
            <w:r>
              <w:rPr>
                <w:rFonts w:hint="eastAsia" w:cs="Times New Roman"/>
                <w:b w:val="0"/>
                <w:bCs w:val="0"/>
                <w:color w:val="auto"/>
                <w:sz w:val="24"/>
                <w:szCs w:val="24"/>
                <w:highlight w:val="none"/>
                <w:lang w:val="en-US" w:eastAsia="zh-CN"/>
              </w:rPr>
              <w:t>各水污染物因子</w:t>
            </w:r>
            <w:r>
              <w:rPr>
                <w:rFonts w:hint="default" w:ascii="Times New Roman" w:hAnsi="Times New Roman" w:cs="Times New Roman"/>
                <w:color w:val="auto"/>
                <w:sz w:val="24"/>
                <w:szCs w:val="24"/>
                <w:highlight w:val="none"/>
                <w:lang w:val="en-US" w:eastAsia="zh-CN"/>
              </w:rPr>
              <w:t>达到园区污水处理厂接管水质要求、广东省《水污染物排放限值》（DB44/26-2001）第二时段三级标准以及《电镀水污染物排放标准》（DB44/1597-2015）</w:t>
            </w:r>
            <w:r>
              <w:rPr>
                <w:rFonts w:hint="eastAsia" w:cs="Times New Roman"/>
                <w:color w:val="auto"/>
                <w:sz w:val="24"/>
                <w:szCs w:val="24"/>
                <w:highlight w:val="none"/>
                <w:lang w:val="en-US" w:eastAsia="zh-CN"/>
              </w:rPr>
              <w:t>表1现有项目水污染物非珠三角排放限值200%（其中总铝按表2新建项目水污染物排放限值-非珠三角地区执行）</w:t>
            </w:r>
            <w:r>
              <w:rPr>
                <w:rFonts w:hint="default" w:ascii="Times New Roman" w:hAnsi="Times New Roman" w:cs="Times New Roman"/>
                <w:color w:val="auto"/>
                <w:sz w:val="24"/>
                <w:szCs w:val="24"/>
                <w:highlight w:val="none"/>
                <w:lang w:val="en-US" w:eastAsia="zh-CN"/>
              </w:rPr>
              <w:t>三者较严值要求，满足进入园区污水处理厂的要求。</w:t>
            </w:r>
          </w:p>
          <w:p w14:paraId="0771B96A">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2.3项目水污染物排放信息</w:t>
            </w:r>
          </w:p>
          <w:p w14:paraId="42CEEBF4">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表4-2</w:t>
            </w:r>
            <w:r>
              <w:rPr>
                <w:rFonts w:hint="eastAsia" w:cs="Times New Roman"/>
                <w:b/>
                <w:bCs/>
                <w:color w:val="auto"/>
                <w:kern w:val="2"/>
                <w:sz w:val="21"/>
                <w:szCs w:val="21"/>
                <w:lang w:val="en-US" w:eastAsia="zh-CN" w:bidi="ar-SA"/>
              </w:rPr>
              <w:t>8</w:t>
            </w:r>
            <w:r>
              <w:rPr>
                <w:rFonts w:hint="default" w:ascii="Times New Roman" w:hAnsi="Times New Roman" w:eastAsia="宋体" w:cs="Times New Roman"/>
                <w:b/>
                <w:bCs/>
                <w:color w:val="auto"/>
                <w:sz w:val="21"/>
                <w:szCs w:val="21"/>
                <w:highlight w:val="none"/>
              </w:rPr>
              <w:t>废水类别、污染物及污染治理设施信息表</w:t>
            </w:r>
          </w:p>
          <w:tbl>
            <w:tblPr>
              <w:tblStyle w:val="48"/>
              <w:tblW w:w="4998"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0" w:type="dxa"/>
                <w:bottom w:w="0" w:type="dxa"/>
                <w:right w:w="0" w:type="dxa"/>
              </w:tblCellMar>
            </w:tblPr>
            <w:tblGrid>
              <w:gridCol w:w="564"/>
              <w:gridCol w:w="1152"/>
              <w:gridCol w:w="543"/>
              <w:gridCol w:w="945"/>
              <w:gridCol w:w="711"/>
              <w:gridCol w:w="834"/>
              <w:gridCol w:w="795"/>
              <w:gridCol w:w="556"/>
              <w:gridCol w:w="822"/>
              <w:gridCol w:w="1476"/>
            </w:tblGrid>
            <w:tr w14:paraId="3F6D86B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336" w:type="pct"/>
                  <w:vMerge w:val="restart"/>
                  <w:noWrap w:val="0"/>
                  <w:vAlign w:val="center"/>
                </w:tcPr>
                <w:p w14:paraId="7361959D">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废水类别</w:t>
                  </w:r>
                </w:p>
              </w:tc>
              <w:tc>
                <w:tcPr>
                  <w:tcW w:w="685" w:type="pct"/>
                  <w:vMerge w:val="restart"/>
                  <w:noWrap w:val="0"/>
                  <w:vAlign w:val="center"/>
                </w:tcPr>
                <w:p w14:paraId="0D8BB789">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污染物种类</w:t>
                  </w:r>
                </w:p>
              </w:tc>
              <w:tc>
                <w:tcPr>
                  <w:tcW w:w="323" w:type="pct"/>
                  <w:vMerge w:val="restart"/>
                  <w:noWrap w:val="0"/>
                  <w:vAlign w:val="center"/>
                </w:tcPr>
                <w:p w14:paraId="1DD7AC5F">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排放去向</w:t>
                  </w:r>
                </w:p>
              </w:tc>
              <w:tc>
                <w:tcPr>
                  <w:tcW w:w="562" w:type="pct"/>
                  <w:vMerge w:val="restart"/>
                  <w:noWrap w:val="0"/>
                  <w:vAlign w:val="center"/>
                </w:tcPr>
                <w:p w14:paraId="5A4A0002">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排放规律</w:t>
                  </w:r>
                </w:p>
              </w:tc>
              <w:tc>
                <w:tcPr>
                  <w:tcW w:w="1392" w:type="pct"/>
                  <w:gridSpan w:val="3"/>
                  <w:noWrap w:val="0"/>
                  <w:vAlign w:val="center"/>
                </w:tcPr>
                <w:p w14:paraId="17AA1EFD">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污染治理设施</w:t>
                  </w:r>
                </w:p>
              </w:tc>
              <w:tc>
                <w:tcPr>
                  <w:tcW w:w="331" w:type="pct"/>
                  <w:vMerge w:val="restart"/>
                  <w:noWrap w:val="0"/>
                  <w:vAlign w:val="center"/>
                </w:tcPr>
                <w:p w14:paraId="5150D359">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排放口编号</w:t>
                  </w:r>
                </w:p>
              </w:tc>
              <w:tc>
                <w:tcPr>
                  <w:tcW w:w="489" w:type="pct"/>
                  <w:vMerge w:val="restart"/>
                  <w:noWrap w:val="0"/>
                  <w:vAlign w:val="center"/>
                </w:tcPr>
                <w:p w14:paraId="6E13199E">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排放口设置是否符合要求</w:t>
                  </w:r>
                </w:p>
              </w:tc>
              <w:tc>
                <w:tcPr>
                  <w:tcW w:w="878" w:type="pct"/>
                  <w:vMerge w:val="restart"/>
                  <w:noWrap w:val="0"/>
                  <w:vAlign w:val="center"/>
                </w:tcPr>
                <w:p w14:paraId="031891A9">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排放口类型</w:t>
                  </w:r>
                </w:p>
              </w:tc>
            </w:tr>
            <w:tr w14:paraId="5EEF7AC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36" w:type="pct"/>
                  <w:vMerge w:val="continue"/>
                  <w:noWrap w:val="0"/>
                  <w:vAlign w:val="center"/>
                </w:tcPr>
                <w:p w14:paraId="47B305D7">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c>
                <w:tcPr>
                  <w:tcW w:w="685" w:type="pct"/>
                  <w:vMerge w:val="continue"/>
                  <w:noWrap w:val="0"/>
                  <w:vAlign w:val="center"/>
                </w:tcPr>
                <w:p w14:paraId="34B00446">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c>
                <w:tcPr>
                  <w:tcW w:w="323" w:type="pct"/>
                  <w:vMerge w:val="continue"/>
                  <w:noWrap w:val="0"/>
                  <w:vAlign w:val="center"/>
                </w:tcPr>
                <w:p w14:paraId="18DF28D1">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c>
                <w:tcPr>
                  <w:tcW w:w="562" w:type="pct"/>
                  <w:vMerge w:val="continue"/>
                  <w:noWrap w:val="0"/>
                  <w:vAlign w:val="center"/>
                </w:tcPr>
                <w:p w14:paraId="1FA80599">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c>
                <w:tcPr>
                  <w:tcW w:w="423" w:type="pct"/>
                  <w:noWrap w:val="0"/>
                  <w:vAlign w:val="center"/>
                </w:tcPr>
                <w:p w14:paraId="7A34D9A4">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污染治理设施编号</w:t>
                  </w:r>
                </w:p>
              </w:tc>
              <w:tc>
                <w:tcPr>
                  <w:tcW w:w="496" w:type="pct"/>
                  <w:noWrap w:val="0"/>
                  <w:vAlign w:val="center"/>
                </w:tcPr>
                <w:p w14:paraId="1806237D">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污染治理设施名称</w:t>
                  </w:r>
                </w:p>
              </w:tc>
              <w:tc>
                <w:tcPr>
                  <w:tcW w:w="473" w:type="pct"/>
                  <w:noWrap w:val="0"/>
                  <w:vAlign w:val="center"/>
                </w:tcPr>
                <w:p w14:paraId="16BC7EEC">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污染治理设施工艺</w:t>
                  </w:r>
                </w:p>
              </w:tc>
              <w:tc>
                <w:tcPr>
                  <w:tcW w:w="331" w:type="pct"/>
                  <w:vMerge w:val="continue"/>
                  <w:noWrap w:val="0"/>
                  <w:vAlign w:val="center"/>
                </w:tcPr>
                <w:p w14:paraId="0CC9D02F">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c>
                <w:tcPr>
                  <w:tcW w:w="489" w:type="pct"/>
                  <w:vMerge w:val="continue"/>
                  <w:noWrap w:val="0"/>
                  <w:vAlign w:val="center"/>
                </w:tcPr>
                <w:p w14:paraId="21B9814E">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c>
                <w:tcPr>
                  <w:tcW w:w="878" w:type="pct"/>
                  <w:vMerge w:val="continue"/>
                  <w:noWrap w:val="0"/>
                  <w:vAlign w:val="center"/>
                </w:tcPr>
                <w:p w14:paraId="11986A8E">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p>
              </w:tc>
            </w:tr>
            <w:tr w14:paraId="1996CD4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36" w:type="pct"/>
                  <w:noWrap w:val="0"/>
                  <w:vAlign w:val="center"/>
                </w:tcPr>
                <w:p w14:paraId="4E4E683C">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生活污水</w:t>
                  </w:r>
                </w:p>
              </w:tc>
              <w:tc>
                <w:tcPr>
                  <w:tcW w:w="685" w:type="pct"/>
                  <w:noWrap w:val="0"/>
                  <w:vAlign w:val="center"/>
                </w:tcPr>
                <w:p w14:paraId="106953CD">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rPr>
                    <w:t>pH、COD</w:t>
                  </w:r>
                  <w:r>
                    <w:rPr>
                      <w:rFonts w:hint="default" w:ascii="Times New Roman" w:hAnsi="Times New Roman" w:cs="Times New Roman"/>
                      <w:color w:val="auto"/>
                      <w:kern w:val="2"/>
                      <w:sz w:val="21"/>
                      <w:szCs w:val="21"/>
                      <w:highlight w:val="none"/>
                      <w:vertAlign w:val="subscript"/>
                    </w:rPr>
                    <w:t>Cr</w:t>
                  </w:r>
                  <w:r>
                    <w:rPr>
                      <w:rFonts w:hint="default" w:ascii="Times New Roman" w:hAnsi="Times New Roman" w:cs="Times New Roman"/>
                      <w:color w:val="auto"/>
                      <w:kern w:val="2"/>
                      <w:sz w:val="21"/>
                      <w:szCs w:val="21"/>
                      <w:highlight w:val="none"/>
                    </w:rPr>
                    <w:t>、BOD</w:t>
                  </w:r>
                  <w:r>
                    <w:rPr>
                      <w:rFonts w:hint="default" w:ascii="Times New Roman" w:hAnsi="Times New Roman" w:cs="Times New Roman"/>
                      <w:color w:val="auto"/>
                      <w:kern w:val="2"/>
                      <w:sz w:val="21"/>
                      <w:szCs w:val="21"/>
                      <w:highlight w:val="none"/>
                      <w:vertAlign w:val="subscript"/>
                    </w:rPr>
                    <w:t>5</w:t>
                  </w:r>
                  <w:r>
                    <w:rPr>
                      <w:rFonts w:hint="default" w:ascii="Times New Roman" w:hAnsi="Times New Roman" w:cs="Times New Roman"/>
                      <w:color w:val="auto"/>
                      <w:kern w:val="2"/>
                      <w:sz w:val="21"/>
                      <w:szCs w:val="21"/>
                      <w:highlight w:val="none"/>
                    </w:rPr>
                    <w:t>、SS、氨氮</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总磷、动植物油</w:t>
                  </w:r>
                </w:p>
              </w:tc>
              <w:tc>
                <w:tcPr>
                  <w:tcW w:w="323" w:type="pct"/>
                  <w:vMerge w:val="restart"/>
                  <w:noWrap w:val="0"/>
                  <w:vAlign w:val="center"/>
                </w:tcPr>
                <w:p w14:paraId="019A2EE0">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进入</w:t>
                  </w:r>
                  <w:r>
                    <w:rPr>
                      <w:rFonts w:hint="default" w:ascii="Times New Roman" w:hAnsi="Times New Roman" w:cs="Times New Roman"/>
                      <w:color w:val="auto"/>
                      <w:kern w:val="2"/>
                      <w:sz w:val="21"/>
                      <w:szCs w:val="21"/>
                      <w:highlight w:val="none"/>
                      <w:lang w:val="en-US" w:eastAsia="zh-CN"/>
                    </w:rPr>
                    <w:t>城镇</w:t>
                  </w:r>
                  <w:r>
                    <w:rPr>
                      <w:rFonts w:hint="default" w:ascii="Times New Roman" w:hAnsi="Times New Roman" w:cs="Times New Roman"/>
                      <w:color w:val="auto"/>
                      <w:kern w:val="2"/>
                      <w:sz w:val="21"/>
                      <w:szCs w:val="21"/>
                      <w:highlight w:val="none"/>
                    </w:rPr>
                    <w:t>污水处理厂</w:t>
                  </w:r>
                </w:p>
              </w:tc>
              <w:tc>
                <w:tcPr>
                  <w:tcW w:w="562" w:type="pct"/>
                  <w:vMerge w:val="restart"/>
                  <w:noWrap w:val="0"/>
                  <w:vAlign w:val="center"/>
                </w:tcPr>
                <w:p w14:paraId="2915A113">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间歇排放，流量不稳定，但不属于冲击型排放</w:t>
                  </w:r>
                </w:p>
              </w:tc>
              <w:tc>
                <w:tcPr>
                  <w:tcW w:w="423" w:type="pct"/>
                  <w:noWrap w:val="0"/>
                  <w:vAlign w:val="center"/>
                </w:tcPr>
                <w:p w14:paraId="1029C36C">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TW001</w:t>
                  </w:r>
                </w:p>
              </w:tc>
              <w:tc>
                <w:tcPr>
                  <w:tcW w:w="496" w:type="pct"/>
                  <w:noWrap w:val="0"/>
                  <w:vAlign w:val="center"/>
                </w:tcPr>
                <w:p w14:paraId="2F22DE83">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rPr>
                    <w:t>三级化粪池</w:t>
                  </w:r>
                  <w:r>
                    <w:rPr>
                      <w:rFonts w:hint="default" w:ascii="Times New Roman" w:hAnsi="Times New Roman" w:cs="Times New Roman"/>
                      <w:color w:val="auto"/>
                      <w:kern w:val="2"/>
                      <w:sz w:val="21"/>
                      <w:szCs w:val="21"/>
                      <w:highlight w:val="none"/>
                      <w:lang w:val="en-US" w:eastAsia="zh-CN"/>
                    </w:rPr>
                    <w:t>+隔油隔渣池</w:t>
                  </w:r>
                </w:p>
              </w:tc>
              <w:tc>
                <w:tcPr>
                  <w:tcW w:w="473" w:type="pct"/>
                  <w:noWrap w:val="0"/>
                  <w:vAlign w:val="center"/>
                </w:tcPr>
                <w:p w14:paraId="398CAA17">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化粪池</w:t>
                  </w:r>
                </w:p>
              </w:tc>
              <w:tc>
                <w:tcPr>
                  <w:tcW w:w="331" w:type="pct"/>
                  <w:noWrap w:val="0"/>
                  <w:vAlign w:val="center"/>
                </w:tcPr>
                <w:p w14:paraId="31B16849">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DW001</w:t>
                  </w:r>
                </w:p>
              </w:tc>
              <w:tc>
                <w:tcPr>
                  <w:tcW w:w="489" w:type="pct"/>
                  <w:noWrap w:val="0"/>
                  <w:vAlign w:val="center"/>
                </w:tcPr>
                <w:p w14:paraId="3170A6FA">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52"/>
                  </w:r>
                  <w:r>
                    <w:rPr>
                      <w:rFonts w:hint="default" w:ascii="Times New Roman" w:hAnsi="Times New Roman" w:cs="Times New Roman"/>
                      <w:color w:val="auto"/>
                      <w:sz w:val="21"/>
                      <w:szCs w:val="21"/>
                      <w:highlight w:val="none"/>
                    </w:rPr>
                    <w:t>是</w:t>
                  </w:r>
                </w:p>
                <w:p w14:paraId="72C9F0BA">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否</w:t>
                  </w:r>
                </w:p>
              </w:tc>
              <w:tc>
                <w:tcPr>
                  <w:tcW w:w="878" w:type="pct"/>
                  <w:noWrap w:val="0"/>
                  <w:vAlign w:val="center"/>
                </w:tcPr>
                <w:p w14:paraId="674C26E4">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52"/>
                  </w:r>
                  <w:r>
                    <w:rPr>
                      <w:rFonts w:hint="default" w:ascii="Times New Roman" w:hAnsi="Times New Roman" w:cs="Times New Roman"/>
                      <w:color w:val="auto"/>
                      <w:sz w:val="21"/>
                      <w:szCs w:val="21"/>
                      <w:highlight w:val="none"/>
                    </w:rPr>
                    <w:t>企业总排</w:t>
                  </w:r>
                </w:p>
                <w:p w14:paraId="669A4099">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雨水排放</w:t>
                  </w:r>
                </w:p>
                <w:p w14:paraId="097FC8F0">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清净下水排放</w:t>
                  </w:r>
                </w:p>
                <w:p w14:paraId="77C68917">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温排水排放</w:t>
                  </w:r>
                </w:p>
                <w:p w14:paraId="7B45540F">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车间或车间处理设施排放口</w:t>
                  </w:r>
                </w:p>
              </w:tc>
            </w:tr>
            <w:tr w14:paraId="3BCEC6D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9" w:hRule="atLeast"/>
                <w:jc w:val="center"/>
              </w:trPr>
              <w:tc>
                <w:tcPr>
                  <w:tcW w:w="336" w:type="pct"/>
                  <w:tcBorders>
                    <w:bottom w:val="single" w:color="auto" w:sz="4" w:space="0"/>
                  </w:tcBorders>
                  <w:noWrap w:val="0"/>
                  <w:vAlign w:val="center"/>
                </w:tcPr>
                <w:p w14:paraId="189E0DF0">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eastAsia" w:ascii="Times New Roman" w:hAnsi="Times New Roman" w:cs="Times New Roman"/>
                      <w:color w:val="auto"/>
                      <w:kern w:val="2"/>
                      <w:sz w:val="21"/>
                      <w:szCs w:val="21"/>
                      <w:highlight w:val="none"/>
                      <w:lang w:val="en-US" w:eastAsia="zh-CN"/>
                    </w:rPr>
                    <w:t>外排</w:t>
                  </w:r>
                  <w:r>
                    <w:rPr>
                      <w:rFonts w:hint="default" w:ascii="Times New Roman" w:hAnsi="Times New Roman" w:cs="Times New Roman"/>
                      <w:color w:val="auto"/>
                      <w:kern w:val="2"/>
                      <w:sz w:val="21"/>
                      <w:szCs w:val="21"/>
                      <w:highlight w:val="none"/>
                    </w:rPr>
                    <w:t>生产废水</w:t>
                  </w:r>
                </w:p>
              </w:tc>
              <w:tc>
                <w:tcPr>
                  <w:tcW w:w="685" w:type="pct"/>
                  <w:tcBorders>
                    <w:bottom w:val="single" w:color="auto" w:sz="4" w:space="0"/>
                  </w:tcBorders>
                  <w:noWrap w:val="0"/>
                  <w:vAlign w:val="center"/>
                </w:tcPr>
                <w:p w14:paraId="11CE2D58">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pH、COD</w:t>
                  </w:r>
                  <w:r>
                    <w:rPr>
                      <w:rFonts w:hint="default" w:ascii="Times New Roman" w:hAnsi="Times New Roman" w:cs="Times New Roman"/>
                      <w:color w:val="auto"/>
                      <w:kern w:val="2"/>
                      <w:sz w:val="21"/>
                      <w:szCs w:val="21"/>
                      <w:highlight w:val="none"/>
                      <w:vertAlign w:val="subscript"/>
                    </w:rPr>
                    <w:t>Cr</w:t>
                  </w:r>
                  <w:r>
                    <w:rPr>
                      <w:rFonts w:hint="default" w:ascii="Times New Roman" w:hAnsi="Times New Roman" w:cs="Times New Roman"/>
                      <w:color w:val="auto"/>
                      <w:kern w:val="2"/>
                      <w:sz w:val="21"/>
                      <w:szCs w:val="21"/>
                      <w:highlight w:val="none"/>
                    </w:rPr>
                    <w:t>、</w:t>
                  </w:r>
                  <w:r>
                    <w:rPr>
                      <w:rFonts w:hint="default" w:ascii="Times New Roman" w:hAnsi="Times New Roman" w:cs="Times New Roman"/>
                      <w:color w:val="auto"/>
                      <w:sz w:val="21"/>
                      <w:szCs w:val="21"/>
                      <w:highlight w:val="none"/>
                      <w:lang w:val="en-US" w:eastAsia="zh-CN"/>
                    </w:rPr>
                    <w:t>BOD</w:t>
                  </w:r>
                  <w:r>
                    <w:rPr>
                      <w:rFonts w:hint="default" w:ascii="Times New Roman" w:hAnsi="Times New Roman" w:cs="Times New Roman"/>
                      <w:color w:val="auto"/>
                      <w:sz w:val="21"/>
                      <w:szCs w:val="21"/>
                      <w:highlight w:val="none"/>
                      <w:vertAlign w:val="subscript"/>
                      <w:lang w:val="en-US" w:eastAsia="zh-CN"/>
                    </w:rPr>
                    <w:t>5</w:t>
                  </w:r>
                  <w:r>
                    <w:rPr>
                      <w:rFonts w:hint="default" w:ascii="Times New Roman" w:hAnsi="Times New Roman" w:cs="Times New Roman"/>
                      <w:color w:val="auto"/>
                      <w:sz w:val="21"/>
                      <w:szCs w:val="21"/>
                      <w:highlight w:val="none"/>
                      <w:lang w:val="en-US" w:eastAsia="zh-CN"/>
                    </w:rPr>
                    <w:t>、NH</w:t>
                  </w:r>
                  <w:r>
                    <w:rPr>
                      <w:rFonts w:hint="default" w:ascii="Times New Roman" w:hAnsi="Times New Roman" w:cs="Times New Roman"/>
                      <w:color w:val="auto"/>
                      <w:sz w:val="21"/>
                      <w:szCs w:val="21"/>
                      <w:highlight w:val="none"/>
                      <w:vertAlign w:val="subscript"/>
                      <w:lang w:val="en-US" w:eastAsia="zh-CN"/>
                    </w:rPr>
                    <w:t>3</w:t>
                  </w:r>
                  <w:r>
                    <w:rPr>
                      <w:rFonts w:hint="default" w:ascii="Times New Roman" w:hAnsi="Times New Roman" w:cs="Times New Roman"/>
                      <w:color w:val="auto"/>
                      <w:sz w:val="21"/>
                      <w:szCs w:val="21"/>
                      <w:highlight w:val="none"/>
                      <w:lang w:val="en-US" w:eastAsia="zh-CN"/>
                    </w:rPr>
                    <w:t>-N、</w:t>
                  </w:r>
                  <w:r>
                    <w:rPr>
                      <w:rFonts w:hint="default" w:ascii="Times New Roman" w:hAnsi="Times New Roman" w:cs="Times New Roman"/>
                      <w:color w:val="auto"/>
                      <w:kern w:val="2"/>
                      <w:sz w:val="21"/>
                      <w:szCs w:val="21"/>
                      <w:highlight w:val="none"/>
                    </w:rPr>
                    <w:t>SS、阴离子表面活性剂、氟化物、石油类</w:t>
                  </w:r>
                </w:p>
              </w:tc>
              <w:tc>
                <w:tcPr>
                  <w:tcW w:w="323" w:type="pct"/>
                  <w:vMerge w:val="continue"/>
                  <w:tcBorders>
                    <w:bottom w:val="single" w:color="auto" w:sz="4" w:space="0"/>
                  </w:tcBorders>
                  <w:noWrap w:val="0"/>
                  <w:vAlign w:val="center"/>
                </w:tcPr>
                <w:p w14:paraId="4713FE64">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rPr>
                  </w:pPr>
                </w:p>
              </w:tc>
              <w:tc>
                <w:tcPr>
                  <w:tcW w:w="562" w:type="pct"/>
                  <w:vMerge w:val="continue"/>
                  <w:tcBorders>
                    <w:bottom w:val="single" w:color="auto" w:sz="4" w:space="0"/>
                  </w:tcBorders>
                  <w:noWrap w:val="0"/>
                  <w:vAlign w:val="center"/>
                </w:tcPr>
                <w:p w14:paraId="6EAB5130">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rPr>
                  </w:pPr>
                </w:p>
              </w:tc>
              <w:tc>
                <w:tcPr>
                  <w:tcW w:w="423" w:type="pct"/>
                  <w:tcBorders>
                    <w:bottom w:val="single" w:color="auto" w:sz="4" w:space="0"/>
                  </w:tcBorders>
                  <w:noWrap w:val="0"/>
                  <w:vAlign w:val="center"/>
                </w:tcPr>
                <w:p w14:paraId="4DD074C6">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TW002</w:t>
                  </w:r>
                </w:p>
              </w:tc>
              <w:tc>
                <w:tcPr>
                  <w:tcW w:w="496" w:type="pct"/>
                  <w:tcBorders>
                    <w:bottom w:val="single" w:color="auto" w:sz="4" w:space="0"/>
                  </w:tcBorders>
                  <w:noWrap w:val="0"/>
                  <w:vAlign w:val="center"/>
                </w:tcPr>
                <w:p w14:paraId="71A22464">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废水处理站</w:t>
                  </w:r>
                </w:p>
              </w:tc>
              <w:tc>
                <w:tcPr>
                  <w:tcW w:w="473" w:type="pct"/>
                  <w:tcBorders>
                    <w:bottom w:val="single" w:color="auto" w:sz="4" w:space="0"/>
                  </w:tcBorders>
                  <w:noWrap w:val="0"/>
                  <w:vAlign w:val="center"/>
                </w:tcPr>
                <w:p w14:paraId="27B9F554">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right="0"/>
                    <w:rPr>
                      <w:rFonts w:hint="eastAsia" w:ascii="Times New Roman" w:hAnsi="Times New Roman" w:eastAsia="宋体" w:cs="Times New Roman"/>
                      <w:color w:val="auto"/>
                      <w:kern w:val="2"/>
                      <w:sz w:val="21"/>
                      <w:szCs w:val="21"/>
                      <w:highlight w:val="none"/>
                      <w:lang w:eastAsia="zh-CN"/>
                    </w:rPr>
                  </w:pPr>
                  <w:r>
                    <w:rPr>
                      <w:rFonts w:hint="eastAsia" w:ascii="Times New Roman" w:hAnsi="Times New Roman" w:cs="Times New Roman"/>
                      <w:color w:val="auto"/>
                      <w:kern w:val="2"/>
                      <w:sz w:val="21"/>
                      <w:szCs w:val="21"/>
                      <w:highlight w:val="none"/>
                      <w:lang w:eastAsia="zh-CN"/>
                    </w:rPr>
                    <w:t>中和调节+混凝沉淀+气浮+化学除氟</w:t>
                  </w:r>
                </w:p>
              </w:tc>
              <w:tc>
                <w:tcPr>
                  <w:tcW w:w="331" w:type="pct"/>
                  <w:tcBorders>
                    <w:bottom w:val="single" w:color="auto" w:sz="4" w:space="0"/>
                  </w:tcBorders>
                  <w:noWrap w:val="0"/>
                  <w:vAlign w:val="center"/>
                </w:tcPr>
                <w:p w14:paraId="066B6CD5">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rPr>
                    <w:t>DW00</w:t>
                  </w:r>
                  <w:r>
                    <w:rPr>
                      <w:rFonts w:hint="default" w:ascii="Times New Roman" w:hAnsi="Times New Roman" w:cs="Times New Roman"/>
                      <w:color w:val="auto"/>
                      <w:kern w:val="2"/>
                      <w:sz w:val="21"/>
                      <w:szCs w:val="21"/>
                      <w:highlight w:val="none"/>
                      <w:lang w:val="en-US" w:eastAsia="zh-CN"/>
                    </w:rPr>
                    <w:t>2</w:t>
                  </w:r>
                </w:p>
              </w:tc>
              <w:tc>
                <w:tcPr>
                  <w:tcW w:w="489" w:type="pct"/>
                  <w:tcBorders>
                    <w:bottom w:val="single" w:color="auto" w:sz="4" w:space="0"/>
                  </w:tcBorders>
                  <w:noWrap w:val="0"/>
                  <w:vAlign w:val="center"/>
                </w:tcPr>
                <w:p w14:paraId="28108464">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52"/>
                  </w:r>
                  <w:r>
                    <w:rPr>
                      <w:rFonts w:hint="default" w:ascii="Times New Roman" w:hAnsi="Times New Roman" w:cs="Times New Roman"/>
                      <w:color w:val="auto"/>
                      <w:sz w:val="21"/>
                      <w:szCs w:val="21"/>
                      <w:highlight w:val="none"/>
                    </w:rPr>
                    <w:t>是</w:t>
                  </w:r>
                </w:p>
                <w:p w14:paraId="4D670C1D">
                  <w:pPr>
                    <w:keepNext/>
                    <w:keepLines/>
                    <w:pageBreakBefore w:val="0"/>
                    <w:widowControl w:val="0"/>
                    <w:suppressLineNumbers w:val="0"/>
                    <w:kinsoku/>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否</w:t>
                  </w:r>
                </w:p>
              </w:tc>
              <w:tc>
                <w:tcPr>
                  <w:tcW w:w="878" w:type="pct"/>
                  <w:tcBorders>
                    <w:bottom w:val="single" w:color="auto" w:sz="4" w:space="0"/>
                  </w:tcBorders>
                  <w:noWrap w:val="0"/>
                  <w:vAlign w:val="center"/>
                </w:tcPr>
                <w:p w14:paraId="4386997C">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52"/>
                  </w:r>
                  <w:r>
                    <w:rPr>
                      <w:rFonts w:hint="default" w:ascii="Times New Roman" w:hAnsi="Times New Roman" w:cs="Times New Roman"/>
                      <w:color w:val="auto"/>
                      <w:sz w:val="21"/>
                      <w:szCs w:val="21"/>
                      <w:highlight w:val="none"/>
                    </w:rPr>
                    <w:t>企业总排</w:t>
                  </w:r>
                </w:p>
                <w:p w14:paraId="0EE4ED93">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雨水排放</w:t>
                  </w:r>
                </w:p>
                <w:p w14:paraId="2DB4AF8D">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清净下水排放</w:t>
                  </w:r>
                </w:p>
                <w:p w14:paraId="0FD2A979">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温排水排放</w:t>
                  </w:r>
                </w:p>
                <w:p w14:paraId="5E997A3F">
                  <w:pPr>
                    <w:keepNext/>
                    <w:keepLines/>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left"/>
                    <w:textAlignment w:val="auto"/>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sz w:val="21"/>
                      <w:szCs w:val="21"/>
                      <w:highlight w:val="none"/>
                    </w:rPr>
                    <w:sym w:font="Wingdings 2" w:char="00A3"/>
                  </w:r>
                  <w:r>
                    <w:rPr>
                      <w:rFonts w:hint="default" w:ascii="Times New Roman" w:hAnsi="Times New Roman" w:cs="Times New Roman"/>
                      <w:color w:val="auto"/>
                      <w:sz w:val="21"/>
                      <w:szCs w:val="21"/>
                      <w:highlight w:val="none"/>
                    </w:rPr>
                    <w:t>车间或车间处理设施排放口</w:t>
                  </w:r>
                </w:p>
              </w:tc>
            </w:tr>
          </w:tbl>
          <w:p w14:paraId="4FE1FB87">
            <w:pPr>
              <w:keepNext w:val="0"/>
              <w:keepLines w:val="0"/>
              <w:pageBreakBefore w:val="0"/>
              <w:widowControl w:val="0"/>
              <w:kinsoku/>
              <w:wordWrap/>
              <w:overflowPunct/>
              <w:topLinePunct w:val="0"/>
              <w:autoSpaceDE/>
              <w:autoSpaceDN/>
              <w:bidi w:val="0"/>
              <w:adjustRightInd w:val="0"/>
              <w:snapToGrid/>
              <w:spacing w:line="120" w:lineRule="auto"/>
              <w:jc w:val="center"/>
              <w:textAlignment w:val="auto"/>
              <w:rPr>
                <w:rFonts w:hint="default" w:ascii="Times New Roman" w:hAnsi="Times New Roman" w:eastAsia="宋体" w:cs="Times New Roman"/>
                <w:b/>
                <w:color w:val="auto"/>
                <w:sz w:val="21"/>
                <w:szCs w:val="21"/>
                <w:highlight w:val="none"/>
              </w:rPr>
            </w:pPr>
          </w:p>
          <w:p w14:paraId="676A3A3A">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29</w:t>
            </w:r>
            <w:r>
              <w:rPr>
                <w:rFonts w:hint="default" w:ascii="Times New Roman" w:hAnsi="Times New Roman" w:eastAsia="宋体" w:cs="Times New Roman"/>
                <w:b/>
                <w:bCs/>
                <w:color w:val="auto"/>
                <w:sz w:val="21"/>
                <w:szCs w:val="21"/>
                <w:highlight w:val="none"/>
              </w:rPr>
              <w:t>废水污染物排放执行标准表</w:t>
            </w:r>
          </w:p>
          <w:tbl>
            <w:tblPr>
              <w:tblStyle w:val="48"/>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fixed"/>
              <w:tblCellMar>
                <w:top w:w="0" w:type="dxa"/>
                <w:left w:w="10" w:type="dxa"/>
                <w:bottom w:w="0" w:type="dxa"/>
                <w:right w:w="10" w:type="dxa"/>
              </w:tblCellMar>
            </w:tblPr>
            <w:tblGrid>
              <w:gridCol w:w="386"/>
              <w:gridCol w:w="837"/>
              <w:gridCol w:w="1420"/>
              <w:gridCol w:w="3205"/>
              <w:gridCol w:w="2544"/>
            </w:tblGrid>
            <w:tr w14:paraId="28270E00">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 w:type="dxa"/>
                  <w:bottom w:w="0" w:type="dxa"/>
                  <w:right w:w="10" w:type="dxa"/>
                </w:tblCellMar>
              </w:tblPrEx>
              <w:trPr>
                <w:trHeight w:val="369" w:hRule="atLeast"/>
                <w:jc w:val="center"/>
              </w:trPr>
              <w:tc>
                <w:tcPr>
                  <w:tcW w:w="230" w:type="pct"/>
                  <w:vMerge w:val="restart"/>
                  <w:tcBorders>
                    <w:tl2br w:val="nil"/>
                    <w:tr2bl w:val="nil"/>
                  </w:tcBorders>
                  <w:noWrap w:val="0"/>
                  <w:vAlign w:val="center"/>
                </w:tcPr>
                <w:p w14:paraId="19AF57D4">
                  <w:pPr>
                    <w:pStyle w:val="13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bidi="ar"/>
                    </w:rPr>
                    <w:t>序号</w:t>
                  </w:r>
                </w:p>
              </w:tc>
              <w:tc>
                <w:tcPr>
                  <w:tcW w:w="498" w:type="pct"/>
                  <w:vMerge w:val="restart"/>
                  <w:tcBorders>
                    <w:tl2br w:val="nil"/>
                    <w:tr2bl w:val="nil"/>
                  </w:tcBorders>
                  <w:noWrap w:val="0"/>
                  <w:vAlign w:val="center"/>
                </w:tcPr>
                <w:p w14:paraId="10A7B2A1">
                  <w:pPr>
                    <w:pStyle w:val="13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bidi="ar"/>
                    </w:rPr>
                    <w:t>排放口编号</w:t>
                  </w:r>
                </w:p>
              </w:tc>
              <w:tc>
                <w:tcPr>
                  <w:tcW w:w="846" w:type="pct"/>
                  <w:vMerge w:val="restart"/>
                  <w:tcBorders>
                    <w:tl2br w:val="nil"/>
                    <w:tr2bl w:val="nil"/>
                  </w:tcBorders>
                  <w:noWrap w:val="0"/>
                  <w:vAlign w:val="center"/>
                </w:tcPr>
                <w:p w14:paraId="0D4D451D">
                  <w:pPr>
                    <w:pStyle w:val="13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bidi="ar"/>
                    </w:rPr>
                    <w:t>污染物种类</w:t>
                  </w:r>
                </w:p>
              </w:tc>
              <w:tc>
                <w:tcPr>
                  <w:tcW w:w="3424" w:type="pct"/>
                  <w:gridSpan w:val="2"/>
                  <w:tcBorders>
                    <w:tl2br w:val="nil"/>
                    <w:tr2bl w:val="nil"/>
                  </w:tcBorders>
                  <w:noWrap w:val="0"/>
                  <w:vAlign w:val="center"/>
                </w:tcPr>
                <w:p w14:paraId="6F834ED4">
                  <w:pPr>
                    <w:pStyle w:val="13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bidi="ar"/>
                    </w:rPr>
                    <w:t>国家或地方污染物排放标准及其他按规定商定的排放协议</w:t>
                  </w:r>
                </w:p>
              </w:tc>
            </w:tr>
            <w:tr w14:paraId="2921D07A">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 w:type="dxa"/>
                  <w:bottom w:w="0" w:type="dxa"/>
                  <w:right w:w="10" w:type="dxa"/>
                </w:tblCellMar>
              </w:tblPrEx>
              <w:trPr>
                <w:trHeight w:val="369" w:hRule="atLeast"/>
                <w:jc w:val="center"/>
              </w:trPr>
              <w:tc>
                <w:tcPr>
                  <w:tcW w:w="230" w:type="pct"/>
                  <w:vMerge w:val="continue"/>
                  <w:tcBorders>
                    <w:tl2br w:val="nil"/>
                    <w:tr2bl w:val="nil"/>
                  </w:tcBorders>
                  <w:noWrap w:val="0"/>
                  <w:vAlign w:val="center"/>
                </w:tcPr>
                <w:p w14:paraId="734A2AA2">
                  <w:pPr>
                    <w:pStyle w:val="134"/>
                    <w:spacing w:line="240" w:lineRule="auto"/>
                    <w:rPr>
                      <w:rFonts w:hint="default" w:ascii="Times New Roman" w:hAnsi="Times New Roman" w:eastAsia="宋体" w:cs="Times New Roman"/>
                      <w:b/>
                      <w:bCs/>
                      <w:color w:val="auto"/>
                      <w:sz w:val="21"/>
                      <w:szCs w:val="21"/>
                      <w:highlight w:val="none"/>
                    </w:rPr>
                  </w:pPr>
                </w:p>
              </w:tc>
              <w:tc>
                <w:tcPr>
                  <w:tcW w:w="498" w:type="pct"/>
                  <w:vMerge w:val="continue"/>
                  <w:tcBorders>
                    <w:tl2br w:val="nil"/>
                    <w:tr2bl w:val="nil"/>
                  </w:tcBorders>
                  <w:noWrap w:val="0"/>
                  <w:vAlign w:val="center"/>
                </w:tcPr>
                <w:p w14:paraId="77AC9CED">
                  <w:pPr>
                    <w:pStyle w:val="134"/>
                    <w:spacing w:line="240" w:lineRule="auto"/>
                    <w:rPr>
                      <w:rFonts w:hint="default" w:ascii="Times New Roman" w:hAnsi="Times New Roman" w:eastAsia="宋体" w:cs="Times New Roman"/>
                      <w:b/>
                      <w:bCs/>
                      <w:color w:val="auto"/>
                      <w:sz w:val="21"/>
                      <w:szCs w:val="21"/>
                      <w:highlight w:val="none"/>
                    </w:rPr>
                  </w:pPr>
                </w:p>
              </w:tc>
              <w:tc>
                <w:tcPr>
                  <w:tcW w:w="846" w:type="pct"/>
                  <w:vMerge w:val="continue"/>
                  <w:tcBorders>
                    <w:tl2br w:val="nil"/>
                    <w:tr2bl w:val="nil"/>
                  </w:tcBorders>
                  <w:noWrap w:val="0"/>
                  <w:vAlign w:val="center"/>
                </w:tcPr>
                <w:p w14:paraId="0004DEF6">
                  <w:pPr>
                    <w:pStyle w:val="134"/>
                    <w:spacing w:line="240" w:lineRule="auto"/>
                    <w:rPr>
                      <w:rFonts w:hint="default" w:ascii="Times New Roman" w:hAnsi="Times New Roman" w:eastAsia="宋体" w:cs="Times New Roman"/>
                      <w:b/>
                      <w:bCs/>
                      <w:color w:val="auto"/>
                      <w:sz w:val="21"/>
                      <w:szCs w:val="21"/>
                      <w:highlight w:val="none"/>
                    </w:rPr>
                  </w:pPr>
                </w:p>
              </w:tc>
              <w:tc>
                <w:tcPr>
                  <w:tcW w:w="1909" w:type="pct"/>
                  <w:tcBorders>
                    <w:tl2br w:val="nil"/>
                    <w:tr2bl w:val="nil"/>
                  </w:tcBorders>
                  <w:noWrap w:val="0"/>
                  <w:vAlign w:val="center"/>
                </w:tcPr>
                <w:p w14:paraId="4590BA6E">
                  <w:pPr>
                    <w:pStyle w:val="13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bidi="ar"/>
                    </w:rPr>
                    <w:t>名称</w:t>
                  </w:r>
                </w:p>
              </w:tc>
              <w:tc>
                <w:tcPr>
                  <w:tcW w:w="1515" w:type="pct"/>
                  <w:tcBorders>
                    <w:tl2br w:val="nil"/>
                    <w:tr2bl w:val="nil"/>
                  </w:tcBorders>
                  <w:noWrap w:val="0"/>
                  <w:vAlign w:val="center"/>
                </w:tcPr>
                <w:p w14:paraId="324756F5">
                  <w:pPr>
                    <w:pStyle w:val="134"/>
                    <w:spacing w:line="240" w:lineRule="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bidi="ar"/>
                    </w:rPr>
                    <w:t>浓度限值</w:t>
                  </w:r>
                </w:p>
              </w:tc>
            </w:tr>
            <w:tr w14:paraId="26475811">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 w:type="dxa"/>
                  <w:bottom w:w="0" w:type="dxa"/>
                  <w:right w:w="10" w:type="dxa"/>
                </w:tblCellMar>
              </w:tblPrEx>
              <w:trPr>
                <w:trHeight w:val="369" w:hRule="atLeast"/>
                <w:jc w:val="center"/>
              </w:trPr>
              <w:tc>
                <w:tcPr>
                  <w:tcW w:w="230" w:type="pct"/>
                  <w:tcBorders>
                    <w:tl2br w:val="nil"/>
                    <w:tr2bl w:val="nil"/>
                  </w:tcBorders>
                  <w:noWrap w:val="0"/>
                  <w:vAlign w:val="center"/>
                </w:tcPr>
                <w:p w14:paraId="676CCEC1">
                  <w:pPr>
                    <w:pStyle w:val="134"/>
                    <w:spacing w:line="240" w:lineRule="auto"/>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1</w:t>
                  </w:r>
                </w:p>
              </w:tc>
              <w:tc>
                <w:tcPr>
                  <w:tcW w:w="498" w:type="pct"/>
                  <w:tcBorders>
                    <w:tl2br w:val="nil"/>
                    <w:tr2bl w:val="nil"/>
                  </w:tcBorders>
                  <w:noWrap w:val="0"/>
                  <w:vAlign w:val="center"/>
                </w:tcPr>
                <w:p w14:paraId="2E17CE15">
                  <w:pPr>
                    <w:pStyle w:val="134"/>
                    <w:spacing w:line="240" w:lineRule="auto"/>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DW001</w:t>
                  </w:r>
                </w:p>
              </w:tc>
              <w:tc>
                <w:tcPr>
                  <w:tcW w:w="1420" w:type="dxa"/>
                  <w:tcBorders>
                    <w:tl2br w:val="nil"/>
                    <w:tr2bl w:val="nil"/>
                  </w:tcBorders>
                  <w:noWrap w:val="0"/>
                  <w:vAlign w:val="center"/>
                </w:tcPr>
                <w:p w14:paraId="2D3213E8">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highlight w:val="none"/>
                    </w:rPr>
                  </w:pPr>
                  <w:r>
                    <w:rPr>
                      <w:rFonts w:hint="default" w:ascii="Times New Roman" w:hAnsi="Times New Roman" w:cs="Times New Roman"/>
                      <w:color w:val="auto"/>
                      <w:kern w:val="2"/>
                      <w:sz w:val="21"/>
                      <w:szCs w:val="21"/>
                      <w:highlight w:val="none"/>
                    </w:rPr>
                    <w:t>pH、COD</w:t>
                  </w:r>
                  <w:r>
                    <w:rPr>
                      <w:rFonts w:hint="default" w:ascii="Times New Roman" w:hAnsi="Times New Roman" w:cs="Times New Roman"/>
                      <w:color w:val="auto"/>
                      <w:kern w:val="2"/>
                      <w:sz w:val="21"/>
                      <w:szCs w:val="21"/>
                      <w:highlight w:val="none"/>
                      <w:vertAlign w:val="subscript"/>
                    </w:rPr>
                    <w:t>Cr</w:t>
                  </w:r>
                  <w:r>
                    <w:rPr>
                      <w:rFonts w:hint="default" w:ascii="Times New Roman" w:hAnsi="Times New Roman" w:cs="Times New Roman"/>
                      <w:color w:val="auto"/>
                      <w:kern w:val="2"/>
                      <w:sz w:val="21"/>
                      <w:szCs w:val="21"/>
                      <w:highlight w:val="none"/>
                    </w:rPr>
                    <w:t>、BOD</w:t>
                  </w:r>
                  <w:r>
                    <w:rPr>
                      <w:rFonts w:hint="default" w:ascii="Times New Roman" w:hAnsi="Times New Roman" w:cs="Times New Roman"/>
                      <w:color w:val="auto"/>
                      <w:kern w:val="2"/>
                      <w:sz w:val="21"/>
                      <w:szCs w:val="21"/>
                      <w:highlight w:val="none"/>
                      <w:vertAlign w:val="subscript"/>
                    </w:rPr>
                    <w:t>5</w:t>
                  </w:r>
                  <w:r>
                    <w:rPr>
                      <w:rFonts w:hint="default" w:ascii="Times New Roman" w:hAnsi="Times New Roman" w:cs="Times New Roman"/>
                      <w:color w:val="auto"/>
                      <w:kern w:val="2"/>
                      <w:sz w:val="21"/>
                      <w:szCs w:val="21"/>
                      <w:highlight w:val="none"/>
                    </w:rPr>
                    <w:t>、SS、氨氮</w:t>
                  </w:r>
                  <w:r>
                    <w:rPr>
                      <w:rFonts w:hint="default" w:ascii="Times New Roman" w:hAnsi="Times New Roman" w:cs="Times New Roman"/>
                      <w:color w:val="auto"/>
                      <w:kern w:val="2"/>
                      <w:sz w:val="21"/>
                      <w:szCs w:val="21"/>
                      <w:highlight w:val="none"/>
                      <w:lang w:eastAsia="zh-CN"/>
                    </w:rPr>
                    <w:t>、</w:t>
                  </w:r>
                  <w:r>
                    <w:rPr>
                      <w:rFonts w:hint="default" w:ascii="Times New Roman" w:hAnsi="Times New Roman" w:cs="Times New Roman"/>
                      <w:color w:val="auto"/>
                      <w:kern w:val="2"/>
                      <w:sz w:val="21"/>
                      <w:szCs w:val="21"/>
                      <w:highlight w:val="none"/>
                      <w:lang w:val="en-US" w:eastAsia="zh-CN"/>
                    </w:rPr>
                    <w:t>总磷、动植物油</w:t>
                  </w:r>
                </w:p>
              </w:tc>
              <w:tc>
                <w:tcPr>
                  <w:tcW w:w="1909" w:type="pct"/>
                  <w:tcBorders>
                    <w:tl2br w:val="nil"/>
                    <w:tr2bl w:val="nil"/>
                  </w:tcBorders>
                  <w:noWrap w:val="0"/>
                  <w:vAlign w:val="center"/>
                </w:tcPr>
                <w:p w14:paraId="3CC55A6D">
                  <w:pPr>
                    <w:pStyle w:val="134"/>
                    <w:spacing w:line="240" w:lineRule="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广东省地方标准《水污染物排放限值》（DB44/26-2001）第二时段三级标准</w:t>
                  </w:r>
                  <w:r>
                    <w:rPr>
                      <w:rFonts w:hint="default" w:ascii="Times New Roman" w:hAnsi="Times New Roman" w:eastAsia="宋体" w:cs="Times New Roman"/>
                      <w:color w:val="auto"/>
                      <w:sz w:val="21"/>
                      <w:szCs w:val="21"/>
                      <w:highlight w:val="none"/>
                      <w:lang w:val="en-US" w:eastAsia="zh-CN"/>
                    </w:rPr>
                    <w:t>及</w:t>
                  </w:r>
                  <w:r>
                    <w:rPr>
                      <w:rFonts w:hint="default" w:ascii="Times New Roman" w:hAnsi="Times New Roman" w:eastAsia="宋体" w:cs="Times New Roman"/>
                      <w:color w:val="auto"/>
                      <w:sz w:val="21"/>
                      <w:szCs w:val="21"/>
                      <w:highlight w:val="none"/>
                    </w:rPr>
                    <w:t>园区污水处理厂接管水质要求</w:t>
                  </w:r>
                  <w:r>
                    <w:rPr>
                      <w:rFonts w:hint="default" w:ascii="Times New Roman" w:hAnsi="Times New Roman" w:eastAsia="宋体" w:cs="Times New Roman"/>
                      <w:color w:val="auto"/>
                      <w:sz w:val="21"/>
                      <w:szCs w:val="21"/>
                      <w:highlight w:val="none"/>
                      <w:lang w:val="en-US" w:eastAsia="zh-CN"/>
                    </w:rPr>
                    <w:t>两者较严值</w:t>
                  </w:r>
                </w:p>
              </w:tc>
              <w:tc>
                <w:tcPr>
                  <w:tcW w:w="1515" w:type="pct"/>
                  <w:tcBorders>
                    <w:tl2br w:val="nil"/>
                    <w:tr2bl w:val="nil"/>
                  </w:tcBorders>
                  <w:noWrap w:val="0"/>
                  <w:vAlign w:val="center"/>
                </w:tcPr>
                <w:p w14:paraId="4A1BD55E">
                  <w:pPr>
                    <w:pStyle w:val="134"/>
                    <w:spacing w:line="24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bidi="ar"/>
                    </w:rPr>
                    <w:t>pH6~9，COD</w:t>
                  </w:r>
                  <w:r>
                    <w:rPr>
                      <w:rFonts w:hint="default" w:ascii="Times New Roman" w:hAnsi="Times New Roman" w:eastAsia="宋体" w:cs="Times New Roman"/>
                      <w:color w:val="auto"/>
                      <w:sz w:val="21"/>
                      <w:szCs w:val="21"/>
                      <w:highlight w:val="none"/>
                      <w:vertAlign w:val="subscript"/>
                      <w:lang w:val="en-US" w:eastAsia="zh-CN" w:bidi="ar"/>
                    </w:rPr>
                    <w:t>Cr</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30</w:t>
                  </w:r>
                  <w:r>
                    <w:rPr>
                      <w:rFonts w:hint="default" w:ascii="Times New Roman" w:hAnsi="Times New Roman" w:eastAsia="宋体" w:cs="Times New Roman"/>
                      <w:color w:val="auto"/>
                      <w:sz w:val="21"/>
                      <w:szCs w:val="21"/>
                      <w:highlight w:val="none"/>
                      <w:lang w:bidi="ar"/>
                    </w:rPr>
                    <w:t>0mg/L，BOD</w:t>
                  </w:r>
                  <w:r>
                    <w:rPr>
                      <w:rFonts w:hint="default" w:ascii="Times New Roman" w:hAnsi="Times New Roman" w:eastAsia="宋体" w:cs="Times New Roman"/>
                      <w:color w:val="auto"/>
                      <w:sz w:val="21"/>
                      <w:szCs w:val="21"/>
                      <w:highlight w:val="none"/>
                      <w:vertAlign w:val="subscript"/>
                      <w:lang w:bidi="ar"/>
                    </w:rPr>
                    <w:t>5</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150</w:t>
                  </w:r>
                  <w:r>
                    <w:rPr>
                      <w:rFonts w:hint="default" w:ascii="Times New Roman" w:hAnsi="Times New Roman" w:eastAsia="宋体" w:cs="Times New Roman"/>
                      <w:color w:val="auto"/>
                      <w:sz w:val="21"/>
                      <w:szCs w:val="21"/>
                      <w:highlight w:val="none"/>
                      <w:lang w:bidi="ar"/>
                    </w:rPr>
                    <w:t>mg/L，SS≤</w:t>
                  </w:r>
                  <w:r>
                    <w:rPr>
                      <w:rFonts w:hint="default" w:ascii="Times New Roman" w:hAnsi="Times New Roman" w:eastAsia="宋体" w:cs="Times New Roman"/>
                      <w:color w:val="auto"/>
                      <w:sz w:val="21"/>
                      <w:szCs w:val="21"/>
                      <w:highlight w:val="none"/>
                      <w:lang w:val="en-US" w:eastAsia="zh-CN" w:bidi="ar"/>
                    </w:rPr>
                    <w:t>25</w:t>
                  </w:r>
                  <w:r>
                    <w:rPr>
                      <w:rFonts w:hint="default" w:ascii="Times New Roman" w:hAnsi="Times New Roman" w:eastAsia="宋体" w:cs="Times New Roman"/>
                      <w:color w:val="auto"/>
                      <w:sz w:val="21"/>
                      <w:szCs w:val="21"/>
                      <w:highlight w:val="none"/>
                      <w:lang w:bidi="ar"/>
                    </w:rPr>
                    <w:t>0mg/L</w:t>
                  </w:r>
                  <w:r>
                    <w:rPr>
                      <w:rFonts w:hint="default" w:ascii="Times New Roman" w:hAnsi="Times New Roman" w:eastAsia="宋体" w:cs="Times New Roman"/>
                      <w:color w:val="auto"/>
                      <w:sz w:val="21"/>
                      <w:szCs w:val="21"/>
                      <w:highlight w:val="none"/>
                      <w:lang w:eastAsia="zh-CN" w:bidi="ar"/>
                    </w:rPr>
                    <w:t>，</w:t>
                  </w:r>
                  <w:r>
                    <w:rPr>
                      <w:rFonts w:hint="default" w:ascii="Times New Roman" w:hAnsi="Times New Roman" w:eastAsia="宋体" w:cs="Times New Roman"/>
                      <w:color w:val="auto"/>
                      <w:sz w:val="21"/>
                      <w:szCs w:val="21"/>
                      <w:highlight w:val="none"/>
                      <w:lang w:bidi="ar"/>
                    </w:rPr>
                    <w:t>NH</w:t>
                  </w:r>
                  <w:r>
                    <w:rPr>
                      <w:rFonts w:hint="default" w:ascii="Times New Roman" w:hAnsi="Times New Roman" w:eastAsia="宋体" w:cs="Times New Roman"/>
                      <w:color w:val="auto"/>
                      <w:sz w:val="21"/>
                      <w:szCs w:val="21"/>
                      <w:highlight w:val="none"/>
                      <w:vertAlign w:val="subscript"/>
                      <w:lang w:bidi="ar"/>
                    </w:rPr>
                    <w:t>3</w:t>
                  </w:r>
                  <w:r>
                    <w:rPr>
                      <w:rFonts w:hint="default" w:ascii="Times New Roman" w:hAnsi="Times New Roman" w:eastAsia="宋体" w:cs="Times New Roman"/>
                      <w:color w:val="auto"/>
                      <w:sz w:val="21"/>
                      <w:szCs w:val="21"/>
                      <w:highlight w:val="none"/>
                      <w:lang w:bidi="ar"/>
                    </w:rPr>
                    <w:t>-N≤</w:t>
                  </w:r>
                  <w:r>
                    <w:rPr>
                      <w:rFonts w:hint="default" w:ascii="Times New Roman" w:hAnsi="Times New Roman" w:eastAsia="宋体" w:cs="Times New Roman"/>
                      <w:color w:val="auto"/>
                      <w:sz w:val="21"/>
                      <w:szCs w:val="21"/>
                      <w:highlight w:val="none"/>
                      <w:lang w:val="en-US" w:eastAsia="zh-CN" w:bidi="ar"/>
                    </w:rPr>
                    <w:t>40</w:t>
                  </w:r>
                  <w:r>
                    <w:rPr>
                      <w:rFonts w:hint="default" w:ascii="Times New Roman" w:hAnsi="Times New Roman" w:eastAsia="宋体" w:cs="Times New Roman"/>
                      <w:color w:val="auto"/>
                      <w:sz w:val="21"/>
                      <w:szCs w:val="21"/>
                      <w:highlight w:val="none"/>
                      <w:lang w:bidi="ar"/>
                    </w:rPr>
                    <w:t>mg/L</w:t>
                  </w:r>
                  <w:r>
                    <w:rPr>
                      <w:rFonts w:hint="default" w:ascii="Times New Roman" w:hAnsi="Times New Roman" w:eastAsia="宋体" w:cs="Times New Roman"/>
                      <w:color w:val="auto"/>
                      <w:sz w:val="21"/>
                      <w:szCs w:val="21"/>
                      <w:highlight w:val="none"/>
                      <w:lang w:eastAsia="zh-CN" w:bidi="ar"/>
                    </w:rPr>
                    <w:t>，</w:t>
                  </w:r>
                  <w:r>
                    <w:rPr>
                      <w:rFonts w:hint="default" w:ascii="Times New Roman" w:hAnsi="Times New Roman" w:eastAsia="宋体" w:cs="Times New Roman"/>
                      <w:color w:val="auto"/>
                      <w:sz w:val="21"/>
                      <w:szCs w:val="21"/>
                      <w:highlight w:val="none"/>
                      <w:lang w:val="en-US" w:eastAsia="zh-CN" w:bidi="ar"/>
                    </w:rPr>
                    <w:t>动植物油</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100</w:t>
                  </w:r>
                  <w:r>
                    <w:rPr>
                      <w:rFonts w:hint="default" w:ascii="Times New Roman" w:hAnsi="Times New Roman" w:eastAsia="宋体" w:cs="Times New Roman"/>
                      <w:color w:val="auto"/>
                      <w:sz w:val="21"/>
                      <w:szCs w:val="21"/>
                      <w:highlight w:val="none"/>
                      <w:lang w:bidi="ar"/>
                    </w:rPr>
                    <w:t>mg/L</w:t>
                  </w:r>
                </w:p>
              </w:tc>
            </w:tr>
            <w:tr w14:paraId="1E02EBD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 w:type="dxa"/>
                  <w:bottom w:w="0" w:type="dxa"/>
                  <w:right w:w="10" w:type="dxa"/>
                </w:tblCellMar>
              </w:tblPrEx>
              <w:trPr>
                <w:trHeight w:val="369" w:hRule="atLeast"/>
                <w:jc w:val="center"/>
              </w:trPr>
              <w:tc>
                <w:tcPr>
                  <w:tcW w:w="230" w:type="pct"/>
                  <w:tcBorders>
                    <w:tl2br w:val="nil"/>
                    <w:tr2bl w:val="nil"/>
                  </w:tcBorders>
                  <w:noWrap w:val="0"/>
                  <w:vAlign w:val="center"/>
                </w:tcPr>
                <w:p w14:paraId="0496E306">
                  <w:pPr>
                    <w:pStyle w:val="134"/>
                    <w:spacing w:line="240" w:lineRule="auto"/>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2</w:t>
                  </w:r>
                </w:p>
              </w:tc>
              <w:tc>
                <w:tcPr>
                  <w:tcW w:w="498" w:type="pct"/>
                  <w:tcBorders>
                    <w:tl2br w:val="nil"/>
                    <w:tr2bl w:val="nil"/>
                  </w:tcBorders>
                  <w:noWrap w:val="0"/>
                  <w:vAlign w:val="center"/>
                </w:tcPr>
                <w:p w14:paraId="79C54021">
                  <w:pPr>
                    <w:pStyle w:val="134"/>
                    <w:spacing w:line="240" w:lineRule="auto"/>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color w:val="auto"/>
                      <w:sz w:val="21"/>
                      <w:szCs w:val="21"/>
                      <w:highlight w:val="none"/>
                      <w:lang w:bidi="ar"/>
                    </w:rPr>
                    <w:t>DW00</w:t>
                  </w:r>
                  <w:r>
                    <w:rPr>
                      <w:rFonts w:hint="default" w:ascii="Times New Roman" w:hAnsi="Times New Roman" w:eastAsia="宋体" w:cs="Times New Roman"/>
                      <w:color w:val="auto"/>
                      <w:sz w:val="21"/>
                      <w:szCs w:val="21"/>
                      <w:highlight w:val="none"/>
                      <w:lang w:val="en-US" w:eastAsia="zh-CN" w:bidi="ar"/>
                    </w:rPr>
                    <w:t>2</w:t>
                  </w:r>
                </w:p>
              </w:tc>
              <w:tc>
                <w:tcPr>
                  <w:tcW w:w="1420" w:type="dxa"/>
                  <w:tcBorders>
                    <w:tl2br w:val="nil"/>
                    <w:tr2bl w:val="nil"/>
                  </w:tcBorders>
                  <w:noWrap w:val="0"/>
                  <w:vAlign w:val="center"/>
                </w:tcPr>
                <w:p w14:paraId="76CF8A0A">
                  <w:pPr>
                    <w:pStyle w:val="109"/>
                    <w:keepNext/>
                    <w:keepLines/>
                    <w:pageBreakBefore w:val="0"/>
                    <w:widowControl w:val="0"/>
                    <w:suppressLineNumbers w:val="0"/>
                    <w:tabs>
                      <w:tab w:val="left" w:pos="-2848"/>
                    </w:tabs>
                    <w:kinsoku/>
                    <w:overflowPunct/>
                    <w:topLinePunct w:val="0"/>
                    <w:bidi w:val="0"/>
                    <w:adjustRightInd w:val="0"/>
                    <w:snapToGrid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rPr>
                    <w:t>pH、COD</w:t>
                  </w:r>
                  <w:r>
                    <w:rPr>
                      <w:rFonts w:hint="default" w:ascii="Times New Roman" w:hAnsi="Times New Roman" w:cs="Times New Roman"/>
                      <w:color w:val="auto"/>
                      <w:kern w:val="2"/>
                      <w:sz w:val="21"/>
                      <w:szCs w:val="21"/>
                      <w:highlight w:val="none"/>
                      <w:vertAlign w:val="subscript"/>
                    </w:rPr>
                    <w:t>Cr</w:t>
                  </w:r>
                  <w:r>
                    <w:rPr>
                      <w:rFonts w:hint="default" w:ascii="Times New Roman" w:hAnsi="Times New Roman" w:cs="Times New Roman"/>
                      <w:color w:val="auto"/>
                      <w:kern w:val="2"/>
                      <w:sz w:val="21"/>
                      <w:szCs w:val="21"/>
                      <w:highlight w:val="none"/>
                    </w:rPr>
                    <w:t>、</w:t>
                  </w:r>
                  <w:r>
                    <w:rPr>
                      <w:rFonts w:hint="default" w:ascii="Times New Roman" w:hAnsi="Times New Roman" w:cs="Times New Roman"/>
                      <w:color w:val="auto"/>
                      <w:sz w:val="21"/>
                      <w:szCs w:val="21"/>
                      <w:highlight w:val="none"/>
                      <w:lang w:val="en-US" w:eastAsia="zh-CN"/>
                    </w:rPr>
                    <w:t>BOD</w:t>
                  </w:r>
                  <w:r>
                    <w:rPr>
                      <w:rFonts w:hint="default" w:ascii="Times New Roman" w:hAnsi="Times New Roman" w:cs="Times New Roman"/>
                      <w:color w:val="auto"/>
                      <w:sz w:val="21"/>
                      <w:szCs w:val="21"/>
                      <w:highlight w:val="none"/>
                      <w:vertAlign w:val="subscript"/>
                      <w:lang w:val="en-US" w:eastAsia="zh-CN"/>
                    </w:rPr>
                    <w:t>5</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kern w:val="2"/>
                      <w:sz w:val="21"/>
                      <w:szCs w:val="21"/>
                      <w:highlight w:val="none"/>
                    </w:rPr>
                    <w:t>SS、</w:t>
                  </w:r>
                  <w:r>
                    <w:rPr>
                      <w:rFonts w:hint="default" w:ascii="Times New Roman" w:hAnsi="Times New Roman" w:cs="Times New Roman"/>
                      <w:color w:val="auto"/>
                      <w:sz w:val="21"/>
                      <w:szCs w:val="21"/>
                      <w:highlight w:val="none"/>
                      <w:lang w:val="en-US" w:eastAsia="zh-CN"/>
                    </w:rPr>
                    <w:t>NH</w:t>
                  </w:r>
                  <w:r>
                    <w:rPr>
                      <w:rFonts w:hint="default" w:ascii="Times New Roman" w:hAnsi="Times New Roman" w:cs="Times New Roman"/>
                      <w:color w:val="auto"/>
                      <w:sz w:val="21"/>
                      <w:szCs w:val="21"/>
                      <w:highlight w:val="none"/>
                      <w:vertAlign w:val="subscript"/>
                      <w:lang w:val="en-US" w:eastAsia="zh-CN"/>
                    </w:rPr>
                    <w:t>3</w:t>
                  </w:r>
                  <w:r>
                    <w:rPr>
                      <w:rFonts w:hint="default" w:ascii="Times New Roman" w:hAnsi="Times New Roman" w:cs="Times New Roman"/>
                      <w:color w:val="auto"/>
                      <w:sz w:val="21"/>
                      <w:szCs w:val="21"/>
                      <w:highlight w:val="none"/>
                      <w:lang w:val="en-US" w:eastAsia="zh-CN"/>
                    </w:rPr>
                    <w:t>-N、</w:t>
                  </w:r>
                  <w:r>
                    <w:rPr>
                      <w:rFonts w:hint="default" w:ascii="Times New Roman" w:hAnsi="Times New Roman" w:cs="Times New Roman"/>
                      <w:color w:val="auto"/>
                      <w:kern w:val="2"/>
                      <w:sz w:val="21"/>
                      <w:szCs w:val="21"/>
                      <w:highlight w:val="none"/>
                    </w:rPr>
                    <w:t>氟化物、</w:t>
                  </w:r>
                  <w:r>
                    <w:rPr>
                      <w:rFonts w:hint="eastAsia" w:ascii="Times New Roman" w:hAnsi="Times New Roman" w:cs="Times New Roman"/>
                      <w:color w:val="auto"/>
                      <w:kern w:val="2"/>
                      <w:sz w:val="21"/>
                      <w:szCs w:val="21"/>
                      <w:highlight w:val="none"/>
                      <w:lang w:val="en-US" w:eastAsia="zh-CN"/>
                    </w:rPr>
                    <w:t>TP、TN、</w:t>
                  </w:r>
                  <w:r>
                    <w:rPr>
                      <w:rFonts w:hint="default" w:ascii="Times New Roman" w:hAnsi="Times New Roman" w:cs="Times New Roman"/>
                      <w:color w:val="auto"/>
                      <w:kern w:val="2"/>
                      <w:sz w:val="21"/>
                      <w:szCs w:val="21"/>
                      <w:highlight w:val="none"/>
                    </w:rPr>
                    <w:t>阴离子表面活性剂、</w:t>
                  </w:r>
                  <w:r>
                    <w:rPr>
                      <w:rFonts w:hint="eastAsia" w:ascii="Times New Roman" w:hAnsi="Times New Roman" w:cs="Times New Roman"/>
                      <w:color w:val="auto"/>
                      <w:kern w:val="2"/>
                      <w:sz w:val="21"/>
                      <w:szCs w:val="21"/>
                      <w:highlight w:val="none"/>
                      <w:lang w:val="en-US" w:eastAsia="zh-CN"/>
                    </w:rPr>
                    <w:t>总铝、</w:t>
                  </w:r>
                  <w:r>
                    <w:rPr>
                      <w:rFonts w:hint="default" w:ascii="Times New Roman" w:hAnsi="Times New Roman" w:cs="Times New Roman"/>
                      <w:color w:val="auto"/>
                      <w:kern w:val="2"/>
                      <w:sz w:val="21"/>
                      <w:szCs w:val="21"/>
                      <w:highlight w:val="none"/>
                    </w:rPr>
                    <w:t>石油类</w:t>
                  </w:r>
                </w:p>
              </w:tc>
              <w:tc>
                <w:tcPr>
                  <w:tcW w:w="1909" w:type="pct"/>
                  <w:tcBorders>
                    <w:tl2br w:val="nil"/>
                    <w:tr2bl w:val="nil"/>
                  </w:tcBorders>
                  <w:noWrap w:val="0"/>
                  <w:vAlign w:val="center"/>
                </w:tcPr>
                <w:p w14:paraId="69349304">
                  <w:pPr>
                    <w:pStyle w:val="134"/>
                    <w:spacing w:line="240" w:lineRule="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园区污水处理厂接管水质要求、广东省《水污染物排放限值》（DB44/26-2001）第二时段三级标准以及《电镀水污染物排放标准》（DB44/1597-2015）</w:t>
                  </w:r>
                  <w:r>
                    <w:rPr>
                      <w:rFonts w:hint="default" w:ascii="Times New Roman" w:hAnsi="Times New Roman" w:cs="Times New Roman"/>
                      <w:i w:val="0"/>
                      <w:iCs w:val="0"/>
                      <w:color w:val="auto"/>
                      <w:kern w:val="0"/>
                      <w:sz w:val="21"/>
                      <w:szCs w:val="21"/>
                      <w:u w:val="none"/>
                      <w:lang w:val="en-US" w:eastAsia="zh-CN" w:bidi="ar"/>
                    </w:rPr>
                    <w:t>表1现有项目水污染物非珠三角排放限值200%（其中总铝按表2新建项目水污染物排放限值-非珠三角地区执行）</w:t>
                  </w:r>
                  <w:r>
                    <w:rPr>
                      <w:rFonts w:hint="default" w:ascii="Times New Roman" w:hAnsi="Times New Roman" w:eastAsia="宋体" w:cs="Times New Roman"/>
                      <w:i w:val="0"/>
                      <w:iCs w:val="0"/>
                      <w:color w:val="auto"/>
                      <w:kern w:val="0"/>
                      <w:sz w:val="21"/>
                      <w:szCs w:val="21"/>
                      <w:u w:val="none"/>
                      <w:lang w:val="en-US" w:eastAsia="zh-CN" w:bidi="ar"/>
                    </w:rPr>
                    <w:t>三者较严值要求</w:t>
                  </w:r>
                </w:p>
              </w:tc>
              <w:tc>
                <w:tcPr>
                  <w:tcW w:w="1515" w:type="pct"/>
                  <w:tcBorders>
                    <w:tl2br w:val="nil"/>
                    <w:tr2bl w:val="nil"/>
                  </w:tcBorders>
                  <w:noWrap w:val="0"/>
                  <w:vAlign w:val="center"/>
                </w:tcPr>
                <w:p w14:paraId="7753AF04">
                  <w:pPr>
                    <w:pStyle w:val="134"/>
                    <w:spacing w:line="240" w:lineRule="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bidi="ar"/>
                    </w:rPr>
                    <w:t>pH6~9，COD</w:t>
                  </w:r>
                  <w:r>
                    <w:rPr>
                      <w:rFonts w:hint="default" w:ascii="Times New Roman" w:hAnsi="Times New Roman" w:eastAsia="宋体" w:cs="Times New Roman"/>
                      <w:color w:val="auto"/>
                      <w:sz w:val="21"/>
                      <w:szCs w:val="21"/>
                      <w:highlight w:val="none"/>
                      <w:vertAlign w:val="subscript"/>
                      <w:lang w:val="en-US" w:eastAsia="zh-CN" w:bidi="ar"/>
                    </w:rPr>
                    <w:t>Cr</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8</w:t>
                  </w:r>
                  <w:r>
                    <w:rPr>
                      <w:rFonts w:hint="default" w:ascii="Times New Roman" w:hAnsi="Times New Roman" w:eastAsia="宋体" w:cs="Times New Roman"/>
                      <w:color w:val="auto"/>
                      <w:sz w:val="21"/>
                      <w:szCs w:val="21"/>
                      <w:highlight w:val="none"/>
                      <w:lang w:bidi="ar"/>
                    </w:rPr>
                    <w:t>0mg/L，</w:t>
                  </w:r>
                  <w:r>
                    <w:rPr>
                      <w:rFonts w:hint="default" w:ascii="Times New Roman" w:hAnsi="Times New Roman" w:cs="Times New Roman"/>
                      <w:color w:val="auto"/>
                      <w:sz w:val="21"/>
                      <w:szCs w:val="21"/>
                      <w:highlight w:val="none"/>
                      <w:lang w:val="en-US" w:eastAsia="zh-CN"/>
                    </w:rPr>
                    <w:t>BOD</w:t>
                  </w:r>
                  <w:r>
                    <w:rPr>
                      <w:rFonts w:hint="default" w:ascii="Times New Roman" w:hAnsi="Times New Roman" w:cs="Times New Roman"/>
                      <w:color w:val="auto"/>
                      <w:sz w:val="21"/>
                      <w:szCs w:val="21"/>
                      <w:highlight w:val="none"/>
                      <w:vertAlign w:val="subscript"/>
                      <w:lang w:val="en-US" w:eastAsia="zh-CN"/>
                    </w:rPr>
                    <w:t>5</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15</w:t>
                  </w:r>
                  <w:r>
                    <w:rPr>
                      <w:rFonts w:hint="default" w:ascii="Times New Roman" w:hAnsi="Times New Roman" w:eastAsia="宋体" w:cs="Times New Roman"/>
                      <w:color w:val="auto"/>
                      <w:sz w:val="21"/>
                      <w:szCs w:val="21"/>
                      <w:highlight w:val="none"/>
                      <w:lang w:bidi="ar"/>
                    </w:rPr>
                    <w:t>0mg/L</w:t>
                  </w:r>
                  <w:r>
                    <w:rPr>
                      <w:rFonts w:hint="default" w:ascii="Times New Roman" w:hAnsi="Times New Roman" w:cs="Times New Roman"/>
                      <w:color w:val="auto"/>
                      <w:sz w:val="21"/>
                      <w:szCs w:val="21"/>
                      <w:highlight w:val="none"/>
                      <w:lang w:val="en-US" w:eastAsia="zh-CN"/>
                    </w:rPr>
                    <w:t>、NH</w:t>
                  </w:r>
                  <w:r>
                    <w:rPr>
                      <w:rFonts w:hint="default" w:ascii="Times New Roman" w:hAnsi="Times New Roman" w:cs="Times New Roman"/>
                      <w:color w:val="auto"/>
                      <w:sz w:val="21"/>
                      <w:szCs w:val="21"/>
                      <w:highlight w:val="none"/>
                      <w:vertAlign w:val="subscript"/>
                      <w:lang w:val="en-US" w:eastAsia="zh-CN"/>
                    </w:rPr>
                    <w:t>3</w:t>
                  </w:r>
                  <w:r>
                    <w:rPr>
                      <w:rFonts w:hint="default" w:ascii="Times New Roman" w:hAnsi="Times New Roman" w:cs="Times New Roman"/>
                      <w:color w:val="auto"/>
                      <w:sz w:val="21"/>
                      <w:szCs w:val="21"/>
                      <w:highlight w:val="none"/>
                      <w:lang w:val="en-US" w:eastAsia="zh-CN"/>
                    </w:rPr>
                    <w:t>-N</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15</w:t>
                  </w:r>
                  <w:r>
                    <w:rPr>
                      <w:rFonts w:hint="default" w:ascii="Times New Roman" w:hAnsi="Times New Roman" w:eastAsia="宋体" w:cs="Times New Roman"/>
                      <w:color w:val="auto"/>
                      <w:sz w:val="21"/>
                      <w:szCs w:val="21"/>
                      <w:highlight w:val="none"/>
                      <w:lang w:bidi="ar"/>
                    </w:rPr>
                    <w:t>mg/L</w:t>
                  </w:r>
                  <w:r>
                    <w:rPr>
                      <w:rFonts w:hint="default" w:ascii="Times New Roman" w:hAns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bidi="ar"/>
                    </w:rPr>
                    <w:t>SS≤</w:t>
                  </w:r>
                  <w:r>
                    <w:rPr>
                      <w:rFonts w:hint="default" w:ascii="Times New Roman" w:hAnsi="Times New Roman" w:eastAsia="宋体" w:cs="Times New Roman"/>
                      <w:color w:val="auto"/>
                      <w:sz w:val="21"/>
                      <w:szCs w:val="21"/>
                      <w:highlight w:val="none"/>
                      <w:lang w:val="en-US" w:eastAsia="zh-CN" w:bidi="ar"/>
                    </w:rPr>
                    <w:t>3</w:t>
                  </w:r>
                  <w:r>
                    <w:rPr>
                      <w:rFonts w:hint="default" w:ascii="Times New Roman" w:hAnsi="Times New Roman" w:eastAsia="宋体" w:cs="Times New Roman"/>
                      <w:color w:val="auto"/>
                      <w:sz w:val="21"/>
                      <w:szCs w:val="21"/>
                      <w:highlight w:val="none"/>
                      <w:lang w:bidi="ar"/>
                    </w:rPr>
                    <w:t>0mg/L</w:t>
                  </w:r>
                  <w:r>
                    <w:rPr>
                      <w:rFonts w:hint="default" w:ascii="Times New Roman" w:hAnsi="Times New Roman" w:eastAsia="宋体" w:cs="Times New Roman"/>
                      <w:color w:val="auto"/>
                      <w:sz w:val="21"/>
                      <w:szCs w:val="21"/>
                      <w:highlight w:val="none"/>
                      <w:lang w:eastAsia="zh-CN" w:bidi="ar"/>
                    </w:rPr>
                    <w:t>，氟化物</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10</w:t>
                  </w:r>
                  <w:r>
                    <w:rPr>
                      <w:rFonts w:hint="default" w:ascii="Times New Roman" w:hAnsi="Times New Roman" w:eastAsia="宋体" w:cs="Times New Roman"/>
                      <w:color w:val="auto"/>
                      <w:sz w:val="21"/>
                      <w:szCs w:val="21"/>
                      <w:highlight w:val="none"/>
                      <w:lang w:bidi="ar"/>
                    </w:rPr>
                    <w:t>mg/L</w:t>
                  </w:r>
                  <w:r>
                    <w:rPr>
                      <w:rFonts w:hint="default" w:ascii="Times New Roman" w:hAnsi="Times New Roman" w:eastAsia="宋体" w:cs="Times New Roman"/>
                      <w:color w:val="auto"/>
                      <w:sz w:val="21"/>
                      <w:szCs w:val="21"/>
                      <w:highlight w:val="none"/>
                      <w:lang w:val="en-US" w:eastAsia="zh-CN" w:bidi="ar"/>
                    </w:rPr>
                    <w:t>，</w:t>
                  </w:r>
                  <w:r>
                    <w:rPr>
                      <w:rFonts w:hint="default" w:ascii="Times New Roman" w:hAnsi="Times New Roman" w:eastAsia="Arial" w:cs="Times New Roman"/>
                      <w:color w:val="auto"/>
                      <w:sz w:val="21"/>
                      <w:szCs w:val="21"/>
                    </w:rPr>
                    <w:t>总磷 mg/L</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2.0</w:t>
                  </w:r>
                  <w:r>
                    <w:rPr>
                      <w:rFonts w:hint="default" w:ascii="Times New Roman" w:hAnsi="Times New Roman" w:eastAsia="宋体" w:cs="Times New Roman"/>
                      <w:color w:val="auto"/>
                      <w:sz w:val="21"/>
                      <w:szCs w:val="21"/>
                      <w:highlight w:val="none"/>
                      <w:lang w:bidi="ar"/>
                    </w:rPr>
                    <w:t>mg/L</w:t>
                  </w:r>
                  <w:r>
                    <w:rPr>
                      <w:rFonts w:hint="default" w:ascii="Times New Roman" w:hAnsi="Times New Roman" w:cs="Times New Roman"/>
                      <w:color w:val="auto"/>
                      <w:sz w:val="21"/>
                      <w:szCs w:val="21"/>
                      <w:highlight w:val="none"/>
                      <w:lang w:eastAsia="zh-CN" w:bidi="ar"/>
                    </w:rPr>
                    <w:t>、</w:t>
                  </w:r>
                  <w:r>
                    <w:rPr>
                      <w:rFonts w:hint="default" w:ascii="Times New Roman" w:hAnsi="Times New Roman" w:cs="Times New Roman"/>
                      <w:color w:val="auto"/>
                      <w:sz w:val="21"/>
                      <w:szCs w:val="21"/>
                      <w:highlight w:val="none"/>
                      <w:lang w:val="en-US" w:eastAsia="zh-CN" w:bidi="ar"/>
                    </w:rPr>
                    <w:t>TN</w:t>
                  </w:r>
                  <w:r>
                    <w:rPr>
                      <w:rFonts w:hint="default" w:ascii="Times New Roman" w:hAnsi="Times New Roman" w:eastAsia="宋体" w:cs="Times New Roman"/>
                      <w:color w:val="auto"/>
                      <w:sz w:val="21"/>
                      <w:szCs w:val="21"/>
                      <w:highlight w:val="none"/>
                      <w:lang w:bidi="ar"/>
                    </w:rPr>
                    <w:t>≤</w:t>
                  </w:r>
                  <w:r>
                    <w:rPr>
                      <w:rFonts w:hint="default" w:ascii="Times New Roman" w:hAnsi="Times New Roman" w:cs="Times New Roman"/>
                      <w:color w:val="auto"/>
                      <w:sz w:val="21"/>
                      <w:szCs w:val="21"/>
                      <w:highlight w:val="none"/>
                      <w:lang w:val="en-US" w:eastAsia="zh-CN" w:bidi="ar"/>
                    </w:rPr>
                    <w:t>4</w:t>
                  </w:r>
                  <w:r>
                    <w:rPr>
                      <w:rFonts w:hint="default" w:ascii="Times New Roman" w:hAnsi="Times New Roman" w:eastAsia="宋体" w:cs="Times New Roman"/>
                      <w:color w:val="auto"/>
                      <w:sz w:val="21"/>
                      <w:szCs w:val="21"/>
                      <w:highlight w:val="none"/>
                      <w:lang w:val="en-US" w:eastAsia="zh-CN" w:bidi="ar"/>
                    </w:rPr>
                    <w:t>0</w:t>
                  </w:r>
                  <w:r>
                    <w:rPr>
                      <w:rFonts w:hint="default" w:ascii="Times New Roman" w:hAnsi="Times New Roman" w:eastAsia="宋体" w:cs="Times New Roman"/>
                      <w:color w:val="auto"/>
                      <w:sz w:val="21"/>
                      <w:szCs w:val="21"/>
                      <w:highlight w:val="none"/>
                      <w:lang w:bidi="ar"/>
                    </w:rPr>
                    <w:t>mg/L</w:t>
                  </w:r>
                  <w:r>
                    <w:rPr>
                      <w:rFonts w:hint="default" w:ascii="Times New Roman" w:hAnsi="Times New Roman" w:cs="Times New Roman"/>
                      <w:color w:val="auto"/>
                      <w:sz w:val="21"/>
                      <w:szCs w:val="21"/>
                      <w:highlight w:val="none"/>
                      <w:lang w:eastAsia="zh-CN" w:bidi="ar"/>
                    </w:rPr>
                    <w:t>、</w:t>
                  </w:r>
                  <w:r>
                    <w:rPr>
                      <w:rFonts w:hint="default" w:ascii="Times New Roman" w:hAnsi="Times New Roman" w:eastAsia="宋体" w:cs="Times New Roman"/>
                      <w:color w:val="auto"/>
                      <w:sz w:val="21"/>
                      <w:szCs w:val="21"/>
                      <w:highlight w:val="none"/>
                      <w:lang w:val="en-US" w:eastAsia="zh-CN" w:bidi="ar"/>
                    </w:rPr>
                    <w:t>LAS</w:t>
                  </w:r>
                  <w:r>
                    <w:rPr>
                      <w:rFonts w:hint="default" w:ascii="Times New Roman" w:hAnsi="Times New Roman" w:eastAsia="宋体" w:cs="Times New Roman"/>
                      <w:color w:val="auto"/>
                      <w:sz w:val="21"/>
                      <w:szCs w:val="21"/>
                      <w:highlight w:val="none"/>
                      <w:lang w:bidi="ar"/>
                    </w:rPr>
                    <w:t>≤</w:t>
                  </w:r>
                  <w:r>
                    <w:rPr>
                      <w:rFonts w:hint="default" w:ascii="Times New Roman" w:hAnsi="Times New Roman" w:eastAsia="宋体" w:cs="Times New Roman"/>
                      <w:color w:val="auto"/>
                      <w:sz w:val="21"/>
                      <w:szCs w:val="21"/>
                      <w:highlight w:val="none"/>
                      <w:lang w:val="en-US" w:eastAsia="zh-CN" w:bidi="ar"/>
                    </w:rPr>
                    <w:t>20</w:t>
                  </w:r>
                  <w:r>
                    <w:rPr>
                      <w:rFonts w:hint="default" w:ascii="Times New Roman" w:hAnsi="Times New Roman" w:eastAsia="宋体" w:cs="Times New Roman"/>
                      <w:color w:val="auto"/>
                      <w:sz w:val="21"/>
                      <w:szCs w:val="21"/>
                      <w:highlight w:val="none"/>
                      <w:lang w:bidi="ar"/>
                    </w:rPr>
                    <w:t>mg/L</w:t>
                  </w:r>
                  <w:r>
                    <w:rPr>
                      <w:rFonts w:hint="default" w:ascii="Times New Roman" w:hAnsi="Times New Roman" w:eastAsia="宋体" w:cs="Times New Roman"/>
                      <w:color w:val="auto"/>
                      <w:sz w:val="21"/>
                      <w:szCs w:val="21"/>
                      <w:highlight w:val="none"/>
                      <w:lang w:eastAsia="zh-CN" w:bidi="ar"/>
                    </w:rPr>
                    <w:t>，</w:t>
                  </w:r>
                  <w:r>
                    <w:rPr>
                      <w:rFonts w:hint="default" w:ascii="Times New Roman" w:hAnsi="Times New Roman" w:eastAsia="宋体" w:cs="Times New Roman"/>
                      <w:color w:val="auto"/>
                      <w:sz w:val="21"/>
                      <w:szCs w:val="21"/>
                      <w:highlight w:val="none"/>
                      <w:lang w:val="en-US" w:eastAsia="zh-CN" w:bidi="ar"/>
                    </w:rPr>
                    <w:t>石油类</w:t>
                  </w:r>
                  <w:r>
                    <w:rPr>
                      <w:rFonts w:hint="default" w:ascii="Times New Roman" w:hAnsi="Times New Roman" w:eastAsia="宋体" w:cs="Times New Roman"/>
                      <w:color w:val="auto"/>
                      <w:sz w:val="21"/>
                      <w:szCs w:val="21"/>
                      <w:highlight w:val="none"/>
                      <w:lang w:bidi="ar"/>
                    </w:rPr>
                    <w:t>≤</w:t>
                  </w:r>
                  <w:r>
                    <w:rPr>
                      <w:rFonts w:hint="default" w:ascii="Times New Roman" w:hAnsi="Times New Roman" w:cs="Times New Roman"/>
                      <w:color w:val="auto"/>
                      <w:sz w:val="21"/>
                      <w:szCs w:val="21"/>
                      <w:highlight w:val="none"/>
                      <w:lang w:val="en-US" w:eastAsia="zh-CN" w:bidi="ar"/>
                    </w:rPr>
                    <w:t>6</w:t>
                  </w:r>
                  <w:r>
                    <w:rPr>
                      <w:rFonts w:hint="default" w:ascii="Times New Roman" w:hAnsi="Times New Roman" w:eastAsia="宋体" w:cs="Times New Roman"/>
                      <w:color w:val="auto"/>
                      <w:sz w:val="21"/>
                      <w:szCs w:val="21"/>
                      <w:highlight w:val="none"/>
                      <w:lang w:val="en-US" w:eastAsia="zh-CN" w:bidi="ar"/>
                    </w:rPr>
                    <w:t>.0</w:t>
                  </w:r>
                  <w:r>
                    <w:rPr>
                      <w:rFonts w:hint="default" w:ascii="Times New Roman" w:hAnsi="Times New Roman" w:eastAsia="宋体" w:cs="Times New Roman"/>
                      <w:color w:val="auto"/>
                      <w:sz w:val="21"/>
                      <w:szCs w:val="21"/>
                      <w:highlight w:val="none"/>
                      <w:lang w:bidi="ar"/>
                    </w:rPr>
                    <w:t>mg/L</w:t>
                  </w:r>
                  <w:r>
                    <w:rPr>
                      <w:rFonts w:hint="default" w:ascii="Times New Roman" w:hAnsi="Times New Roman" w:cs="Times New Roman"/>
                      <w:color w:val="auto"/>
                      <w:sz w:val="21"/>
                      <w:szCs w:val="21"/>
                      <w:highlight w:val="none"/>
                      <w:lang w:eastAsia="zh-CN" w:bidi="ar"/>
                    </w:rPr>
                    <w:t>，</w:t>
                  </w:r>
                  <w:r>
                    <w:rPr>
                      <w:rFonts w:hint="default" w:ascii="Times New Roman" w:hAnsi="Times New Roman" w:cs="Times New Roman"/>
                      <w:color w:val="auto"/>
                      <w:sz w:val="21"/>
                      <w:szCs w:val="21"/>
                      <w:highlight w:val="none"/>
                      <w:lang w:val="en-US" w:eastAsia="zh-CN" w:bidi="ar"/>
                    </w:rPr>
                    <w:t>总铝</w:t>
                  </w:r>
                  <w:r>
                    <w:rPr>
                      <w:rFonts w:hint="default" w:ascii="Times New Roman" w:hAnsi="Times New Roman" w:eastAsia="宋体" w:cs="Times New Roman"/>
                      <w:color w:val="auto"/>
                      <w:sz w:val="21"/>
                      <w:szCs w:val="21"/>
                      <w:highlight w:val="none"/>
                      <w:lang w:bidi="ar"/>
                    </w:rPr>
                    <w:t>≤</w:t>
                  </w:r>
                  <w:r>
                    <w:rPr>
                      <w:rFonts w:hint="default" w:ascii="Times New Roman" w:hAnsi="Times New Roman" w:cs="Times New Roman"/>
                      <w:color w:val="auto"/>
                      <w:sz w:val="21"/>
                      <w:szCs w:val="21"/>
                      <w:highlight w:val="none"/>
                      <w:lang w:val="en-US" w:eastAsia="zh-CN" w:bidi="ar"/>
                    </w:rPr>
                    <w:t>2</w:t>
                  </w:r>
                  <w:r>
                    <w:rPr>
                      <w:rFonts w:hint="default" w:ascii="Times New Roman" w:hAnsi="Times New Roman" w:eastAsia="宋体" w:cs="Times New Roman"/>
                      <w:color w:val="auto"/>
                      <w:sz w:val="21"/>
                      <w:szCs w:val="21"/>
                      <w:highlight w:val="none"/>
                      <w:lang w:val="en-US" w:eastAsia="zh-CN" w:bidi="ar"/>
                    </w:rPr>
                    <w:t>.0</w:t>
                  </w:r>
                  <w:r>
                    <w:rPr>
                      <w:rFonts w:hint="default" w:ascii="Times New Roman" w:hAnsi="Times New Roman" w:eastAsia="宋体" w:cs="Times New Roman"/>
                      <w:color w:val="auto"/>
                      <w:sz w:val="21"/>
                      <w:szCs w:val="21"/>
                      <w:highlight w:val="none"/>
                      <w:lang w:bidi="ar"/>
                    </w:rPr>
                    <w:t>mg/L</w:t>
                  </w:r>
                </w:p>
              </w:tc>
            </w:tr>
          </w:tbl>
          <w:p w14:paraId="34DE02FD">
            <w:pPr>
              <w:keepNext w:val="0"/>
              <w:keepLines w:val="0"/>
              <w:pageBreakBefore w:val="0"/>
              <w:widowControl w:val="0"/>
              <w:kinsoku/>
              <w:wordWrap/>
              <w:overflowPunct/>
              <w:topLinePunct w:val="0"/>
              <w:autoSpaceDE/>
              <w:autoSpaceDN/>
              <w:bidi w:val="0"/>
              <w:adjustRightInd w:val="0"/>
              <w:snapToGrid/>
              <w:spacing w:line="120" w:lineRule="auto"/>
              <w:jc w:val="center"/>
              <w:textAlignment w:val="auto"/>
              <w:rPr>
                <w:rFonts w:hint="default" w:ascii="Times New Roman" w:hAnsi="Times New Roman" w:eastAsia="宋体" w:cs="Times New Roman"/>
                <w:b/>
                <w:color w:val="auto"/>
                <w:sz w:val="21"/>
                <w:szCs w:val="21"/>
                <w:highlight w:val="none"/>
              </w:rPr>
            </w:pPr>
          </w:p>
          <w:p w14:paraId="5885A7EE">
            <w:pPr>
              <w:keepNext/>
              <w:keepLines/>
              <w:numPr>
                <w:ilvl w:val="0"/>
                <w:numId w:val="0"/>
              </w:numPr>
              <w:suppressLineNumbers w:val="0"/>
              <w:tabs>
                <w:tab w:val="left" w:pos="0"/>
                <w:tab w:val="center" w:pos="4281"/>
                <w:tab w:val="left" w:pos="7099"/>
              </w:tabs>
              <w:spacing w:before="0" w:beforeAutospacing="0" w:after="0" w:afterAutospacing="0"/>
              <w:ind w:left="0" w:leftChars="0" w:right="0" w:rightChars="0" w:firstLine="40" w:firstLineChars="0"/>
              <w:jc w:val="left"/>
              <w:outlineLvl w:val="3"/>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kern w:val="2"/>
                <w:sz w:val="21"/>
                <w:szCs w:val="21"/>
                <w:lang w:val="en-US" w:eastAsia="zh-CN" w:bidi="ar-SA"/>
              </w:rPr>
              <w:tab/>
            </w: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30</w:t>
            </w:r>
            <w:r>
              <w:rPr>
                <w:rFonts w:hint="default" w:ascii="Times New Roman" w:hAnsi="Times New Roman" w:eastAsia="宋体" w:cs="Times New Roman"/>
                <w:b/>
                <w:bCs/>
                <w:color w:val="auto"/>
                <w:sz w:val="21"/>
                <w:szCs w:val="21"/>
                <w:highlight w:val="none"/>
              </w:rPr>
              <w:t>项目废水排放口基本情况表</w:t>
            </w:r>
            <w:r>
              <w:rPr>
                <w:rFonts w:hint="eastAsia" w:cs="Times New Roman"/>
                <w:b/>
                <w:bCs/>
                <w:color w:val="auto"/>
                <w:sz w:val="21"/>
                <w:szCs w:val="21"/>
                <w:highlight w:val="none"/>
                <w:lang w:eastAsia="zh-CN"/>
              </w:rPr>
              <w:tab/>
            </w:r>
          </w:p>
          <w:tbl>
            <w:tblPr>
              <w:tblStyle w:val="4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0"/>
              <w:gridCol w:w="554"/>
              <w:gridCol w:w="659"/>
              <w:gridCol w:w="594"/>
              <w:gridCol w:w="604"/>
              <w:gridCol w:w="743"/>
              <w:gridCol w:w="1014"/>
              <w:gridCol w:w="564"/>
              <w:gridCol w:w="500"/>
              <w:gridCol w:w="1086"/>
              <w:gridCol w:w="1567"/>
            </w:tblGrid>
            <w:tr w14:paraId="4D7E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restart"/>
                  <w:noWrap w:val="0"/>
                  <w:vAlign w:val="center"/>
                </w:tcPr>
                <w:p w14:paraId="5B0C5F0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排放口编号</w:t>
                  </w:r>
                </w:p>
              </w:tc>
              <w:tc>
                <w:tcPr>
                  <w:tcW w:w="330" w:type="pct"/>
                  <w:vMerge w:val="restart"/>
                  <w:noWrap w:val="0"/>
                  <w:vAlign w:val="center"/>
                </w:tcPr>
                <w:p w14:paraId="34EEA44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排放口名称</w:t>
                  </w:r>
                </w:p>
              </w:tc>
              <w:tc>
                <w:tcPr>
                  <w:tcW w:w="746" w:type="pct"/>
                  <w:gridSpan w:val="2"/>
                  <w:noWrap w:val="0"/>
                  <w:vAlign w:val="center"/>
                </w:tcPr>
                <w:p w14:paraId="3155A35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排放口坐标</w:t>
                  </w:r>
                </w:p>
              </w:tc>
              <w:tc>
                <w:tcPr>
                  <w:tcW w:w="359" w:type="pct"/>
                  <w:vMerge w:val="restart"/>
                  <w:noWrap w:val="0"/>
                  <w:vAlign w:val="center"/>
                </w:tcPr>
                <w:p w14:paraId="076DD834">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废水排放量/（万t/a）</w:t>
                  </w:r>
                </w:p>
              </w:tc>
              <w:tc>
                <w:tcPr>
                  <w:tcW w:w="442" w:type="pct"/>
                  <w:vMerge w:val="restart"/>
                  <w:noWrap w:val="0"/>
                  <w:vAlign w:val="center"/>
                </w:tcPr>
                <w:p w14:paraId="7E47DD8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排放去向</w:t>
                  </w:r>
                </w:p>
              </w:tc>
              <w:tc>
                <w:tcPr>
                  <w:tcW w:w="603" w:type="pct"/>
                  <w:vMerge w:val="restart"/>
                  <w:noWrap w:val="0"/>
                  <w:vAlign w:val="center"/>
                </w:tcPr>
                <w:p w14:paraId="403556D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排放规律</w:t>
                  </w:r>
                </w:p>
              </w:tc>
              <w:tc>
                <w:tcPr>
                  <w:tcW w:w="336" w:type="pct"/>
                  <w:vMerge w:val="restart"/>
                  <w:noWrap w:val="0"/>
                  <w:vAlign w:val="center"/>
                </w:tcPr>
                <w:p w14:paraId="0B84E24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排放口类型</w:t>
                  </w:r>
                </w:p>
              </w:tc>
              <w:tc>
                <w:tcPr>
                  <w:tcW w:w="1876" w:type="pct"/>
                  <w:gridSpan w:val="3"/>
                  <w:noWrap w:val="0"/>
                  <w:vAlign w:val="center"/>
                </w:tcPr>
                <w:p w14:paraId="343C108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受纳污水处理厂信息</w:t>
                  </w:r>
                </w:p>
              </w:tc>
            </w:tr>
            <w:tr w14:paraId="37553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119304D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p>
              </w:tc>
              <w:tc>
                <w:tcPr>
                  <w:tcW w:w="330" w:type="pct"/>
                  <w:vMerge w:val="continue"/>
                  <w:noWrap w:val="0"/>
                  <w:vAlign w:val="center"/>
                </w:tcPr>
                <w:p w14:paraId="735BCFC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p>
              </w:tc>
              <w:tc>
                <w:tcPr>
                  <w:tcW w:w="392" w:type="pct"/>
                  <w:noWrap w:val="0"/>
                  <w:vAlign w:val="center"/>
                </w:tcPr>
                <w:p w14:paraId="67BAFAE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b/>
                      <w:bCs/>
                      <w:color w:val="auto"/>
                      <w:kern w:val="2"/>
                      <w:sz w:val="21"/>
                      <w:szCs w:val="21"/>
                      <w:highlight w:val="none"/>
                      <w:lang w:val="en-US" w:eastAsia="zh-CN"/>
                    </w:rPr>
                  </w:pPr>
                  <w:r>
                    <w:rPr>
                      <w:rFonts w:hint="default" w:ascii="Times New Roman" w:hAnsi="Times New Roman" w:cs="Times New Roman"/>
                      <w:b/>
                      <w:bCs/>
                      <w:color w:val="auto"/>
                      <w:kern w:val="2"/>
                      <w:sz w:val="21"/>
                      <w:szCs w:val="21"/>
                      <w:highlight w:val="none"/>
                      <w:lang w:val="en-US" w:eastAsia="zh-CN"/>
                    </w:rPr>
                    <w:t>经度</w:t>
                  </w:r>
                </w:p>
              </w:tc>
              <w:tc>
                <w:tcPr>
                  <w:tcW w:w="354" w:type="pct"/>
                  <w:noWrap w:val="0"/>
                  <w:vAlign w:val="center"/>
                </w:tcPr>
                <w:p w14:paraId="130B082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b/>
                      <w:bCs/>
                      <w:color w:val="auto"/>
                      <w:kern w:val="2"/>
                      <w:sz w:val="21"/>
                      <w:szCs w:val="21"/>
                      <w:highlight w:val="none"/>
                      <w:lang w:eastAsia="zh-CN"/>
                    </w:rPr>
                  </w:pPr>
                  <w:r>
                    <w:rPr>
                      <w:rFonts w:hint="default" w:ascii="Times New Roman" w:hAnsi="Times New Roman" w:cs="Times New Roman"/>
                      <w:b/>
                      <w:bCs/>
                      <w:color w:val="auto"/>
                      <w:kern w:val="2"/>
                      <w:sz w:val="21"/>
                      <w:szCs w:val="21"/>
                      <w:highlight w:val="none"/>
                      <w:lang w:val="en-US" w:eastAsia="zh-CN"/>
                    </w:rPr>
                    <w:t>纬度</w:t>
                  </w:r>
                </w:p>
              </w:tc>
              <w:tc>
                <w:tcPr>
                  <w:tcW w:w="359" w:type="pct"/>
                  <w:vMerge w:val="continue"/>
                  <w:noWrap w:val="0"/>
                  <w:vAlign w:val="center"/>
                </w:tcPr>
                <w:p w14:paraId="379A455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p>
              </w:tc>
              <w:tc>
                <w:tcPr>
                  <w:tcW w:w="442" w:type="pct"/>
                  <w:vMerge w:val="continue"/>
                  <w:noWrap w:val="0"/>
                  <w:vAlign w:val="center"/>
                </w:tcPr>
                <w:p w14:paraId="39FEA76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p>
              </w:tc>
              <w:tc>
                <w:tcPr>
                  <w:tcW w:w="603" w:type="pct"/>
                  <w:vMerge w:val="continue"/>
                  <w:noWrap w:val="0"/>
                  <w:vAlign w:val="center"/>
                </w:tcPr>
                <w:p w14:paraId="4AE9BFE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p>
              </w:tc>
              <w:tc>
                <w:tcPr>
                  <w:tcW w:w="336" w:type="pct"/>
                  <w:vMerge w:val="continue"/>
                  <w:noWrap w:val="0"/>
                  <w:vAlign w:val="center"/>
                </w:tcPr>
                <w:p w14:paraId="1AC555B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p>
              </w:tc>
              <w:tc>
                <w:tcPr>
                  <w:tcW w:w="298" w:type="pct"/>
                  <w:noWrap w:val="0"/>
                  <w:vAlign w:val="center"/>
                </w:tcPr>
                <w:p w14:paraId="377868F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名称</w:t>
                  </w:r>
                </w:p>
              </w:tc>
              <w:tc>
                <w:tcPr>
                  <w:tcW w:w="646" w:type="pct"/>
                  <w:noWrap w:val="0"/>
                  <w:vAlign w:val="center"/>
                </w:tcPr>
                <w:p w14:paraId="1BA6B12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污染物种类</w:t>
                  </w:r>
                </w:p>
              </w:tc>
              <w:tc>
                <w:tcPr>
                  <w:tcW w:w="932" w:type="pct"/>
                  <w:noWrap w:val="0"/>
                  <w:vAlign w:val="center"/>
                </w:tcPr>
                <w:p w14:paraId="4777ADC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国家或地方污染物排放标准浓度限值/(mg/L)</w:t>
                  </w:r>
                </w:p>
              </w:tc>
            </w:tr>
            <w:tr w14:paraId="5E14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restart"/>
                  <w:noWrap w:val="0"/>
                  <w:vAlign w:val="center"/>
                </w:tcPr>
                <w:p w14:paraId="3FB9B55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DW0</w:t>
                  </w:r>
                  <w:r>
                    <w:rPr>
                      <w:rFonts w:hint="default" w:ascii="Times New Roman" w:hAnsi="Times New Roman" w:cs="Times New Roman"/>
                      <w:color w:val="auto"/>
                      <w:kern w:val="2"/>
                      <w:sz w:val="21"/>
                      <w:szCs w:val="21"/>
                      <w:highlight w:val="none"/>
                      <w:lang w:val="en-US" w:eastAsia="zh-CN"/>
                    </w:rPr>
                    <w:t>0</w:t>
                  </w:r>
                  <w:r>
                    <w:rPr>
                      <w:rFonts w:hint="default" w:ascii="Times New Roman" w:hAnsi="Times New Roman" w:cs="Times New Roman"/>
                      <w:color w:val="auto"/>
                      <w:kern w:val="2"/>
                      <w:sz w:val="21"/>
                      <w:szCs w:val="21"/>
                      <w:highlight w:val="none"/>
                    </w:rPr>
                    <w:t>1</w:t>
                  </w:r>
                </w:p>
              </w:tc>
              <w:tc>
                <w:tcPr>
                  <w:tcW w:w="330" w:type="pct"/>
                  <w:vMerge w:val="restart"/>
                  <w:noWrap w:val="0"/>
                  <w:vAlign w:val="center"/>
                </w:tcPr>
                <w:p w14:paraId="30B8B2BF">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lang w:val="en-US" w:eastAsia="zh-CN"/>
                    </w:rPr>
                    <w:t>生活污水</w:t>
                  </w:r>
                  <w:r>
                    <w:rPr>
                      <w:rFonts w:hint="default" w:ascii="Times New Roman" w:hAnsi="Times New Roman" w:cs="Times New Roman"/>
                      <w:color w:val="auto"/>
                      <w:kern w:val="2"/>
                      <w:sz w:val="21"/>
                      <w:szCs w:val="21"/>
                      <w:highlight w:val="none"/>
                    </w:rPr>
                    <w:t>排放口</w:t>
                  </w:r>
                </w:p>
              </w:tc>
              <w:tc>
                <w:tcPr>
                  <w:tcW w:w="392" w:type="pct"/>
                  <w:vMerge w:val="restart"/>
                  <w:noWrap w:val="0"/>
                  <w:vAlign w:val="center"/>
                </w:tcPr>
                <w:p w14:paraId="7EFC717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113°24′33.279″</w:t>
                  </w:r>
                </w:p>
              </w:tc>
              <w:tc>
                <w:tcPr>
                  <w:tcW w:w="354" w:type="pct"/>
                  <w:vMerge w:val="restart"/>
                  <w:noWrap w:val="0"/>
                  <w:vAlign w:val="center"/>
                </w:tcPr>
                <w:p w14:paraId="01BA1D7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25°9′21.12</w:t>
                  </w:r>
                  <w:r>
                    <w:rPr>
                      <w:rFonts w:hint="eastAsia" w:ascii="Times New Roman" w:hAnsi="Times New Roman" w:eastAsia="宋体" w:cs="Times New Roman"/>
                      <w:color w:val="auto"/>
                      <w:kern w:val="2"/>
                      <w:sz w:val="21"/>
                      <w:szCs w:val="21"/>
                      <w:highlight w:val="none"/>
                      <w:lang w:val="en-US" w:eastAsia="zh-CN"/>
                    </w:rPr>
                    <w:t>5</w:t>
                  </w:r>
                  <w:r>
                    <w:rPr>
                      <w:rFonts w:hint="default" w:ascii="Times New Roman" w:hAnsi="Times New Roman" w:eastAsia="宋体" w:cs="Times New Roman"/>
                      <w:color w:val="auto"/>
                      <w:kern w:val="2"/>
                      <w:sz w:val="21"/>
                      <w:szCs w:val="21"/>
                      <w:highlight w:val="none"/>
                      <w:lang w:val="en-US" w:eastAsia="zh-CN"/>
                    </w:rPr>
                    <w:t>″</w:t>
                  </w:r>
                </w:p>
              </w:tc>
              <w:tc>
                <w:tcPr>
                  <w:tcW w:w="359" w:type="pct"/>
                  <w:vMerge w:val="restart"/>
                  <w:noWrap w:val="0"/>
                  <w:vAlign w:val="center"/>
                </w:tcPr>
                <w:p w14:paraId="118D1DE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0.2070</w:t>
                  </w:r>
                </w:p>
              </w:tc>
              <w:tc>
                <w:tcPr>
                  <w:tcW w:w="442" w:type="pct"/>
                  <w:vMerge w:val="restart"/>
                  <w:noWrap w:val="0"/>
                  <w:vAlign w:val="center"/>
                </w:tcPr>
                <w:p w14:paraId="576F225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集中式工业污水处理厂</w:t>
                  </w:r>
                </w:p>
              </w:tc>
              <w:tc>
                <w:tcPr>
                  <w:tcW w:w="603" w:type="pct"/>
                  <w:vMerge w:val="restart"/>
                  <w:noWrap w:val="0"/>
                  <w:vAlign w:val="center"/>
                </w:tcPr>
                <w:p w14:paraId="78E630C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间歇排放，流量不稳定，但不属于冲击型排放</w:t>
                  </w:r>
                </w:p>
              </w:tc>
              <w:tc>
                <w:tcPr>
                  <w:tcW w:w="336" w:type="pct"/>
                  <w:vMerge w:val="restart"/>
                  <w:noWrap w:val="0"/>
                  <w:vAlign w:val="center"/>
                </w:tcPr>
                <w:p w14:paraId="525935D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一般排放口</w:t>
                  </w:r>
                </w:p>
              </w:tc>
              <w:tc>
                <w:tcPr>
                  <w:tcW w:w="298" w:type="pct"/>
                  <w:vMerge w:val="restart"/>
                  <w:noWrap w:val="0"/>
                  <w:vAlign w:val="center"/>
                </w:tcPr>
                <w:p w14:paraId="2752A9D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lang w:val="en-US" w:eastAsia="zh-CN"/>
                    </w:rPr>
                    <w:t>乐昌产业转移工业园污水处理厂</w:t>
                  </w:r>
                </w:p>
              </w:tc>
              <w:tc>
                <w:tcPr>
                  <w:tcW w:w="646" w:type="pct"/>
                  <w:noWrap w:val="0"/>
                  <w:vAlign w:val="center"/>
                </w:tcPr>
                <w:p w14:paraId="01E81A4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rPr>
                    <w:t>pH</w:t>
                  </w:r>
                </w:p>
              </w:tc>
              <w:tc>
                <w:tcPr>
                  <w:tcW w:w="932" w:type="pct"/>
                  <w:noWrap w:val="0"/>
                  <w:vAlign w:val="center"/>
                </w:tcPr>
                <w:p w14:paraId="33DC18C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6~9</w:t>
                  </w:r>
                </w:p>
              </w:tc>
            </w:tr>
            <w:tr w14:paraId="14F7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72AF98F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noWrap w:val="0"/>
                  <w:vAlign w:val="center"/>
                </w:tcPr>
                <w:p w14:paraId="55A42C3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noWrap w:val="0"/>
                  <w:vAlign w:val="center"/>
                </w:tcPr>
                <w:p w14:paraId="48DCE87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noWrap w:val="0"/>
                  <w:vAlign w:val="center"/>
                </w:tcPr>
                <w:p w14:paraId="31B1F8FF">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noWrap w:val="0"/>
                  <w:vAlign w:val="center"/>
                </w:tcPr>
                <w:p w14:paraId="45A2719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noWrap w:val="0"/>
                  <w:vAlign w:val="center"/>
                </w:tcPr>
                <w:p w14:paraId="0C056DF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noWrap w:val="0"/>
                  <w:vAlign w:val="center"/>
                </w:tcPr>
                <w:p w14:paraId="261F973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noWrap w:val="0"/>
                  <w:vAlign w:val="center"/>
                </w:tcPr>
                <w:p w14:paraId="056C3A0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47BA3E0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auto"/>
                      <w:kern w:val="2"/>
                      <w:sz w:val="21"/>
                      <w:szCs w:val="21"/>
                      <w:highlight w:val="none"/>
                    </w:rPr>
                  </w:pPr>
                </w:p>
              </w:tc>
              <w:tc>
                <w:tcPr>
                  <w:tcW w:w="646" w:type="pct"/>
                  <w:noWrap w:val="0"/>
                  <w:vAlign w:val="center"/>
                </w:tcPr>
                <w:p w14:paraId="57430D7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rPr>
                    <w:t>COD</w:t>
                  </w:r>
                  <w:r>
                    <w:rPr>
                      <w:rFonts w:hint="default" w:ascii="Times New Roman" w:hAnsi="Times New Roman" w:cs="Times New Roman"/>
                      <w:b w:val="0"/>
                      <w:bCs w:val="0"/>
                      <w:color w:val="auto"/>
                      <w:kern w:val="2"/>
                      <w:sz w:val="21"/>
                      <w:szCs w:val="21"/>
                      <w:highlight w:val="none"/>
                      <w:vertAlign w:val="subscript"/>
                    </w:rPr>
                    <w:t>Cr</w:t>
                  </w:r>
                </w:p>
              </w:tc>
              <w:tc>
                <w:tcPr>
                  <w:tcW w:w="932" w:type="pct"/>
                  <w:noWrap w:val="0"/>
                  <w:vAlign w:val="center"/>
                </w:tcPr>
                <w:p w14:paraId="000E389B">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bCs/>
                      <w:color w:val="auto"/>
                      <w:sz w:val="21"/>
                      <w:szCs w:val="21"/>
                      <w:highlight w:val="none"/>
                      <w:lang w:val="en-US" w:eastAsia="zh-CN"/>
                    </w:rPr>
                    <w:t>40</w:t>
                  </w:r>
                </w:p>
              </w:tc>
            </w:tr>
            <w:tr w14:paraId="14C5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1EDA78D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noWrap w:val="0"/>
                  <w:vAlign w:val="center"/>
                </w:tcPr>
                <w:p w14:paraId="6CE3150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noWrap w:val="0"/>
                  <w:vAlign w:val="center"/>
                </w:tcPr>
                <w:p w14:paraId="52F1FD5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noWrap w:val="0"/>
                  <w:vAlign w:val="center"/>
                </w:tcPr>
                <w:p w14:paraId="1C985D3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noWrap w:val="0"/>
                  <w:vAlign w:val="center"/>
                </w:tcPr>
                <w:p w14:paraId="6B05A17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noWrap w:val="0"/>
                  <w:vAlign w:val="center"/>
                </w:tcPr>
                <w:p w14:paraId="4C85EFA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noWrap w:val="0"/>
                  <w:vAlign w:val="center"/>
                </w:tcPr>
                <w:p w14:paraId="247E147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noWrap w:val="0"/>
                  <w:vAlign w:val="center"/>
                </w:tcPr>
                <w:p w14:paraId="71CC678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7B6F988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auto"/>
                      <w:kern w:val="2"/>
                      <w:sz w:val="21"/>
                      <w:szCs w:val="21"/>
                      <w:highlight w:val="none"/>
                    </w:rPr>
                  </w:pPr>
                </w:p>
              </w:tc>
              <w:tc>
                <w:tcPr>
                  <w:tcW w:w="646" w:type="pct"/>
                  <w:noWrap w:val="0"/>
                  <w:vAlign w:val="center"/>
                </w:tcPr>
                <w:p w14:paraId="4ACE4FB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b w:val="0"/>
                      <w:bCs w:val="0"/>
                      <w:color w:val="auto"/>
                      <w:kern w:val="2"/>
                      <w:sz w:val="21"/>
                      <w:szCs w:val="21"/>
                      <w:highlight w:val="none"/>
                    </w:rPr>
                  </w:pPr>
                  <w:r>
                    <w:rPr>
                      <w:rFonts w:hint="default" w:ascii="Times New Roman" w:hAnsi="Times New Roman" w:cs="Times New Roman"/>
                      <w:b w:val="0"/>
                      <w:bCs w:val="0"/>
                      <w:color w:val="auto"/>
                      <w:kern w:val="2"/>
                      <w:sz w:val="21"/>
                      <w:szCs w:val="21"/>
                      <w:highlight w:val="none"/>
                    </w:rPr>
                    <w:t>BOD</w:t>
                  </w:r>
                  <w:r>
                    <w:rPr>
                      <w:rFonts w:hint="default" w:ascii="Times New Roman" w:hAnsi="Times New Roman" w:cs="Times New Roman"/>
                      <w:b w:val="0"/>
                      <w:bCs w:val="0"/>
                      <w:color w:val="auto"/>
                      <w:kern w:val="2"/>
                      <w:sz w:val="21"/>
                      <w:szCs w:val="21"/>
                      <w:highlight w:val="none"/>
                      <w:vertAlign w:val="subscript"/>
                    </w:rPr>
                    <w:t>5</w:t>
                  </w:r>
                </w:p>
              </w:tc>
              <w:tc>
                <w:tcPr>
                  <w:tcW w:w="932" w:type="pct"/>
                  <w:noWrap w:val="0"/>
                  <w:vAlign w:val="center"/>
                </w:tcPr>
                <w:p w14:paraId="385104BD">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bCs/>
                      <w:color w:val="auto"/>
                      <w:sz w:val="21"/>
                      <w:szCs w:val="21"/>
                      <w:highlight w:val="none"/>
                      <w:lang w:val="en-US" w:eastAsia="zh-CN"/>
                    </w:rPr>
                    <w:t>2</w:t>
                  </w:r>
                  <w:r>
                    <w:rPr>
                      <w:rFonts w:hint="default" w:ascii="Times New Roman" w:hAnsi="Times New Roman" w:cs="Times New Roman"/>
                      <w:bCs/>
                      <w:color w:val="auto"/>
                      <w:sz w:val="21"/>
                      <w:szCs w:val="21"/>
                      <w:highlight w:val="none"/>
                    </w:rPr>
                    <w:t>0</w:t>
                  </w:r>
                </w:p>
              </w:tc>
            </w:tr>
            <w:tr w14:paraId="693D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tcBorders>
                    <w:bottom w:val="single" w:color="000000" w:sz="4" w:space="0"/>
                  </w:tcBorders>
                  <w:noWrap w:val="0"/>
                  <w:vAlign w:val="center"/>
                </w:tcPr>
                <w:p w14:paraId="4E0716C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tcBorders>
                    <w:bottom w:val="single" w:color="000000" w:sz="4" w:space="0"/>
                  </w:tcBorders>
                  <w:noWrap w:val="0"/>
                  <w:vAlign w:val="center"/>
                </w:tcPr>
                <w:p w14:paraId="297F05A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tcBorders>
                    <w:bottom w:val="single" w:color="000000" w:sz="4" w:space="0"/>
                  </w:tcBorders>
                  <w:noWrap w:val="0"/>
                  <w:vAlign w:val="center"/>
                </w:tcPr>
                <w:p w14:paraId="57ECD534">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tcBorders>
                    <w:bottom w:val="single" w:color="000000" w:sz="4" w:space="0"/>
                  </w:tcBorders>
                  <w:noWrap w:val="0"/>
                  <w:vAlign w:val="center"/>
                </w:tcPr>
                <w:p w14:paraId="4DBEAAD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tcBorders>
                    <w:bottom w:val="single" w:color="000000" w:sz="4" w:space="0"/>
                  </w:tcBorders>
                  <w:noWrap w:val="0"/>
                  <w:vAlign w:val="center"/>
                </w:tcPr>
                <w:p w14:paraId="2BE3BFF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tcBorders>
                    <w:bottom w:val="single" w:color="000000" w:sz="4" w:space="0"/>
                  </w:tcBorders>
                  <w:noWrap w:val="0"/>
                  <w:vAlign w:val="center"/>
                </w:tcPr>
                <w:p w14:paraId="6D69B4C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tcBorders>
                    <w:bottom w:val="single" w:color="000000" w:sz="4" w:space="0"/>
                  </w:tcBorders>
                  <w:noWrap w:val="0"/>
                  <w:vAlign w:val="center"/>
                </w:tcPr>
                <w:p w14:paraId="45A7171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tcBorders>
                    <w:bottom w:val="single" w:color="000000" w:sz="4" w:space="0"/>
                  </w:tcBorders>
                  <w:noWrap w:val="0"/>
                  <w:vAlign w:val="center"/>
                </w:tcPr>
                <w:p w14:paraId="2C99E17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2B69AD0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46" w:type="pct"/>
                  <w:tcBorders>
                    <w:bottom w:val="single" w:color="000000" w:sz="4" w:space="0"/>
                  </w:tcBorders>
                  <w:noWrap w:val="0"/>
                  <w:vAlign w:val="center"/>
                </w:tcPr>
                <w:p w14:paraId="71578A5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rPr>
                    <w:t>SS</w:t>
                  </w:r>
                </w:p>
              </w:tc>
              <w:tc>
                <w:tcPr>
                  <w:tcW w:w="932" w:type="pct"/>
                  <w:noWrap w:val="0"/>
                  <w:vAlign w:val="center"/>
                </w:tcPr>
                <w:p w14:paraId="11036005">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rPr>
                    <w:t>20</w:t>
                  </w:r>
                </w:p>
              </w:tc>
            </w:tr>
            <w:tr w14:paraId="25AE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tcBorders>
                    <w:bottom w:val="single" w:color="000000" w:sz="4" w:space="0"/>
                  </w:tcBorders>
                  <w:noWrap w:val="0"/>
                  <w:vAlign w:val="center"/>
                </w:tcPr>
                <w:p w14:paraId="123E034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tcBorders>
                    <w:bottom w:val="single" w:color="000000" w:sz="4" w:space="0"/>
                  </w:tcBorders>
                  <w:noWrap w:val="0"/>
                  <w:vAlign w:val="center"/>
                </w:tcPr>
                <w:p w14:paraId="628A51F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tcBorders>
                    <w:bottom w:val="single" w:color="000000" w:sz="4" w:space="0"/>
                  </w:tcBorders>
                  <w:noWrap w:val="0"/>
                  <w:vAlign w:val="center"/>
                </w:tcPr>
                <w:p w14:paraId="430A791F">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tcBorders>
                    <w:bottom w:val="single" w:color="000000" w:sz="4" w:space="0"/>
                  </w:tcBorders>
                  <w:noWrap w:val="0"/>
                  <w:vAlign w:val="center"/>
                </w:tcPr>
                <w:p w14:paraId="1AA76DA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tcBorders>
                    <w:bottom w:val="single" w:color="000000" w:sz="4" w:space="0"/>
                  </w:tcBorders>
                  <w:noWrap w:val="0"/>
                  <w:vAlign w:val="center"/>
                </w:tcPr>
                <w:p w14:paraId="4644F46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tcBorders>
                    <w:bottom w:val="single" w:color="000000" w:sz="4" w:space="0"/>
                  </w:tcBorders>
                  <w:noWrap w:val="0"/>
                  <w:vAlign w:val="center"/>
                </w:tcPr>
                <w:p w14:paraId="49D59F2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tcBorders>
                    <w:bottom w:val="single" w:color="000000" w:sz="4" w:space="0"/>
                  </w:tcBorders>
                  <w:noWrap w:val="0"/>
                  <w:vAlign w:val="center"/>
                </w:tcPr>
                <w:p w14:paraId="6A90ECD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tcBorders>
                    <w:bottom w:val="single" w:color="000000" w:sz="4" w:space="0"/>
                  </w:tcBorders>
                  <w:noWrap w:val="0"/>
                  <w:vAlign w:val="center"/>
                </w:tcPr>
                <w:p w14:paraId="24A203B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79FEBFC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46" w:type="pct"/>
                  <w:tcBorders>
                    <w:bottom w:val="single" w:color="000000" w:sz="4" w:space="0"/>
                  </w:tcBorders>
                  <w:noWrap w:val="0"/>
                  <w:vAlign w:val="center"/>
                </w:tcPr>
                <w:p w14:paraId="4990CDF2">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rPr>
                    <w:t>氨氮</w:t>
                  </w:r>
                </w:p>
              </w:tc>
              <w:tc>
                <w:tcPr>
                  <w:tcW w:w="932" w:type="pct"/>
                  <w:noWrap w:val="0"/>
                  <w:vAlign w:val="center"/>
                </w:tcPr>
                <w:p w14:paraId="71B65C51">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8</w:t>
                  </w:r>
                </w:p>
              </w:tc>
            </w:tr>
            <w:tr w14:paraId="33C4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restart"/>
                  <w:tcBorders>
                    <w:top w:val="single" w:color="000000" w:sz="4" w:space="0"/>
                  </w:tcBorders>
                  <w:noWrap w:val="0"/>
                  <w:vAlign w:val="center"/>
                </w:tcPr>
                <w:p w14:paraId="74C10B8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highlight w:val="none"/>
                      <w:lang w:eastAsia="zh-CN"/>
                    </w:rPr>
                  </w:pPr>
                  <w:r>
                    <w:rPr>
                      <w:rFonts w:hint="default" w:ascii="Times New Roman" w:hAnsi="Times New Roman" w:cs="Times New Roman"/>
                      <w:color w:val="auto"/>
                      <w:kern w:val="2"/>
                      <w:sz w:val="21"/>
                      <w:szCs w:val="21"/>
                      <w:highlight w:val="none"/>
                    </w:rPr>
                    <w:t>DW0</w:t>
                  </w:r>
                  <w:r>
                    <w:rPr>
                      <w:rFonts w:hint="default" w:ascii="Times New Roman" w:hAnsi="Times New Roman" w:cs="Times New Roman"/>
                      <w:color w:val="auto"/>
                      <w:kern w:val="2"/>
                      <w:sz w:val="21"/>
                      <w:szCs w:val="21"/>
                      <w:highlight w:val="none"/>
                      <w:lang w:val="en-US" w:eastAsia="zh-CN"/>
                    </w:rPr>
                    <w:t>02</w:t>
                  </w:r>
                </w:p>
              </w:tc>
              <w:tc>
                <w:tcPr>
                  <w:tcW w:w="330" w:type="pct"/>
                  <w:vMerge w:val="restart"/>
                  <w:tcBorders>
                    <w:top w:val="single" w:color="000000" w:sz="4" w:space="0"/>
                  </w:tcBorders>
                  <w:noWrap w:val="0"/>
                  <w:vAlign w:val="center"/>
                </w:tcPr>
                <w:p w14:paraId="56A8BBC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rPr>
                  </w:pPr>
                  <w:r>
                    <w:rPr>
                      <w:rFonts w:hint="eastAsia" w:ascii="Times New Roman" w:hAnsi="Times New Roman" w:cs="Times New Roman"/>
                      <w:color w:val="auto"/>
                      <w:kern w:val="2"/>
                      <w:sz w:val="21"/>
                      <w:szCs w:val="21"/>
                      <w:highlight w:val="none"/>
                      <w:lang w:val="en-US" w:eastAsia="zh-CN"/>
                    </w:rPr>
                    <w:t>外排</w:t>
                  </w:r>
                  <w:r>
                    <w:rPr>
                      <w:rFonts w:hint="default" w:ascii="Times New Roman" w:hAnsi="Times New Roman" w:cs="Times New Roman"/>
                      <w:color w:val="auto"/>
                      <w:kern w:val="2"/>
                      <w:sz w:val="21"/>
                      <w:szCs w:val="21"/>
                      <w:highlight w:val="none"/>
                      <w:lang w:val="en-US" w:eastAsia="zh-CN"/>
                    </w:rPr>
                    <w:t>生产废水</w:t>
                  </w:r>
                  <w:r>
                    <w:rPr>
                      <w:rFonts w:hint="default" w:ascii="Times New Roman" w:hAnsi="Times New Roman" w:cs="Times New Roman"/>
                      <w:color w:val="auto"/>
                      <w:kern w:val="2"/>
                      <w:sz w:val="21"/>
                      <w:szCs w:val="21"/>
                      <w:highlight w:val="none"/>
                    </w:rPr>
                    <w:t>排放口</w:t>
                  </w:r>
                </w:p>
              </w:tc>
              <w:tc>
                <w:tcPr>
                  <w:tcW w:w="392" w:type="pct"/>
                  <w:vMerge w:val="restart"/>
                  <w:tcBorders>
                    <w:top w:val="single" w:color="000000" w:sz="4" w:space="0"/>
                  </w:tcBorders>
                  <w:noWrap w:val="0"/>
                  <w:vAlign w:val="center"/>
                </w:tcPr>
                <w:p w14:paraId="6CF8248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113°24′26.288″</w:t>
                  </w:r>
                </w:p>
              </w:tc>
              <w:tc>
                <w:tcPr>
                  <w:tcW w:w="354" w:type="pct"/>
                  <w:vMerge w:val="restart"/>
                  <w:tcBorders>
                    <w:top w:val="single" w:color="000000" w:sz="4" w:space="0"/>
                  </w:tcBorders>
                  <w:noWrap w:val="0"/>
                  <w:vAlign w:val="center"/>
                </w:tcPr>
                <w:p w14:paraId="705601E6">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25°9′21.04</w:t>
                  </w:r>
                  <w:r>
                    <w:rPr>
                      <w:rFonts w:hint="eastAsia" w:ascii="Times New Roman" w:hAnsi="Times New Roman" w:eastAsia="宋体" w:cs="Times New Roman"/>
                      <w:color w:val="auto"/>
                      <w:kern w:val="2"/>
                      <w:sz w:val="21"/>
                      <w:szCs w:val="21"/>
                      <w:highlight w:val="none"/>
                      <w:lang w:val="en-US" w:eastAsia="zh-CN" w:bidi="ar-SA"/>
                    </w:rPr>
                    <w:t>8</w:t>
                  </w:r>
                  <w:r>
                    <w:rPr>
                      <w:rFonts w:hint="default" w:ascii="Times New Roman" w:hAnsi="Times New Roman" w:eastAsia="宋体" w:cs="Times New Roman"/>
                      <w:color w:val="auto"/>
                      <w:kern w:val="2"/>
                      <w:sz w:val="21"/>
                      <w:szCs w:val="21"/>
                      <w:highlight w:val="none"/>
                      <w:lang w:val="en-US" w:eastAsia="zh-CN" w:bidi="ar-SA"/>
                    </w:rPr>
                    <w:t>″</w:t>
                  </w:r>
                </w:p>
              </w:tc>
              <w:tc>
                <w:tcPr>
                  <w:tcW w:w="359" w:type="pct"/>
                  <w:vMerge w:val="restart"/>
                  <w:tcBorders>
                    <w:top w:val="single" w:color="000000" w:sz="4" w:space="0"/>
                  </w:tcBorders>
                  <w:noWrap w:val="0"/>
                  <w:vAlign w:val="center"/>
                </w:tcPr>
                <w:p w14:paraId="32512FC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lang w:val="en-US"/>
                    </w:rPr>
                  </w:pPr>
                  <w:r>
                    <w:rPr>
                      <w:rFonts w:hint="eastAsia" w:ascii="Times New Roman" w:hAnsi="Times New Roman" w:cs="Times New Roman"/>
                      <w:i w:val="0"/>
                      <w:iCs w:val="0"/>
                      <w:color w:val="auto"/>
                      <w:kern w:val="2"/>
                      <w:sz w:val="21"/>
                      <w:szCs w:val="21"/>
                      <w:highlight w:val="none"/>
                      <w:u w:val="none"/>
                      <w:lang w:val="en-US" w:eastAsia="zh-CN" w:bidi="ar-SA"/>
                    </w:rPr>
                    <w:t>1.10512</w:t>
                  </w:r>
                </w:p>
              </w:tc>
              <w:tc>
                <w:tcPr>
                  <w:tcW w:w="442" w:type="pct"/>
                  <w:vMerge w:val="restart"/>
                  <w:tcBorders>
                    <w:top w:val="single" w:color="000000" w:sz="4" w:space="0"/>
                  </w:tcBorders>
                  <w:noWrap w:val="0"/>
                  <w:vAlign w:val="center"/>
                </w:tcPr>
                <w:p w14:paraId="47DAFD2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集中式工业污水处理厂</w:t>
                  </w:r>
                </w:p>
              </w:tc>
              <w:tc>
                <w:tcPr>
                  <w:tcW w:w="603" w:type="pct"/>
                  <w:vMerge w:val="restart"/>
                  <w:tcBorders>
                    <w:top w:val="single" w:color="000000" w:sz="4" w:space="0"/>
                  </w:tcBorders>
                  <w:noWrap w:val="0"/>
                  <w:vAlign w:val="center"/>
                </w:tcPr>
                <w:p w14:paraId="58E56C5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间歇排放，流量不稳定，但不属于冲击型排放</w:t>
                  </w:r>
                </w:p>
              </w:tc>
              <w:tc>
                <w:tcPr>
                  <w:tcW w:w="336" w:type="pct"/>
                  <w:vMerge w:val="restart"/>
                  <w:tcBorders>
                    <w:top w:val="single" w:color="000000" w:sz="4" w:space="0"/>
                  </w:tcBorders>
                  <w:noWrap w:val="0"/>
                  <w:vAlign w:val="center"/>
                </w:tcPr>
                <w:p w14:paraId="0AF368D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一般排放口</w:t>
                  </w:r>
                </w:p>
              </w:tc>
              <w:tc>
                <w:tcPr>
                  <w:tcW w:w="298" w:type="pct"/>
                  <w:vMerge w:val="continue"/>
                  <w:noWrap w:val="0"/>
                  <w:vAlign w:val="center"/>
                </w:tcPr>
                <w:p w14:paraId="0BEFB5C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46" w:type="pct"/>
                  <w:tcBorders>
                    <w:top w:val="single" w:color="000000" w:sz="4" w:space="0"/>
                  </w:tcBorders>
                  <w:noWrap w:val="0"/>
                  <w:vAlign w:val="center"/>
                </w:tcPr>
                <w:p w14:paraId="3439AC0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leftChars="0" w:right="0" w:rightChars="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rPr>
                    <w:t>总磷</w:t>
                  </w:r>
                </w:p>
              </w:tc>
              <w:tc>
                <w:tcPr>
                  <w:tcW w:w="932" w:type="pct"/>
                  <w:noWrap w:val="0"/>
                  <w:vAlign w:val="center"/>
                </w:tcPr>
                <w:p w14:paraId="6EC04236">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cs="Times New Roman"/>
                      <w:bCs/>
                      <w:color w:val="auto"/>
                      <w:sz w:val="21"/>
                      <w:szCs w:val="21"/>
                      <w:highlight w:val="none"/>
                      <w:lang w:val="en-US" w:eastAsia="zh-CN"/>
                    </w:rPr>
                    <w:t>0.5</w:t>
                  </w:r>
                </w:p>
              </w:tc>
            </w:tr>
            <w:tr w14:paraId="3F00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797456E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noWrap w:val="0"/>
                  <w:vAlign w:val="center"/>
                </w:tcPr>
                <w:p w14:paraId="6FA787B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noWrap w:val="0"/>
                  <w:vAlign w:val="center"/>
                </w:tcPr>
                <w:p w14:paraId="1C02453A">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noWrap w:val="0"/>
                  <w:vAlign w:val="center"/>
                </w:tcPr>
                <w:p w14:paraId="27C97E24">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noWrap w:val="0"/>
                  <w:vAlign w:val="center"/>
                </w:tcPr>
                <w:p w14:paraId="01CC59B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noWrap w:val="0"/>
                  <w:vAlign w:val="center"/>
                </w:tcPr>
                <w:p w14:paraId="49526D2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noWrap w:val="0"/>
                  <w:vAlign w:val="center"/>
                </w:tcPr>
                <w:p w14:paraId="114DBE2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noWrap w:val="0"/>
                  <w:vAlign w:val="center"/>
                </w:tcPr>
                <w:p w14:paraId="1891217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35FC86C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46" w:type="pct"/>
                  <w:noWrap w:val="0"/>
                  <w:vAlign w:val="center"/>
                </w:tcPr>
                <w:p w14:paraId="0C315944">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rPr>
                    <w:t>动植物油</w:t>
                  </w:r>
                </w:p>
              </w:tc>
              <w:tc>
                <w:tcPr>
                  <w:tcW w:w="932" w:type="pct"/>
                  <w:noWrap w:val="0"/>
                  <w:vAlign w:val="center"/>
                </w:tcPr>
                <w:p w14:paraId="58E811CF">
                  <w:pPr>
                    <w:keepNext w:val="0"/>
                    <w:keepLines w:val="0"/>
                    <w:pageBreakBefore w:val="0"/>
                    <w:suppressLineNumbers w:val="0"/>
                    <w:kinsoku/>
                    <w:overflowPunct/>
                    <w:topLinePunct w:val="0"/>
                    <w:bidi w:val="0"/>
                    <w:adjustRightInd/>
                    <w:snapToGrid w:val="0"/>
                    <w:spacing w:before="0" w:beforeAutospacing="0" w:after="0" w:afterAutospacing="0" w:line="240" w:lineRule="auto"/>
                    <w:ind w:left="0" w:right="0"/>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3</w:t>
                  </w:r>
                </w:p>
              </w:tc>
            </w:tr>
            <w:tr w14:paraId="7A9A8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6A58E06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noWrap w:val="0"/>
                  <w:vAlign w:val="center"/>
                </w:tcPr>
                <w:p w14:paraId="34A4613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noWrap w:val="0"/>
                  <w:vAlign w:val="center"/>
                </w:tcPr>
                <w:p w14:paraId="4CB1A42E">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noWrap w:val="0"/>
                  <w:vAlign w:val="center"/>
                </w:tcPr>
                <w:p w14:paraId="11D1A8A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noWrap w:val="0"/>
                  <w:vAlign w:val="center"/>
                </w:tcPr>
                <w:p w14:paraId="1ABAAA6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noWrap w:val="0"/>
                  <w:vAlign w:val="center"/>
                </w:tcPr>
                <w:p w14:paraId="2B2B934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noWrap w:val="0"/>
                  <w:vAlign w:val="center"/>
                </w:tcPr>
                <w:p w14:paraId="2576A0ED">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noWrap w:val="0"/>
                  <w:vAlign w:val="center"/>
                </w:tcPr>
                <w:p w14:paraId="6BF16BE8">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4D0613C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46" w:type="pct"/>
                  <w:noWrap w:val="0"/>
                  <w:vAlign w:val="center"/>
                </w:tcPr>
                <w:p w14:paraId="43672BF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阴离子表面活性剂</w:t>
                  </w:r>
                </w:p>
              </w:tc>
              <w:tc>
                <w:tcPr>
                  <w:tcW w:w="932" w:type="pct"/>
                  <w:noWrap w:val="0"/>
                  <w:vAlign w:val="center"/>
                </w:tcPr>
                <w:p w14:paraId="24B1E8D1">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val="en-US" w:eastAsia="zh-CN"/>
                    </w:rPr>
                    <w:t>1.0</w:t>
                  </w:r>
                </w:p>
              </w:tc>
            </w:tr>
            <w:tr w14:paraId="53E8D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04" w:type="pct"/>
                  <w:vMerge w:val="continue"/>
                  <w:noWrap w:val="0"/>
                  <w:vAlign w:val="center"/>
                </w:tcPr>
                <w:p w14:paraId="497BECA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0" w:type="pct"/>
                  <w:vMerge w:val="continue"/>
                  <w:noWrap w:val="0"/>
                  <w:vAlign w:val="center"/>
                </w:tcPr>
                <w:p w14:paraId="70B6ED09">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92" w:type="pct"/>
                  <w:vMerge w:val="continue"/>
                  <w:noWrap w:val="0"/>
                  <w:vAlign w:val="center"/>
                </w:tcPr>
                <w:p w14:paraId="6124325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4" w:type="pct"/>
                  <w:vMerge w:val="continue"/>
                  <w:noWrap w:val="0"/>
                  <w:vAlign w:val="center"/>
                </w:tcPr>
                <w:p w14:paraId="6A247C0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59" w:type="pct"/>
                  <w:vMerge w:val="continue"/>
                  <w:noWrap w:val="0"/>
                  <w:vAlign w:val="center"/>
                </w:tcPr>
                <w:p w14:paraId="0EECAE9B">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442" w:type="pct"/>
                  <w:vMerge w:val="continue"/>
                  <w:noWrap w:val="0"/>
                  <w:vAlign w:val="center"/>
                </w:tcPr>
                <w:p w14:paraId="0CE3BD65">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03" w:type="pct"/>
                  <w:vMerge w:val="continue"/>
                  <w:noWrap w:val="0"/>
                  <w:vAlign w:val="center"/>
                </w:tcPr>
                <w:p w14:paraId="05F32CE7">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336" w:type="pct"/>
                  <w:vMerge w:val="continue"/>
                  <w:noWrap w:val="0"/>
                  <w:vAlign w:val="center"/>
                </w:tcPr>
                <w:p w14:paraId="30F4A1E3">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298" w:type="pct"/>
                  <w:vMerge w:val="continue"/>
                  <w:noWrap w:val="0"/>
                  <w:vAlign w:val="center"/>
                </w:tcPr>
                <w:p w14:paraId="3E74D3D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p>
              </w:tc>
              <w:tc>
                <w:tcPr>
                  <w:tcW w:w="646" w:type="pct"/>
                  <w:noWrap w:val="0"/>
                  <w:vAlign w:val="center"/>
                </w:tcPr>
                <w:p w14:paraId="312600DC">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石油类</w:t>
                  </w:r>
                </w:p>
              </w:tc>
              <w:tc>
                <w:tcPr>
                  <w:tcW w:w="932" w:type="pct"/>
                  <w:noWrap w:val="0"/>
                  <w:vAlign w:val="center"/>
                </w:tcPr>
                <w:p w14:paraId="0BB46570">
                  <w:pPr>
                    <w:pStyle w:val="109"/>
                    <w:keepNext w:val="0"/>
                    <w:keepLines w:val="0"/>
                    <w:pageBreakBefore w:val="0"/>
                    <w:widowControl/>
                    <w:suppressLineNumbers w:val="0"/>
                    <w:tabs>
                      <w:tab w:val="left" w:pos="-2848"/>
                    </w:tabs>
                    <w:kinsoku/>
                    <w:overflowPunct/>
                    <w:topLinePunct w:val="0"/>
                    <w:bidi w:val="0"/>
                    <w:adjustRightInd/>
                    <w:snapToGrid w:val="0"/>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val="en-US" w:eastAsia="zh-CN"/>
                    </w:rPr>
                    <w:t>3</w:t>
                  </w:r>
                </w:p>
              </w:tc>
            </w:tr>
          </w:tbl>
          <w:p w14:paraId="43A85914">
            <w:pPr>
              <w:keepNext w:val="0"/>
              <w:keepLines w:val="0"/>
              <w:pageBreakBefore w:val="0"/>
              <w:widowControl w:val="0"/>
              <w:kinsoku/>
              <w:wordWrap/>
              <w:overflowPunct/>
              <w:topLinePunct w:val="0"/>
              <w:autoSpaceDE/>
              <w:autoSpaceDN/>
              <w:bidi w:val="0"/>
              <w:adjustRightInd w:val="0"/>
              <w:snapToGrid/>
              <w:spacing w:line="120" w:lineRule="auto"/>
              <w:jc w:val="center"/>
              <w:textAlignment w:val="auto"/>
              <w:rPr>
                <w:rFonts w:hint="default" w:ascii="Times New Roman" w:hAnsi="Times New Roman" w:eastAsia="宋体" w:cs="Times New Roman"/>
                <w:b/>
                <w:color w:val="auto"/>
                <w:sz w:val="21"/>
                <w:szCs w:val="21"/>
                <w:highlight w:val="none"/>
              </w:rPr>
            </w:pPr>
          </w:p>
          <w:p w14:paraId="793C2F54">
            <w:pPr>
              <w:keepNext/>
              <w:keepLines/>
              <w:suppressLineNumbers w:val="0"/>
              <w:tabs>
                <w:tab w:val="left" w:pos="0"/>
              </w:tabs>
              <w:spacing w:before="0" w:beforeAutospacing="0" w:after="0" w:afterAutospacing="0" w:line="360" w:lineRule="auto"/>
              <w:ind w:left="0" w:right="0" w:firstLine="482" w:firstLineChars="200"/>
              <w:outlineLvl w:val="3"/>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2.4</w:t>
            </w:r>
            <w:r>
              <w:rPr>
                <w:rFonts w:hint="default" w:ascii="Times New Roman" w:hAnsi="Times New Roman" w:cs="Times New Roman"/>
                <w:b/>
                <w:bCs/>
                <w:color w:val="auto"/>
                <w:sz w:val="24"/>
                <w:szCs w:val="24"/>
                <w:highlight w:val="none"/>
              </w:rPr>
              <w:t>达标情况分析</w:t>
            </w:r>
          </w:p>
          <w:p w14:paraId="42E4BDA7">
            <w:pPr>
              <w:pStyle w:val="21"/>
              <w:widowControl/>
              <w:numPr>
                <w:ilvl w:val="4"/>
                <w:numId w:val="0"/>
              </w:numPr>
              <w:suppressLineNumbers w:val="0"/>
              <w:spacing w:before="0" w:beforeAutospacing="0" w:after="0" w:afterAutospacing="0" w:line="360" w:lineRule="auto"/>
              <w:ind w:left="480" w:right="0"/>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（1）可行性技术分析</w:t>
            </w:r>
          </w:p>
          <w:p w14:paraId="37405352">
            <w:pPr>
              <w:pStyle w:val="25"/>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参考《排污许可证申请与核发技术规范铁路、船舶、航空航天和其他运输设备制造业》（HJ 1124—2020）中表A.7表面处理（涂装）排污单位废水污染防治推荐可行技术</w:t>
            </w:r>
            <w:r>
              <w:rPr>
                <w:rFonts w:hint="eastAsia" w:cs="Times New Roman"/>
                <w:color w:val="auto"/>
                <w:sz w:val="24"/>
                <w:szCs w:val="24"/>
                <w:highlight w:val="none"/>
                <w:lang w:eastAsia="zh-CN"/>
              </w:rPr>
              <w:t>、</w:t>
            </w:r>
            <w:r>
              <w:rPr>
                <w:rFonts w:hint="eastAsia" w:cs="Times New Roman"/>
                <w:b w:val="0"/>
                <w:bCs w:val="0"/>
                <w:i w:val="0"/>
                <w:iCs w:val="0"/>
                <w:color w:val="auto"/>
                <w:kern w:val="0"/>
                <w:sz w:val="24"/>
                <w:szCs w:val="24"/>
                <w:highlight w:val="none"/>
                <w:u w:val="none"/>
                <w:lang w:val="en-US" w:eastAsia="zh-CN" w:bidi="ar"/>
              </w:rPr>
              <w:t>《排污许可证申请与核发技术规范 电镀工业》（HJ855—2017）、《电镀污染防治可行技术指南 》（HJ 1306—2023）</w:t>
            </w:r>
            <w:r>
              <w:rPr>
                <w:rFonts w:hint="default" w:ascii="Times New Roman" w:hAnsi="Times New Roman" w:cs="Times New Roman"/>
                <w:color w:val="auto"/>
                <w:sz w:val="24"/>
                <w:szCs w:val="24"/>
                <w:highlight w:val="none"/>
              </w:rPr>
              <w:t>可知，本项目</w:t>
            </w:r>
            <w:r>
              <w:rPr>
                <w:rFonts w:hint="eastAsia" w:cs="Times New Roman"/>
                <w:color w:val="auto"/>
                <w:sz w:val="24"/>
                <w:szCs w:val="24"/>
                <w:highlight w:val="none"/>
                <w:lang w:val="en-US" w:eastAsia="zh-CN"/>
              </w:rPr>
              <w:t>外排</w:t>
            </w:r>
            <w:r>
              <w:rPr>
                <w:rFonts w:hint="default" w:ascii="Times New Roman" w:hAnsi="Times New Roman" w:cs="Times New Roman"/>
                <w:color w:val="auto"/>
                <w:sz w:val="24"/>
                <w:szCs w:val="24"/>
                <w:highlight w:val="none"/>
              </w:rPr>
              <w:t>生产废水采用“</w:t>
            </w:r>
            <w:r>
              <w:rPr>
                <w:rFonts w:hint="eastAsia" w:cs="Times New Roman"/>
                <w:color w:val="auto"/>
                <w:sz w:val="24"/>
                <w:szCs w:val="24"/>
                <w:highlight w:val="none"/>
                <w:lang w:eastAsia="zh-CN"/>
              </w:rPr>
              <w:t>中和调节+混凝沉淀+气浮+化学除氟</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处理和</w:t>
            </w:r>
            <w:r>
              <w:rPr>
                <w:rFonts w:hint="default" w:ascii="Times New Roman" w:hAnsi="Times New Roman" w:cs="Times New Roman"/>
                <w:color w:val="auto"/>
                <w:sz w:val="24"/>
                <w:szCs w:val="24"/>
                <w:highlight w:val="none"/>
              </w:rPr>
              <w:t>生活污水采用三级化粪池</w:t>
            </w:r>
            <w:r>
              <w:rPr>
                <w:rFonts w:hint="default" w:ascii="Times New Roman" w:hAnsi="Times New Roman" w:cs="Times New Roman"/>
                <w:color w:val="auto"/>
                <w:sz w:val="24"/>
                <w:szCs w:val="24"/>
                <w:highlight w:val="none"/>
                <w:lang w:val="en-US" w:eastAsia="zh-CN"/>
              </w:rPr>
              <w:t>+隔油隔渣池</w:t>
            </w:r>
            <w:r>
              <w:rPr>
                <w:rFonts w:hint="default" w:ascii="Times New Roman" w:hAnsi="Times New Roman" w:cs="Times New Roman"/>
                <w:color w:val="auto"/>
                <w:sz w:val="24"/>
                <w:szCs w:val="24"/>
                <w:highlight w:val="none"/>
              </w:rPr>
              <w:t>处理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所用技术均</w:t>
            </w:r>
            <w:r>
              <w:rPr>
                <w:rFonts w:hint="default" w:ascii="Times New Roman" w:hAnsi="Times New Roman" w:cs="Times New Roman"/>
                <w:color w:val="auto"/>
                <w:sz w:val="24"/>
                <w:szCs w:val="24"/>
                <w:highlight w:val="none"/>
              </w:rPr>
              <w:t>属于可行技术。因此，项目废水处理措施可行。</w:t>
            </w:r>
          </w:p>
          <w:p w14:paraId="0D6132F6">
            <w:pPr>
              <w:pStyle w:val="21"/>
              <w:widowControl/>
              <w:numPr>
                <w:ilvl w:val="4"/>
                <w:numId w:val="0"/>
              </w:numPr>
              <w:suppressLineNumbers w:val="0"/>
              <w:spacing w:before="0" w:beforeAutospacing="0" w:after="0" w:afterAutospacing="0" w:line="360" w:lineRule="auto"/>
              <w:ind w:left="480" w:right="0"/>
              <w:rPr>
                <w:rFonts w:hint="default" w:ascii="Times New Roman" w:hAnsi="Times New Roman" w:cs="Times New Roman"/>
                <w:color w:val="auto"/>
                <w:kern w:val="2"/>
                <w:sz w:val="24"/>
                <w:szCs w:val="24"/>
                <w:highlight w:val="none"/>
              </w:rPr>
            </w:pPr>
            <w:r>
              <w:rPr>
                <w:rFonts w:hint="default" w:ascii="Times New Roman" w:hAnsi="Times New Roman" w:cs="Times New Roman"/>
                <w:color w:val="auto"/>
                <w:kern w:val="2"/>
                <w:sz w:val="24"/>
                <w:szCs w:val="24"/>
                <w:highlight w:val="none"/>
              </w:rPr>
              <w:t>（2）水污染物控制和水环境影响减缓措施有效性评价</w:t>
            </w:r>
          </w:p>
          <w:p w14:paraId="5E88A937">
            <w:pPr>
              <w:pStyle w:val="24"/>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本项目位于广东省韶关市乐昌市乐昌产业转移工业园内，属于园区污水处理</w:t>
            </w:r>
            <w:r>
              <w:rPr>
                <w:rFonts w:hint="default" w:ascii="Times New Roman" w:hAnsi="Times New Roman" w:cs="Times New Roman"/>
                <w:color w:val="auto"/>
                <w:sz w:val="24"/>
                <w:szCs w:val="24"/>
                <w:highlight w:val="none"/>
                <w:lang w:val="en-US" w:eastAsia="zh-CN"/>
              </w:rPr>
              <w:t>厂纳污</w:t>
            </w:r>
            <w:r>
              <w:rPr>
                <w:rFonts w:hint="default" w:ascii="Times New Roman" w:hAnsi="Times New Roman" w:cs="Times New Roman"/>
                <w:color w:val="auto"/>
                <w:sz w:val="24"/>
                <w:szCs w:val="24"/>
                <w:highlight w:val="none"/>
              </w:rPr>
              <w:t>范围</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园区污水处理厂纳污管网图见附图15</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。项目生活污水经三级化粪池</w:t>
            </w:r>
            <w:r>
              <w:rPr>
                <w:rFonts w:hint="default" w:ascii="Times New Roman" w:hAnsi="Times New Roman" w:cs="Times New Roman"/>
                <w:color w:val="auto"/>
                <w:sz w:val="24"/>
                <w:szCs w:val="24"/>
                <w:highlight w:val="none"/>
                <w:lang w:val="en-US" w:eastAsia="zh-CN"/>
              </w:rPr>
              <w:t>+隔油隔渣池</w:t>
            </w:r>
            <w:r>
              <w:rPr>
                <w:rFonts w:hint="default" w:ascii="Times New Roman" w:hAnsi="Times New Roman" w:cs="Times New Roman"/>
                <w:color w:val="auto"/>
                <w:sz w:val="24"/>
                <w:szCs w:val="24"/>
                <w:highlight w:val="none"/>
              </w:rPr>
              <w:t>预处理、</w:t>
            </w:r>
            <w:r>
              <w:rPr>
                <w:rFonts w:hint="eastAsia" w:cs="Times New Roman"/>
                <w:color w:val="auto"/>
                <w:sz w:val="24"/>
                <w:szCs w:val="24"/>
                <w:highlight w:val="none"/>
                <w:lang w:val="en-US" w:eastAsia="zh-CN"/>
              </w:rPr>
              <w:t>外排生产</w:t>
            </w:r>
            <w:r>
              <w:rPr>
                <w:rFonts w:hint="eastAsia" w:cs="Times New Roman"/>
                <w:color w:val="auto"/>
                <w:sz w:val="24"/>
                <w:szCs w:val="24"/>
                <w:highlight w:val="none"/>
                <w:lang w:eastAsia="zh-CN"/>
              </w:rPr>
              <w:t>废水经自建</w:t>
            </w:r>
            <w:r>
              <w:rPr>
                <w:rFonts w:hint="default" w:ascii="Times New Roman" w:hAnsi="Times New Roman" w:cs="Times New Roman"/>
                <w:color w:val="auto"/>
                <w:sz w:val="24"/>
                <w:szCs w:val="24"/>
                <w:highlight w:val="none"/>
              </w:rPr>
              <w:t>废水处理设施处理后，进入园区污水处理厂深度处理，处理后的尾水排入武江（乐昌城-犁市河段）。</w:t>
            </w:r>
          </w:p>
          <w:p w14:paraId="60228C84">
            <w:pPr>
              <w:pStyle w:val="27"/>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自建废水处理设施设计处理能力为</w:t>
            </w:r>
            <w:r>
              <w:rPr>
                <w:rFonts w:hint="eastAsia" w:cs="Times New Roman"/>
                <w:color w:val="auto"/>
                <w:sz w:val="24"/>
                <w:szCs w:val="24"/>
                <w:highlight w:val="none"/>
                <w:lang w:val="en-US" w:eastAsia="zh-CN"/>
              </w:rPr>
              <w:t>50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val="en-US" w:eastAsia="zh-CN"/>
              </w:rPr>
              <w:t>为避免预、主脱脂池槽液更换期间，更换废水一并进入自建污水处理站造成水质冲击，本项目处理池及污水排放管网设置有阀门，自建污水处理站设置流量调节装置，可将槽液更换期间产生的废水分批次纳入调节池中，另建设单位应加强废水管理，避免所有处理池排放废水在同一天排入自建污水处理站中，废水处理设计处理能力为</w:t>
            </w:r>
            <w:r>
              <w:rPr>
                <w:rFonts w:hint="eastAsia" w:cs="Times New Roman"/>
                <w:color w:val="auto"/>
                <w:sz w:val="24"/>
                <w:szCs w:val="24"/>
                <w:highlight w:val="none"/>
                <w:lang w:val="en-US" w:eastAsia="zh-CN"/>
              </w:rPr>
              <w:t>50</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/d，</w:t>
            </w:r>
            <w:r>
              <w:rPr>
                <w:rFonts w:hint="default" w:ascii="Times New Roman" w:hAnsi="Times New Roman" w:cs="Times New Roman"/>
                <w:color w:val="auto"/>
                <w:sz w:val="24"/>
                <w:szCs w:val="24"/>
                <w:highlight w:val="none"/>
              </w:rPr>
              <w:t>满足本项目所需处理的废水量</w:t>
            </w:r>
            <w:r>
              <w:rPr>
                <w:rFonts w:hint="eastAsia" w:cs="Times New Roman"/>
                <w:color w:val="auto"/>
                <w:sz w:val="24"/>
                <w:szCs w:val="24"/>
                <w:highlight w:val="none"/>
                <w:lang w:val="en-US" w:eastAsia="zh-CN"/>
              </w:rPr>
              <w:t>41.54</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/d</w:t>
            </w:r>
            <w:r>
              <w:rPr>
                <w:rFonts w:hint="default" w:ascii="Times New Roman" w:hAnsi="Times New Roman" w:cs="Times New Roman"/>
                <w:color w:val="auto"/>
                <w:sz w:val="24"/>
                <w:szCs w:val="24"/>
                <w:highlight w:val="none"/>
              </w:rPr>
              <w:t>。</w:t>
            </w:r>
          </w:p>
          <w:p w14:paraId="6D08FAD0">
            <w:pPr>
              <w:pStyle w:val="27"/>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vertAlign w:val="baseline"/>
                <w:lang w:val="en-US" w:eastAsia="zh-CN"/>
              </w:rPr>
            </w:pPr>
            <w:r>
              <w:rPr>
                <w:rFonts w:hint="eastAsia"/>
                <w:color w:val="auto"/>
                <w:sz w:val="24"/>
                <w:szCs w:val="24"/>
                <w:lang w:val="en-US" w:eastAsia="zh-CN"/>
              </w:rPr>
              <w:t>根据废水产生情况，槽液更换量最大为11.2m</w:t>
            </w:r>
            <w:r>
              <w:rPr>
                <w:rFonts w:hint="eastAsia"/>
                <w:color w:val="auto"/>
                <w:sz w:val="24"/>
                <w:szCs w:val="24"/>
                <w:vertAlign w:val="superscript"/>
                <w:lang w:val="en-US" w:eastAsia="zh-CN"/>
              </w:rPr>
              <w:t>3</w:t>
            </w:r>
            <w:r>
              <w:rPr>
                <w:rFonts w:hint="eastAsia"/>
                <w:color w:val="auto"/>
                <w:sz w:val="24"/>
                <w:szCs w:val="24"/>
                <w:lang w:val="en-US" w:eastAsia="zh-CN"/>
              </w:rPr>
              <w:t>，每次更换一个槽池，假设更换槽液时其他池子正常作业（即溢流废水正常产生），则单日最大废水产生量为11.2+10010.08÷241=52.74t/d，项目废水处理站设置调节池容积为55m</w:t>
            </w:r>
            <w:r>
              <w:rPr>
                <w:rFonts w:hint="eastAsia"/>
                <w:color w:val="auto"/>
                <w:sz w:val="24"/>
                <w:szCs w:val="24"/>
                <w:vertAlign w:val="superscript"/>
                <w:lang w:val="en-US" w:eastAsia="zh-CN"/>
              </w:rPr>
              <w:t>3</w:t>
            </w:r>
            <w:r>
              <w:rPr>
                <w:rFonts w:hint="eastAsia"/>
                <w:color w:val="auto"/>
                <w:sz w:val="24"/>
                <w:szCs w:val="24"/>
                <w:vertAlign w:val="baseline"/>
                <w:lang w:val="en-US" w:eastAsia="zh-CN"/>
              </w:rPr>
              <w:t>，大于单日最大废水产生量，调节池容积足以缓冲水量冲击负荷。</w:t>
            </w:r>
          </w:p>
          <w:p w14:paraId="48501CBE">
            <w:pPr>
              <w:pStyle w:val="27"/>
              <w:keepNext w:val="0"/>
              <w:keepLines w:val="0"/>
              <w:suppressLineNumbers w:val="0"/>
              <w:spacing w:before="0" w:beforeAutospacing="0" w:after="0" w:afterAutospacing="0" w:line="360" w:lineRule="auto"/>
              <w:ind w:left="0" w:right="0" w:firstLine="482"/>
              <w:rPr>
                <w:rFonts w:hint="default" w:ascii="Times New Roman" w:hAnsi="Times New Roman" w:cs="Times New Roman"/>
                <w:color w:val="auto"/>
                <w:kern w:val="0"/>
                <w:sz w:val="24"/>
                <w:szCs w:val="24"/>
                <w:highlight w:val="none"/>
                <w:lang w:bidi="ar"/>
              </w:rPr>
            </w:pPr>
            <w:r>
              <w:rPr>
                <w:rFonts w:hint="default" w:ascii="Times New Roman" w:hAnsi="Times New Roman" w:cs="Times New Roman"/>
                <w:color w:val="auto"/>
                <w:kern w:val="0"/>
                <w:sz w:val="24"/>
                <w:szCs w:val="24"/>
                <w:highlight w:val="none"/>
                <w:lang w:bidi="ar"/>
              </w:rPr>
              <w:t>园区污水处理厂出水水质执行《城镇污水处理厂污染物排放标准》（GB18918-2002）中</w:t>
            </w:r>
            <w:r>
              <w:rPr>
                <w:rFonts w:hint="eastAsia" w:cs="Times New Roman"/>
                <w:color w:val="auto"/>
                <w:kern w:val="0"/>
                <w:sz w:val="24"/>
                <w:szCs w:val="24"/>
                <w:highlight w:val="none"/>
                <w:lang w:eastAsia="zh-CN" w:bidi="ar"/>
              </w:rPr>
              <w:t>及其修改单一级 A 标准</w:t>
            </w:r>
            <w:r>
              <w:rPr>
                <w:rFonts w:hint="default" w:ascii="Times New Roman" w:hAnsi="Times New Roman" w:cs="Times New Roman"/>
                <w:color w:val="auto"/>
                <w:kern w:val="0"/>
                <w:sz w:val="24"/>
                <w:szCs w:val="24"/>
                <w:highlight w:val="none"/>
                <w:lang w:bidi="ar"/>
              </w:rPr>
              <w:t>和广东省《水污染物排放限值》（DB44/26-2001）中的第二时段一级排放标准较严者，对周围环境影响较小。</w:t>
            </w:r>
          </w:p>
          <w:p w14:paraId="1C4456F3">
            <w:pPr>
              <w:pStyle w:val="27"/>
              <w:keepNext w:val="0"/>
              <w:keepLines w:val="0"/>
              <w:suppressLineNumbers w:val="0"/>
              <w:spacing w:before="0" w:beforeAutospacing="0" w:after="0" w:afterAutospacing="0" w:line="360" w:lineRule="auto"/>
              <w:ind w:left="0" w:right="0" w:firstLine="482"/>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（3）依托污水设施的环境可行性评价</w:t>
            </w:r>
          </w:p>
          <w:p w14:paraId="2E1A95DD">
            <w:pPr>
              <w:pStyle w:val="27"/>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产业园范围内已有乐昌产业转移工业园污水处理厂，</w:t>
            </w:r>
            <w:r>
              <w:rPr>
                <w:rFonts w:hint="default" w:ascii="Times New Roman" w:hAnsi="Times New Roman" w:cs="Times New Roman"/>
                <w:color w:val="auto"/>
                <w:sz w:val="24"/>
                <w:szCs w:val="24"/>
                <w:highlight w:val="none"/>
                <w:lang w:val="en-US" w:eastAsia="zh-CN"/>
              </w:rPr>
              <w:t>且本项目所在地块已纳入现状排污管收集范围内。</w:t>
            </w:r>
            <w:r>
              <w:rPr>
                <w:rFonts w:hint="default" w:ascii="Times New Roman" w:hAnsi="Times New Roman" w:cs="Times New Roman"/>
                <w:color w:val="auto"/>
                <w:sz w:val="24"/>
                <w:szCs w:val="24"/>
                <w:highlight w:val="none"/>
              </w:rPr>
              <w:t>污水工艺采用循环式活性污泥法（CASS）工艺。出水水质标准执行广东省地方标准《水污染物排放限值》</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DB44/26-2001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第二时段一级标准及国家《城镇污水处理厂污染物排放标准》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GB18918-2002</w:t>
            </w:r>
            <w:r>
              <w:rPr>
                <w:rFonts w:hint="default" w:ascii="Times New Roman" w:hAnsi="Times New Roman" w:cs="Times New Roman"/>
                <w:color w:val="auto"/>
                <w:sz w:val="24"/>
                <w:szCs w:val="24"/>
                <w:highlight w:val="none"/>
                <w:lang w:eastAsia="zh-CN"/>
              </w:rPr>
              <w:t>）</w:t>
            </w:r>
            <w:r>
              <w:rPr>
                <w:rFonts w:hint="eastAsia" w:cs="Times New Roman"/>
                <w:color w:val="auto"/>
                <w:sz w:val="24"/>
                <w:szCs w:val="24"/>
                <w:highlight w:val="none"/>
                <w:lang w:eastAsia="zh-CN"/>
              </w:rPr>
              <w:t>及其修改单一级 A 标准</w:t>
            </w:r>
            <w:r>
              <w:rPr>
                <w:rFonts w:hint="default" w:ascii="Times New Roman" w:hAnsi="Times New Roman" w:cs="Times New Roman"/>
                <w:color w:val="auto"/>
                <w:sz w:val="24"/>
                <w:szCs w:val="24"/>
                <w:highlight w:val="none"/>
              </w:rPr>
              <w:t>中较严标准，处理达标后由污水处理厂内提升泵通过已建成6392米长的出水管道输送至武江排放。</w:t>
            </w:r>
          </w:p>
          <w:p w14:paraId="51602D7E">
            <w:pPr>
              <w:pStyle w:val="27"/>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园区污水处理厂主体工艺</w:t>
            </w:r>
            <w:r>
              <w:rPr>
                <w:rFonts w:hint="default" w:ascii="Times New Roman" w:hAnsi="Times New Roman" w:cs="Times New Roman"/>
                <w:color w:val="auto"/>
                <w:sz w:val="24"/>
                <w:szCs w:val="24"/>
                <w:highlight w:val="none"/>
                <w:lang w:eastAsia="zh-CN"/>
              </w:rPr>
              <w:t>采用</w:t>
            </w:r>
            <w:r>
              <w:rPr>
                <w:rFonts w:hint="default" w:ascii="Times New Roman" w:hAnsi="Times New Roman" w:cs="Times New Roman"/>
                <w:color w:val="auto"/>
                <w:sz w:val="24"/>
                <w:szCs w:val="24"/>
                <w:highlight w:val="none"/>
              </w:rPr>
              <w:t>CASS，该工艺运行灵活、耐冲击能力强等优点。对于产业转移工业园工业废水，现状各企业基本无生产废水产生，只产生生活污水。可能对污水厂处理工艺产生影响的主要为产业转移工业园规划引进的企业的生产废水，园区主导行业电子信息、机械、金属制品、轻纺等产业可能产生的生产废水中部分指标较高，对于接入污水厂的生产废水，产业转移工业园要求企业根据生产废水的水质情况进行预处理。其中，如有集成电路生产企业，其生产废水经pH值调节、投药、絮凝沉淀，重点去除F</w:t>
            </w:r>
            <w:r>
              <w:rPr>
                <w:rFonts w:hint="default" w:ascii="Times New Roman" w:hAnsi="Times New Roman" w:cs="Times New Roman"/>
                <w:color w:val="auto"/>
                <w:sz w:val="24"/>
                <w:szCs w:val="24"/>
                <w:highlight w:val="none"/>
                <w:vertAlign w:val="superscript"/>
              </w:rPr>
              <w:t>-</w:t>
            </w:r>
            <w:r>
              <w:rPr>
                <w:rFonts w:hint="default" w:ascii="Times New Roman" w:hAnsi="Times New Roman" w:cs="Times New Roman"/>
                <w:color w:val="auto"/>
                <w:sz w:val="24"/>
                <w:szCs w:val="24"/>
                <w:highlight w:val="none"/>
              </w:rPr>
              <w:t>后，预处理达到广东省《水污染</w:t>
            </w:r>
            <w:r>
              <w:rPr>
                <w:rFonts w:hint="default" w:ascii="Times New Roman" w:hAnsi="Times New Roman" w:cs="Times New Roman"/>
                <w:color w:val="auto"/>
                <w:sz w:val="24"/>
                <w:szCs w:val="24"/>
                <w:highlight w:val="none"/>
                <w:lang w:val="en-US" w:eastAsia="zh-CN"/>
              </w:rPr>
              <w:t>物</w:t>
            </w:r>
            <w:r>
              <w:rPr>
                <w:rFonts w:hint="default" w:ascii="Times New Roman" w:hAnsi="Times New Roman" w:cs="Times New Roman"/>
                <w:color w:val="auto"/>
                <w:sz w:val="24"/>
                <w:szCs w:val="24"/>
                <w:highlight w:val="none"/>
              </w:rPr>
              <w:t>排放限值》</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DB44/26-2001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第二时段三级标准</w:t>
            </w:r>
            <w:r>
              <w:rPr>
                <w:rFonts w:hint="default" w:ascii="Times New Roman" w:hAnsi="Times New Roman" w:cs="Times New Roman"/>
                <w:color w:val="auto"/>
                <w:sz w:val="24"/>
                <w:szCs w:val="24"/>
                <w:highlight w:val="none"/>
                <w:lang w:eastAsia="zh-CN"/>
              </w:rPr>
              <w:t>。</w:t>
            </w:r>
          </w:p>
          <w:p w14:paraId="461B6246">
            <w:pPr>
              <w:pStyle w:val="24"/>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产业园污水处理厂目前已建成正常运行，并安装了在线监控设施并</w:t>
            </w:r>
            <w:r>
              <w:rPr>
                <w:rFonts w:hint="default" w:ascii="Times New Roman" w:hAnsi="Times New Roman" w:cs="Times New Roman"/>
                <w:color w:val="auto"/>
                <w:sz w:val="24"/>
                <w:szCs w:val="24"/>
                <w:highlight w:val="none"/>
                <w:lang w:eastAsia="zh-CN"/>
              </w:rPr>
              <w:t>与</w:t>
            </w:r>
            <w:r>
              <w:rPr>
                <w:rFonts w:hint="eastAsia" w:cs="Times New Roman"/>
                <w:color w:val="auto"/>
                <w:sz w:val="24"/>
                <w:szCs w:val="24"/>
                <w:highlight w:val="none"/>
                <w:lang w:eastAsia="zh-CN"/>
              </w:rPr>
              <w:t>生态环境主管部门</w:t>
            </w:r>
            <w:r>
              <w:rPr>
                <w:rFonts w:hint="default" w:ascii="Times New Roman" w:hAnsi="Times New Roman" w:cs="Times New Roman"/>
                <w:color w:val="auto"/>
                <w:sz w:val="24"/>
                <w:szCs w:val="24"/>
                <w:highlight w:val="none"/>
              </w:rPr>
              <w:t>联网，园区污水处理厂占地面积15400m²，设计处理能力为10000m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/d，分两期建设，一期处理能力5000m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/d，二期处理能力5000m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/d，现状首期5000m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/d已经建成运行。</w:t>
            </w:r>
          </w:p>
          <w:p w14:paraId="6D88BEF2">
            <w:pPr>
              <w:keepNext w:val="0"/>
              <w:keepLines w:val="0"/>
              <w:widowControl/>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根据乐昌产业转移工业园管委会提供的资料显示：2025年1月至6月期间，乐昌市产业转移工业园污水处理厂接纳污水总量为404312</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vertAlign w:val="baseline"/>
                <w:lang w:eastAsia="zh-CN"/>
              </w:rPr>
              <w:t>，</w:t>
            </w:r>
            <w:r>
              <w:rPr>
                <w:rFonts w:hint="default" w:ascii="Times New Roman" w:hAnsi="Times New Roman" w:cs="Times New Roman"/>
                <w:color w:val="auto"/>
                <w:sz w:val="24"/>
                <w:szCs w:val="24"/>
                <w:highlight w:val="none"/>
                <w:vertAlign w:val="baseline"/>
                <w:lang w:val="en-US" w:eastAsia="zh-CN"/>
              </w:rPr>
              <w:t>最大接纳污水量为6月</w:t>
            </w:r>
            <w:r>
              <w:rPr>
                <w:rFonts w:hint="default" w:ascii="Times New Roman" w:hAnsi="Times New Roman" w:cs="Times New Roman"/>
                <w:color w:val="auto"/>
                <w:sz w:val="24"/>
                <w:szCs w:val="24"/>
                <w:highlight w:val="none"/>
                <w:lang w:val="en-US" w:eastAsia="zh-CN"/>
              </w:rPr>
              <w:t>110739</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vertAlign w:val="baseline"/>
                <w:lang w:eastAsia="zh-CN"/>
              </w:rPr>
              <w:t>，</w:t>
            </w:r>
            <w:r>
              <w:rPr>
                <w:rFonts w:hint="default" w:ascii="Times New Roman" w:hAnsi="Times New Roman" w:cs="Times New Roman"/>
                <w:color w:val="auto"/>
                <w:sz w:val="24"/>
                <w:szCs w:val="24"/>
                <w:highlight w:val="none"/>
                <w:vertAlign w:val="baseline"/>
                <w:lang w:val="en-US" w:eastAsia="zh-CN"/>
              </w:rPr>
              <w:t>最小接纳污水量为1月</w:t>
            </w:r>
            <w:r>
              <w:rPr>
                <w:rFonts w:hint="default" w:ascii="Times New Roman" w:hAnsi="Times New Roman" w:cs="Times New Roman"/>
                <w:color w:val="auto"/>
                <w:sz w:val="24"/>
                <w:szCs w:val="24"/>
                <w:highlight w:val="none"/>
                <w:lang w:val="en-US" w:eastAsia="zh-CN"/>
              </w:rPr>
              <w:t>32168</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vertAlign w:val="baseline"/>
                <w:lang w:eastAsia="zh-CN"/>
              </w:rPr>
              <w:t>，</w:t>
            </w:r>
            <w:r>
              <w:rPr>
                <w:rFonts w:hint="default" w:ascii="Times New Roman" w:hAnsi="Times New Roman" w:cs="Times New Roman"/>
                <w:color w:val="auto"/>
                <w:sz w:val="24"/>
                <w:szCs w:val="24"/>
                <w:highlight w:val="none"/>
                <w:vertAlign w:val="baseline"/>
                <w:lang w:val="en-US" w:eastAsia="zh-CN"/>
              </w:rPr>
              <w:t>平均每月接纳污水总量为80862.4</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vertAlign w:val="baseline"/>
                <w:lang w:val="en-US" w:eastAsia="zh-CN"/>
              </w:rPr>
              <w:t>，按每月30日折算</w:t>
            </w:r>
            <w:r>
              <w:rPr>
                <w:rFonts w:hint="default" w:ascii="Times New Roman" w:hAnsi="Times New Roman" w:cs="Times New Roman"/>
                <w:color w:val="auto"/>
                <w:kern w:val="0"/>
                <w:sz w:val="24"/>
                <w:szCs w:val="24"/>
                <w:highlight w:val="none"/>
                <w:lang w:val="en-US" w:eastAsia="zh-CN" w:bidi="ar"/>
              </w:rPr>
              <w:t>日处理量约为2695.4</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kern w:val="0"/>
                <w:sz w:val="24"/>
                <w:szCs w:val="24"/>
                <w:highlight w:val="none"/>
                <w:lang w:val="en-US" w:eastAsia="zh-CN" w:bidi="ar"/>
              </w:rPr>
              <w:t>/d，则剩余接纳污水能力为</w:t>
            </w:r>
            <w:r>
              <w:rPr>
                <w:rFonts w:hint="default" w:ascii="Times New Roman" w:hAnsi="Times New Roman" w:cs="Times New Roman"/>
                <w:color w:val="auto"/>
                <w:sz w:val="24"/>
                <w:szCs w:val="24"/>
                <w:highlight w:val="none"/>
              </w:rPr>
              <w:t>5000m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kern w:val="0"/>
                <w:sz w:val="24"/>
                <w:szCs w:val="24"/>
                <w:highlight w:val="none"/>
                <w:lang w:val="en-US" w:eastAsia="zh-CN" w:bidi="ar"/>
              </w:rPr>
              <w:t>2695.4</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kern w:val="0"/>
                <w:sz w:val="24"/>
                <w:szCs w:val="24"/>
                <w:highlight w:val="none"/>
                <w:lang w:val="en-US" w:eastAsia="zh-CN" w:bidi="ar"/>
              </w:rPr>
              <w:t>/d=2304.6</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kern w:val="0"/>
                <w:sz w:val="24"/>
                <w:szCs w:val="24"/>
                <w:highlight w:val="none"/>
                <w:lang w:val="en-US" w:eastAsia="zh-CN" w:bidi="ar"/>
              </w:rPr>
              <w:t>/d。</w:t>
            </w:r>
          </w:p>
          <w:p w14:paraId="1F7EBDB1">
            <w:pPr>
              <w:pStyle w:val="24"/>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本项目</w:t>
            </w:r>
            <w:r>
              <w:rPr>
                <w:rFonts w:hint="eastAsia" w:cs="Times New Roman"/>
                <w:color w:val="auto"/>
                <w:sz w:val="24"/>
                <w:szCs w:val="24"/>
                <w:highlight w:val="none"/>
                <w:lang w:val="en-US" w:eastAsia="zh-CN"/>
              </w:rPr>
              <w:t>全厂</w:t>
            </w:r>
            <w:r>
              <w:rPr>
                <w:rFonts w:hint="default" w:ascii="Times New Roman" w:hAnsi="Times New Roman" w:cs="Times New Roman"/>
                <w:color w:val="auto"/>
                <w:sz w:val="24"/>
                <w:szCs w:val="24"/>
                <w:highlight w:val="none"/>
              </w:rPr>
              <w:t>纳入污水处理厂的污水排放量为</w:t>
            </w:r>
            <w:r>
              <w:rPr>
                <w:rFonts w:hint="eastAsia" w:cs="Times New Roman"/>
                <w:color w:val="auto"/>
                <w:sz w:val="24"/>
                <w:szCs w:val="24"/>
                <w:highlight w:val="none"/>
                <w:lang w:val="en-US" w:eastAsia="zh-CN"/>
              </w:rPr>
              <w:t>50.12</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/d，</w:t>
            </w:r>
            <w:r>
              <w:rPr>
                <w:rFonts w:hint="default" w:ascii="Times New Roman" w:hAnsi="Times New Roman" w:cs="Times New Roman"/>
                <w:color w:val="auto"/>
                <w:sz w:val="24"/>
                <w:szCs w:val="24"/>
                <w:highlight w:val="none"/>
                <w:lang w:val="en-US" w:eastAsia="zh-CN"/>
              </w:rPr>
              <w:t>约</w:t>
            </w:r>
            <w:r>
              <w:rPr>
                <w:rFonts w:hint="default" w:ascii="Times New Roman" w:hAnsi="Times New Roman" w:cs="Times New Roman"/>
                <w:color w:val="auto"/>
                <w:sz w:val="24"/>
                <w:szCs w:val="24"/>
                <w:highlight w:val="none"/>
                <w:lang w:eastAsia="zh-CN"/>
              </w:rPr>
              <w:t>占剩余处理能力的</w:t>
            </w:r>
            <w:r>
              <w:rPr>
                <w:rFonts w:hint="eastAsia" w:cs="Times New Roman"/>
                <w:color w:val="auto"/>
                <w:sz w:val="24"/>
                <w:szCs w:val="24"/>
                <w:highlight w:val="none"/>
                <w:lang w:val="en-US" w:eastAsia="zh-CN"/>
              </w:rPr>
              <w:t>2.2</w:t>
            </w:r>
            <w:r>
              <w:rPr>
                <w:rFonts w:hint="default"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污水中的污染物主要为SS、COD</w:t>
            </w:r>
            <w:r>
              <w:rPr>
                <w:rFonts w:hint="default" w:ascii="Times New Roman" w:hAnsi="Times New Roman" w:cs="Times New Roman"/>
                <w:color w:val="auto"/>
                <w:sz w:val="24"/>
                <w:szCs w:val="24"/>
                <w:highlight w:val="none"/>
                <w:vertAlign w:val="subscript"/>
                <w:lang w:val="en-US" w:eastAsia="zh-CN"/>
              </w:rPr>
              <w:t>Cr</w:t>
            </w:r>
            <w:r>
              <w:rPr>
                <w:rFonts w:hint="default" w:ascii="Times New Roman" w:hAnsi="Times New Roman" w:cs="Times New Roman"/>
                <w:color w:val="auto"/>
                <w:sz w:val="24"/>
                <w:szCs w:val="24"/>
                <w:highlight w:val="none"/>
              </w:rPr>
              <w:t>、BOD</w:t>
            </w:r>
            <w:r>
              <w:rPr>
                <w:rFonts w:hint="default" w:ascii="Times New Roman" w:hAnsi="Times New Roman" w:cs="Times New Roman"/>
                <w:color w:val="auto"/>
                <w:sz w:val="24"/>
                <w:szCs w:val="24"/>
                <w:highlight w:val="none"/>
                <w:vertAlign w:val="subscript"/>
                <w:lang w:val="en-US" w:eastAsia="zh-CN"/>
              </w:rPr>
              <w:t>5</w:t>
            </w:r>
            <w:r>
              <w:rPr>
                <w:rFonts w:hint="default" w:ascii="Times New Roman" w:hAnsi="Times New Roman" w:cs="Times New Roman"/>
                <w:color w:val="auto"/>
                <w:sz w:val="24"/>
                <w:szCs w:val="24"/>
                <w:highlight w:val="none"/>
              </w:rPr>
              <w:t>、NH</w:t>
            </w:r>
            <w:r>
              <w:rPr>
                <w:rFonts w:hint="default" w:ascii="Times New Roman" w:hAnsi="Times New Roman" w:cs="Times New Roman"/>
                <w:color w:val="auto"/>
                <w:sz w:val="24"/>
                <w:szCs w:val="24"/>
                <w:highlight w:val="none"/>
                <w:vertAlign w:val="subscript"/>
              </w:rPr>
              <w:t>3</w:t>
            </w:r>
            <w:r>
              <w:rPr>
                <w:rFonts w:hint="default" w:ascii="Times New Roman" w:hAnsi="Times New Roman" w:cs="Times New Roman"/>
                <w:color w:val="auto"/>
                <w:sz w:val="24"/>
                <w:szCs w:val="24"/>
                <w:highlight w:val="none"/>
              </w:rPr>
              <w:t>-N、氟化物、LAS、</w:t>
            </w:r>
            <w:r>
              <w:rPr>
                <w:rFonts w:hint="eastAsia" w:cs="Times New Roman"/>
                <w:color w:val="auto"/>
                <w:sz w:val="24"/>
                <w:szCs w:val="24"/>
                <w:highlight w:val="none"/>
                <w:lang w:val="en-US" w:eastAsia="zh-CN"/>
              </w:rPr>
              <w:t>总铝、</w:t>
            </w:r>
            <w:r>
              <w:rPr>
                <w:rFonts w:hint="default" w:ascii="Times New Roman" w:hAnsi="Times New Roman" w:cs="Times New Roman"/>
                <w:color w:val="auto"/>
                <w:sz w:val="24"/>
                <w:szCs w:val="24"/>
                <w:highlight w:val="none"/>
              </w:rPr>
              <w:t>石油类</w:t>
            </w:r>
            <w:r>
              <w:rPr>
                <w:rFonts w:hint="default" w:ascii="Times New Roman" w:hAnsi="Times New Roman" w:cs="Times New Roman"/>
                <w:color w:val="auto"/>
                <w:sz w:val="24"/>
                <w:szCs w:val="24"/>
                <w:highlight w:val="none"/>
                <w:lang w:val="en-US" w:eastAsia="zh-CN"/>
              </w:rPr>
              <w:t>、锆、钛</w:t>
            </w:r>
            <w:r>
              <w:rPr>
                <w:rFonts w:hint="default" w:ascii="Times New Roman" w:hAnsi="Times New Roman" w:cs="Times New Roman"/>
                <w:color w:val="auto"/>
                <w:sz w:val="24"/>
                <w:szCs w:val="24"/>
                <w:highlight w:val="none"/>
              </w:rPr>
              <w:t>等，污染物种类较简单</w:t>
            </w:r>
            <w:r>
              <w:rPr>
                <w:rFonts w:hint="default" w:ascii="Times New Roman" w:hAnsi="Times New Roman" w:cs="Times New Roman"/>
                <w:color w:val="auto"/>
                <w:sz w:val="24"/>
                <w:szCs w:val="24"/>
                <w:highlight w:val="none"/>
                <w:lang w:eastAsia="zh-CN"/>
              </w:rPr>
              <w:t>。</w:t>
            </w:r>
          </w:p>
          <w:p w14:paraId="3004028E">
            <w:pPr>
              <w:pStyle w:val="24"/>
              <w:keepNext w:val="0"/>
              <w:keepLines w:val="0"/>
              <w:suppressLineNumbers w:val="0"/>
              <w:spacing w:before="0" w:beforeAutospacing="0" w:after="0" w:afterAutospacing="0" w:line="360" w:lineRule="auto"/>
              <w:ind w:left="0" w:right="0" w:firstLine="480"/>
              <w:rPr>
                <w:rFonts w:hint="default" w:ascii="Times New Roman" w:hAnsi="Times New Roman" w:cs="Times New Roman"/>
                <w:b/>
                <w:bCs/>
                <w:color w:val="auto"/>
                <w:sz w:val="24"/>
                <w:szCs w:val="24"/>
                <w:highlight w:val="none"/>
                <w:lang w:val="en-US"/>
              </w:rPr>
            </w:pPr>
            <w:r>
              <w:rPr>
                <w:rFonts w:hint="default" w:ascii="Times New Roman" w:hAnsi="Times New Roman" w:cs="Times New Roman"/>
                <w:b/>
                <w:bCs/>
                <w:color w:val="auto"/>
                <w:sz w:val="24"/>
                <w:szCs w:val="24"/>
                <w:highlight w:val="none"/>
                <w:lang w:val="en-US" w:eastAsia="zh-CN"/>
              </w:rPr>
              <w:t>园区污水处理厂对</w:t>
            </w:r>
            <w:bookmarkStart w:id="28" w:name="OLE_LINK49"/>
            <w:r>
              <w:rPr>
                <w:rFonts w:hint="default" w:ascii="Times New Roman" w:hAnsi="Times New Roman" w:cs="Times New Roman"/>
                <w:b/>
                <w:bCs/>
                <w:color w:val="auto"/>
                <w:sz w:val="24"/>
                <w:szCs w:val="24"/>
                <w:highlight w:val="none"/>
                <w:lang w:val="en-US" w:eastAsia="zh-CN"/>
              </w:rPr>
              <w:t>LAS、氟化物、</w:t>
            </w:r>
            <w:bookmarkEnd w:id="28"/>
            <w:r>
              <w:rPr>
                <w:rFonts w:hint="default" w:ascii="Times New Roman" w:hAnsi="Times New Roman" w:cs="Times New Roman"/>
                <w:b/>
                <w:bCs/>
                <w:color w:val="auto"/>
                <w:sz w:val="24"/>
                <w:szCs w:val="24"/>
                <w:highlight w:val="none"/>
                <w:lang w:val="en-US" w:eastAsia="zh-CN"/>
              </w:rPr>
              <w:t>锆和钛的处理能力分析：</w:t>
            </w:r>
          </w:p>
          <w:p w14:paraId="2A94561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bookmarkStart w:id="29" w:name="OLE_LINK50"/>
            <w:r>
              <w:rPr>
                <w:rFonts w:hint="default" w:ascii="Times New Roman" w:hAnsi="Times New Roman" w:eastAsia="宋体" w:cs="Times New Roman"/>
                <w:b w:val="0"/>
                <w:bCs w:val="0"/>
                <w:color w:val="auto"/>
                <w:sz w:val="24"/>
                <w:szCs w:val="24"/>
                <w:highlight w:val="none"/>
              </w:rPr>
              <w:t>一、工艺适配性分析</w:t>
            </w:r>
          </w:p>
          <w:p w14:paraId="5800E7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rPr>
              <w:t>预处理工艺与园区工艺衔接</w:t>
            </w:r>
          </w:p>
          <w:p w14:paraId="2D141A9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rPr>
              <w:t>本项目</w:t>
            </w:r>
            <w:r>
              <w:rPr>
                <w:rFonts w:hint="default" w:ascii="Times New Roman" w:hAnsi="Times New Roman" w:eastAsia="宋体" w:cs="Times New Roman"/>
                <w:b w:val="0"/>
                <w:bCs w:val="0"/>
                <w:color w:val="auto"/>
                <w:sz w:val="24"/>
                <w:szCs w:val="24"/>
                <w:highlight w:val="none"/>
              </w:rPr>
              <w:t>采用“</w:t>
            </w:r>
            <w:r>
              <w:rPr>
                <w:rFonts w:hint="eastAsia" w:cs="Times New Roman"/>
                <w:b w:val="0"/>
                <w:bCs w:val="0"/>
                <w:color w:val="auto"/>
                <w:sz w:val="24"/>
                <w:szCs w:val="24"/>
                <w:highlight w:val="none"/>
                <w:lang w:eastAsia="zh-CN"/>
              </w:rPr>
              <w:t>中和调节+混凝沉淀+气浮+化学除氟</w:t>
            </w:r>
            <w:r>
              <w:rPr>
                <w:rFonts w:hint="default" w:ascii="Times New Roman" w:hAnsi="Times New Roman" w:eastAsia="宋体" w:cs="Times New Roman"/>
                <w:b w:val="0"/>
                <w:bCs w:val="0"/>
                <w:color w:val="auto"/>
                <w:sz w:val="24"/>
                <w:szCs w:val="24"/>
                <w:highlight w:val="none"/>
              </w:rPr>
              <w:t>”预处理工艺，混凝沉淀通过电荷中和作用破坏LAS胶体稳定性，气浮则通过微气泡吸附将其分离</w:t>
            </w:r>
            <w:r>
              <w:rPr>
                <w:rFonts w:hint="default" w:ascii="Times New Roman" w:hAnsi="Times New Roman" w:eastAsia="宋体" w:cs="Times New Roman"/>
                <w:b w:val="0"/>
                <w:bCs w:val="0"/>
                <w:color w:val="auto"/>
                <w:sz w:val="24"/>
                <w:szCs w:val="24"/>
                <w:highlight w:val="none"/>
                <w:lang w:eastAsia="zh-CN"/>
              </w:rPr>
              <w:t>。预处理工艺</w:t>
            </w:r>
            <w:r>
              <w:rPr>
                <w:rFonts w:hint="default" w:ascii="Times New Roman" w:hAnsi="Times New Roman" w:eastAsia="宋体" w:cs="Times New Roman"/>
                <w:b w:val="0"/>
                <w:bCs w:val="0"/>
                <w:color w:val="auto"/>
                <w:sz w:val="24"/>
                <w:szCs w:val="24"/>
                <w:highlight w:val="none"/>
              </w:rPr>
              <w:t>可有效降低废水中</w:t>
            </w:r>
            <w:r>
              <w:rPr>
                <w:rFonts w:hint="default" w:ascii="Times New Roman" w:hAnsi="Times New Roman" w:eastAsia="宋体" w:cs="Times New Roman"/>
                <w:b w:val="0"/>
                <w:bCs w:val="0"/>
                <w:color w:val="auto"/>
                <w:sz w:val="24"/>
                <w:szCs w:val="24"/>
                <w:highlight w:val="none"/>
                <w:lang w:val="en-US" w:eastAsia="zh-CN"/>
              </w:rPr>
              <w:t>LAS、氟化物、</w:t>
            </w:r>
            <w:r>
              <w:rPr>
                <w:rFonts w:hint="default" w:ascii="Times New Roman" w:hAnsi="Times New Roman" w:eastAsia="宋体" w:cs="Times New Roman"/>
                <w:b w:val="0"/>
                <w:bCs w:val="0"/>
                <w:color w:val="auto"/>
                <w:sz w:val="24"/>
                <w:szCs w:val="24"/>
                <w:highlight w:val="none"/>
              </w:rPr>
              <w:t>锆（Zr）、钛（Ti）浓度</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显著减轻园区污水处理厂负荷。</w:t>
            </w:r>
          </w:p>
          <w:p w14:paraId="56D86DE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rPr>
              <w:t>CASS工艺处理能力</w:t>
            </w:r>
          </w:p>
          <w:p w14:paraId="06C3359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a</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金属氢氧化物沉淀机理</w:t>
            </w:r>
          </w:p>
          <w:p w14:paraId="6CE8899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rPr>
              <w:t>Zr⁴⁺在pH≥7.0条件下生成Zr(OH)₄沉淀（Ksp≈10⁻⁵⁶），Ti⁴⁺形成Ti(OH)₄胶体（Ksp≈10⁻⁴⁴），投加PAC（聚合氯化铝）和PAM（聚丙烯酰胺）后，通过电荷中和、吸附架桥及网捕作用，形成致密絮体，</w:t>
            </w:r>
            <w:r>
              <w:rPr>
                <w:rFonts w:hint="default" w:ascii="Times New Roman" w:hAnsi="Times New Roman" w:eastAsia="宋体" w:cs="Times New Roman"/>
                <w:b w:val="0"/>
                <w:bCs w:val="0"/>
                <w:color w:val="auto"/>
                <w:sz w:val="24"/>
                <w:szCs w:val="24"/>
                <w:highlight w:val="none"/>
                <w:lang w:val="en-US" w:eastAsia="zh-CN"/>
              </w:rPr>
              <w:t>可</w:t>
            </w:r>
            <w:r>
              <w:rPr>
                <w:rFonts w:hint="default" w:ascii="Times New Roman" w:hAnsi="Times New Roman" w:eastAsia="宋体" w:cs="Times New Roman"/>
                <w:b w:val="0"/>
                <w:bCs w:val="0"/>
                <w:color w:val="auto"/>
                <w:sz w:val="24"/>
                <w:szCs w:val="24"/>
                <w:highlight w:val="none"/>
              </w:rPr>
              <w:t>沉淀</w:t>
            </w:r>
            <w:r>
              <w:rPr>
                <w:rFonts w:hint="default" w:ascii="Times New Roman" w:hAnsi="Times New Roman" w:eastAsia="宋体" w:cs="Times New Roman"/>
                <w:b w:val="0"/>
                <w:bCs w:val="0"/>
                <w:color w:val="auto"/>
                <w:sz w:val="24"/>
                <w:szCs w:val="24"/>
                <w:highlight w:val="none"/>
                <w:lang w:val="en-US" w:eastAsia="zh-CN"/>
              </w:rPr>
              <w:t>去除，沉淀</w:t>
            </w:r>
            <w:r>
              <w:rPr>
                <w:rFonts w:hint="default" w:ascii="Times New Roman" w:hAnsi="Times New Roman" w:eastAsia="宋体" w:cs="Times New Roman"/>
                <w:b w:val="0"/>
                <w:bCs w:val="0"/>
                <w:color w:val="auto"/>
                <w:sz w:val="24"/>
                <w:szCs w:val="24"/>
                <w:highlight w:val="none"/>
              </w:rPr>
              <w:t>效率提升20%</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30%</w:t>
            </w:r>
            <w:r>
              <w:rPr>
                <w:rFonts w:hint="default" w:ascii="Times New Roman" w:hAnsi="Times New Roman" w:eastAsia="宋体" w:cs="Times New Roman"/>
                <w:b w:val="0"/>
                <w:bCs w:val="0"/>
                <w:color w:val="auto"/>
                <w:sz w:val="24"/>
                <w:szCs w:val="24"/>
                <w:highlight w:val="none"/>
                <w:lang w:eastAsia="zh-CN"/>
              </w:rPr>
              <w:t>。</w:t>
            </w:r>
          </w:p>
          <w:p w14:paraId="58BEC48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b</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生物吸附机制</w:t>
            </w:r>
          </w:p>
          <w:p w14:paraId="16DF366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lang w:eastAsia="zh-CN"/>
              </w:rPr>
            </w:pPr>
            <w:r>
              <w:rPr>
                <w:rFonts w:hint="default" w:ascii="Times New Roman" w:hAnsi="Times New Roman" w:eastAsia="宋体" w:cs="Times New Roman"/>
                <w:b w:val="0"/>
                <w:bCs w:val="0"/>
                <w:color w:val="auto"/>
                <w:sz w:val="24"/>
                <w:szCs w:val="24"/>
                <w:highlight w:val="none"/>
              </w:rPr>
              <w:t>活性污泥中微生物（如假单胞菌、芽孢杆菌）的细胞壁含羧基（-COOH）、羟基（-OH）等官能团，通过离子交换与表面络合吸附Zr⁴⁺、Ti⁴⁺，污泥回流设计（污泥龄15</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25天）增强吸附容量（5</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8mg/g MLSS）</w:t>
            </w:r>
            <w:r>
              <w:rPr>
                <w:rFonts w:hint="default" w:ascii="Times New Roman" w:hAnsi="Times New Roman" w:eastAsia="宋体" w:cs="Times New Roman"/>
                <w:b w:val="0"/>
                <w:bCs w:val="0"/>
                <w:color w:val="auto"/>
                <w:sz w:val="24"/>
                <w:szCs w:val="24"/>
                <w:highlight w:val="none"/>
                <w:lang w:eastAsia="zh-CN"/>
              </w:rPr>
              <w:t>。CASS工艺中活性污泥的微生物（如假单胞菌）可通过生物氧化分解LAS，其长污泥龄（15~25天）增强了对难降解有机物的去除能力。尽管预处理已大幅降低氟化物浓度，CASS工艺通过生物吸附和化学沉淀的协同作用（如微生物胞外聚合物对F</w:t>
            </w:r>
            <w:r>
              <w:rPr>
                <w:rFonts w:hint="default" w:ascii="Times New Roman" w:hAnsi="Times New Roman" w:eastAsia="宋体" w:cs="Times New Roman"/>
                <w:b w:val="0"/>
                <w:bCs w:val="0"/>
                <w:color w:val="auto"/>
                <w:sz w:val="24"/>
                <w:szCs w:val="24"/>
                <w:highlight w:val="none"/>
                <w:vertAlign w:val="superscript"/>
                <w:lang w:eastAsia="zh-CN"/>
              </w:rPr>
              <w:t>−</w:t>
            </w:r>
            <w:r>
              <w:rPr>
                <w:rFonts w:hint="default" w:ascii="Times New Roman" w:hAnsi="Times New Roman" w:eastAsia="宋体" w:cs="Times New Roman"/>
                <w:b w:val="0"/>
                <w:bCs w:val="0"/>
                <w:color w:val="auto"/>
                <w:sz w:val="24"/>
                <w:szCs w:val="24"/>
                <w:highlight w:val="none"/>
                <w:lang w:eastAsia="zh-CN"/>
              </w:rPr>
              <w:t>的络合），可进一步将氟化物浓度降</w:t>
            </w:r>
            <w:r>
              <w:rPr>
                <w:rFonts w:hint="default" w:ascii="Times New Roman" w:hAnsi="Times New Roman" w:eastAsia="宋体" w:cs="Times New Roman"/>
                <w:b w:val="0"/>
                <w:bCs w:val="0"/>
                <w:color w:val="auto"/>
                <w:sz w:val="24"/>
                <w:szCs w:val="24"/>
                <w:highlight w:val="none"/>
                <w:lang w:val="en-US" w:eastAsia="zh-CN"/>
              </w:rPr>
              <w:t>低</w:t>
            </w:r>
            <w:r>
              <w:rPr>
                <w:rFonts w:hint="default" w:ascii="Times New Roman" w:hAnsi="Times New Roman" w:eastAsia="宋体" w:cs="Times New Roman"/>
                <w:b w:val="0"/>
                <w:bCs w:val="0"/>
                <w:color w:val="auto"/>
                <w:sz w:val="24"/>
                <w:szCs w:val="24"/>
                <w:highlight w:val="none"/>
                <w:lang w:eastAsia="zh-CN"/>
              </w:rPr>
              <w:t>，强化达标保障。</w:t>
            </w:r>
          </w:p>
          <w:p w14:paraId="2C3B691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lang w:val="en-US" w:eastAsia="zh-CN"/>
              </w:rPr>
              <w:t>c</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协同增效效应</w:t>
            </w:r>
          </w:p>
          <w:p w14:paraId="5A701DB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化学沉淀生成的金属絮体与活性污泥包裹形成“生物-化学复合体”，较单一工艺提升去除率15%</w:t>
            </w: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eastAsia="宋体" w:cs="Times New Roman"/>
                <w:b w:val="0"/>
                <w:bCs w:val="0"/>
                <w:color w:val="auto"/>
                <w:sz w:val="24"/>
                <w:szCs w:val="24"/>
                <w:highlight w:val="none"/>
              </w:rPr>
              <w:t>25%。</w:t>
            </w:r>
          </w:p>
          <w:p w14:paraId="26C79FD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深度处理保障：后续絮凝沉淀池及纤维滤池可进一步截留微量金属</w:t>
            </w:r>
            <w:r>
              <w:rPr>
                <w:rFonts w:hint="default" w:ascii="Times New Roman" w:hAnsi="Times New Roman" w:eastAsia="宋体" w:cs="Times New Roman"/>
                <w:b w:val="0"/>
                <w:bCs w:val="0"/>
                <w:color w:val="auto"/>
                <w:sz w:val="24"/>
                <w:szCs w:val="24"/>
                <w:highlight w:val="none"/>
                <w:lang w:val="en-US" w:eastAsia="zh-CN"/>
              </w:rPr>
              <w:t>离子</w:t>
            </w:r>
            <w:r>
              <w:rPr>
                <w:rFonts w:hint="default" w:ascii="Times New Roman" w:hAnsi="Times New Roman" w:eastAsia="宋体" w:cs="Times New Roman"/>
                <w:b w:val="0"/>
                <w:bCs w:val="0"/>
                <w:color w:val="auto"/>
                <w:sz w:val="24"/>
                <w:szCs w:val="24"/>
                <w:highlight w:val="none"/>
              </w:rPr>
              <w:t>，</w:t>
            </w:r>
            <w:r>
              <w:rPr>
                <w:rFonts w:hint="default" w:ascii="Times New Roman" w:hAnsi="Times New Roman" w:eastAsia="宋体" w:cs="Times New Roman"/>
                <w:b w:val="0"/>
                <w:bCs w:val="0"/>
                <w:color w:val="auto"/>
                <w:sz w:val="24"/>
                <w:szCs w:val="24"/>
                <w:highlight w:val="none"/>
                <w:lang w:val="en-US" w:eastAsia="zh-CN"/>
              </w:rPr>
              <w:t>对</w:t>
            </w:r>
            <w:r>
              <w:rPr>
                <w:rFonts w:hint="default" w:ascii="Times New Roman" w:hAnsi="Times New Roman" w:eastAsia="宋体" w:cs="Times New Roman"/>
                <w:b w:val="0"/>
                <w:bCs w:val="0"/>
                <w:color w:val="auto"/>
                <w:sz w:val="24"/>
                <w:szCs w:val="24"/>
                <w:highlight w:val="none"/>
              </w:rPr>
              <w:t>污染物</w:t>
            </w:r>
            <w:r>
              <w:rPr>
                <w:rFonts w:hint="default" w:ascii="Times New Roman" w:hAnsi="Times New Roman" w:eastAsia="宋体" w:cs="Times New Roman"/>
                <w:b w:val="0"/>
                <w:bCs w:val="0"/>
                <w:color w:val="auto"/>
                <w:sz w:val="24"/>
                <w:szCs w:val="24"/>
                <w:highlight w:val="none"/>
                <w:lang w:val="en-US" w:eastAsia="zh-CN"/>
              </w:rPr>
              <w:t>进行进一步的</w:t>
            </w:r>
            <w:r>
              <w:rPr>
                <w:rFonts w:hint="default" w:ascii="Times New Roman" w:hAnsi="Times New Roman" w:eastAsia="宋体" w:cs="Times New Roman"/>
                <w:b w:val="0"/>
                <w:bCs w:val="0"/>
                <w:color w:val="auto"/>
                <w:sz w:val="24"/>
                <w:szCs w:val="24"/>
                <w:highlight w:val="none"/>
              </w:rPr>
              <w:t>截留。</w:t>
            </w:r>
          </w:p>
          <w:p w14:paraId="6ACE4DA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rPr>
              <w:t>二、重金属去除效能验证</w:t>
            </w:r>
          </w:p>
          <w:p w14:paraId="6F287B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t>1）</w:t>
            </w:r>
            <w:r>
              <w:rPr>
                <w:rFonts w:hint="default" w:ascii="Times New Roman" w:hAnsi="Times New Roman" w:eastAsia="宋体" w:cs="Times New Roman"/>
                <w:b w:val="0"/>
                <w:bCs w:val="0"/>
                <w:color w:val="auto"/>
                <w:sz w:val="24"/>
                <w:szCs w:val="24"/>
                <w:highlight w:val="none"/>
              </w:rPr>
              <w:t>污染物浓度与工艺负荷</w:t>
            </w:r>
          </w:p>
          <w:p w14:paraId="394A19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eastAsia="zh-CN"/>
              </w:rPr>
              <w:t>本项目</w:t>
            </w:r>
            <w:r>
              <w:rPr>
                <w:rFonts w:hint="default" w:ascii="Times New Roman" w:hAnsi="Times New Roman" w:eastAsia="宋体" w:cs="Times New Roman"/>
                <w:b w:val="0"/>
                <w:bCs w:val="0"/>
                <w:color w:val="auto"/>
                <w:sz w:val="24"/>
                <w:szCs w:val="24"/>
                <w:highlight w:val="none"/>
              </w:rPr>
              <w:t>预处理后Zr、Ti总浓度</w:t>
            </w:r>
            <w:r>
              <w:rPr>
                <w:rFonts w:hint="default" w:ascii="Times New Roman" w:hAnsi="Times New Roman" w:eastAsia="宋体" w:cs="Times New Roman"/>
                <w:b w:val="0"/>
                <w:bCs w:val="0"/>
                <w:color w:val="auto"/>
                <w:sz w:val="24"/>
                <w:szCs w:val="24"/>
                <w:highlight w:val="none"/>
                <w:lang w:val="en-US" w:eastAsia="zh-CN"/>
              </w:rPr>
              <w:t>约</w:t>
            </w:r>
            <w:r>
              <w:rPr>
                <w:rFonts w:hint="default" w:ascii="Times New Roman" w:hAnsi="Times New Roman" w:eastAsia="宋体" w:cs="Times New Roman"/>
                <w:b w:val="0"/>
                <w:bCs w:val="0"/>
                <w:color w:val="auto"/>
                <w:sz w:val="24"/>
                <w:szCs w:val="24"/>
                <w:highlight w:val="none"/>
              </w:rPr>
              <w:t>为</w:t>
            </w:r>
            <w:r>
              <w:rPr>
                <w:rFonts w:hint="eastAsia" w:cs="Times New Roman"/>
                <w:b w:val="0"/>
                <w:bCs w:val="0"/>
                <w:color w:val="auto"/>
                <w:sz w:val="24"/>
                <w:szCs w:val="24"/>
                <w:highlight w:val="none"/>
                <w:lang w:val="en-US" w:eastAsia="zh-CN"/>
              </w:rPr>
              <w:t>0.80m</w:t>
            </w:r>
            <w:r>
              <w:rPr>
                <w:rFonts w:hint="default" w:ascii="Times New Roman" w:hAnsi="Times New Roman" w:eastAsia="宋体" w:cs="Times New Roman"/>
                <w:b w:val="0"/>
                <w:bCs w:val="0"/>
                <w:color w:val="auto"/>
                <w:sz w:val="24"/>
                <w:szCs w:val="24"/>
                <w:highlight w:val="none"/>
              </w:rPr>
              <w:t>g/L（</w:t>
            </w:r>
            <w:r>
              <w:rPr>
                <w:rFonts w:hint="eastAsia" w:cs="Times New Roman"/>
                <w:b w:val="0"/>
                <w:bCs w:val="0"/>
                <w:color w:val="auto"/>
                <w:sz w:val="24"/>
                <w:szCs w:val="24"/>
                <w:highlight w:val="none"/>
                <w:vertAlign w:val="baseline"/>
                <w:lang w:val="en-US" w:eastAsia="zh-CN"/>
              </w:rPr>
              <w:t>0.48</w:t>
            </w:r>
            <w:r>
              <w:rPr>
                <w:rFonts w:hint="default" w:ascii="Times New Roman" w:hAnsi="Times New Roman" w:cs="Times New Roman"/>
                <w:b w:val="0"/>
                <w:bCs w:val="0"/>
                <w:color w:val="auto"/>
                <w:sz w:val="24"/>
                <w:szCs w:val="24"/>
                <w:highlight w:val="none"/>
                <w:vertAlign w:val="baseline"/>
                <w:lang w:val="en-US" w:eastAsia="zh-CN"/>
              </w:rPr>
              <w:t>mg/L+</w:t>
            </w:r>
            <w:r>
              <w:rPr>
                <w:rFonts w:hint="eastAsia" w:cs="Times New Roman"/>
                <w:b w:val="0"/>
                <w:bCs w:val="0"/>
                <w:color w:val="auto"/>
                <w:sz w:val="24"/>
                <w:szCs w:val="24"/>
                <w:highlight w:val="none"/>
                <w:vertAlign w:val="baseline"/>
                <w:lang w:val="en-US" w:eastAsia="zh-CN"/>
              </w:rPr>
              <w:t>0.32</w:t>
            </w:r>
            <w:r>
              <w:rPr>
                <w:rFonts w:hint="default" w:ascii="Times New Roman" w:hAnsi="Times New Roman" w:cs="Times New Roman"/>
                <w:b w:val="0"/>
                <w:bCs w:val="0"/>
                <w:color w:val="auto"/>
                <w:sz w:val="24"/>
                <w:szCs w:val="24"/>
                <w:highlight w:val="none"/>
                <w:vertAlign w:val="baseline"/>
                <w:lang w:val="en-US" w:eastAsia="zh-CN"/>
              </w:rPr>
              <w:t>mg/L</w:t>
            </w:r>
            <w:r>
              <w:rPr>
                <w:rFonts w:hint="default" w:ascii="Times New Roman" w:hAnsi="Times New Roman" w:eastAsia="宋体" w:cs="Times New Roman"/>
                <w:b w:val="0"/>
                <w:bCs w:val="0"/>
                <w:color w:val="auto"/>
                <w:sz w:val="24"/>
                <w:szCs w:val="24"/>
                <w:highlight w:val="none"/>
              </w:rPr>
              <w:t>），低于园区污水处理厂设计进水重金属综合限值（参照《污水排入城镇下水道水质标准》</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GB/T31962-2015</w:t>
            </w:r>
            <w:r>
              <w:rPr>
                <w:rFonts w:hint="default" w:ascii="Times New Roman" w:hAnsi="Times New Roman" w:eastAsia="宋体" w:cs="Times New Roman"/>
                <w:b w:val="0"/>
                <w:bCs w:val="0"/>
                <w:color w:val="auto"/>
                <w:sz w:val="24"/>
                <w:szCs w:val="24"/>
                <w:highlight w:val="none"/>
                <w:lang w:eastAsia="zh-CN"/>
              </w:rPr>
              <w:t>）</w:t>
            </w:r>
            <w:r>
              <w:rPr>
                <w:rFonts w:hint="default" w:ascii="Times New Roman" w:hAnsi="Times New Roman" w:eastAsia="宋体" w:cs="Times New Roman"/>
                <w:b w:val="0"/>
                <w:bCs w:val="0"/>
                <w:color w:val="auto"/>
                <w:sz w:val="24"/>
                <w:szCs w:val="24"/>
                <w:highlight w:val="none"/>
              </w:rPr>
              <w:t>，通常设定为10mg/L），工艺安全余量充足。</w:t>
            </w:r>
          </w:p>
          <w:p w14:paraId="6013100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eastAsia="宋体" w:cs="Times New Roman"/>
                <w:b w:val="0"/>
                <w:bCs w:val="0"/>
                <w:color w:val="auto"/>
                <w:sz w:val="24"/>
                <w:szCs w:val="24"/>
                <w:highlight w:val="none"/>
                <w:lang w:val="en-US" w:eastAsia="zh-CN"/>
              </w:rPr>
              <w:t>2）</w:t>
            </w:r>
            <w:r>
              <w:rPr>
                <w:rFonts w:hint="default" w:ascii="Times New Roman" w:hAnsi="Times New Roman" w:eastAsia="宋体" w:cs="Times New Roman"/>
                <w:b w:val="0"/>
                <w:bCs w:val="0"/>
                <w:color w:val="auto"/>
                <w:sz w:val="24"/>
                <w:szCs w:val="24"/>
                <w:highlight w:val="none"/>
              </w:rPr>
              <w:t>水量稀释效应</w:t>
            </w:r>
          </w:p>
          <w:p w14:paraId="702C8FAA">
            <w:pPr>
              <w:pStyle w:val="24"/>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本项目</w:t>
            </w:r>
            <w:r>
              <w:rPr>
                <w:rFonts w:hint="default" w:ascii="Times New Roman" w:hAnsi="Times New Roman" w:eastAsia="宋体" w:cs="Times New Roman"/>
                <w:color w:val="auto"/>
                <w:sz w:val="24"/>
                <w:szCs w:val="24"/>
                <w:highlight w:val="none"/>
              </w:rPr>
              <w:t>废水排放量为</w:t>
            </w:r>
            <w:r>
              <w:rPr>
                <w:rFonts w:hint="eastAsia" w:cs="Times New Roman"/>
                <w:color w:val="auto"/>
                <w:sz w:val="24"/>
                <w:szCs w:val="24"/>
                <w:highlight w:val="none"/>
                <w:lang w:val="en-US" w:eastAsia="zh-CN"/>
              </w:rPr>
              <w:t>50.12</w:t>
            </w:r>
            <w:r>
              <w:rPr>
                <w:rFonts w:hint="default" w:ascii="Times New Roman" w:hAnsi="Times New Roman" w:eastAsia="宋体" w:cs="Times New Roman"/>
                <w:color w:val="auto"/>
                <w:sz w:val="24"/>
                <w:szCs w:val="24"/>
                <w:highlight w:val="none"/>
              </w:rPr>
              <w:t>m³/d，仅占园区污水处理厂剩余处理能力（</w:t>
            </w:r>
            <w:r>
              <w:rPr>
                <w:rFonts w:hint="default" w:ascii="Times New Roman" w:hAnsi="Times New Roman" w:eastAsia="宋体" w:cs="Times New Roman"/>
                <w:color w:val="auto"/>
                <w:sz w:val="24"/>
                <w:szCs w:val="24"/>
                <w:highlight w:val="none"/>
                <w:lang w:val="en-US" w:eastAsia="zh-CN"/>
              </w:rPr>
              <w:t>2304.6</w:t>
            </w:r>
            <w:r>
              <w:rPr>
                <w:rFonts w:hint="default" w:ascii="Times New Roman" w:hAnsi="Times New Roman" w:eastAsia="宋体" w:cs="Times New Roman"/>
                <w:color w:val="auto"/>
                <w:sz w:val="24"/>
                <w:szCs w:val="24"/>
                <w:highlight w:val="none"/>
              </w:rPr>
              <w:t>m³/d）的</w:t>
            </w:r>
            <w:r>
              <w:rPr>
                <w:rFonts w:hint="eastAsia" w:cs="Times New Roman"/>
                <w:color w:val="auto"/>
                <w:sz w:val="24"/>
                <w:szCs w:val="24"/>
                <w:highlight w:val="none"/>
                <w:lang w:val="en-US" w:eastAsia="zh-CN"/>
              </w:rPr>
              <w:t>2.2</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。大水量对污染物具有显著稀释作用，结合工艺处理，预计Zr、Ti浓度可进一步降至0.25mg/L以下，远低于环境风险阈值。</w:t>
            </w:r>
          </w:p>
          <w:bookmarkEnd w:id="29"/>
          <w:p w14:paraId="014A7848">
            <w:pPr>
              <w:pStyle w:val="24"/>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乐昌产业转移工业园污水处理厂现有CASS工艺具备处理</w:t>
            </w:r>
            <w:r>
              <w:rPr>
                <w:rFonts w:hint="eastAsia" w:cs="Times New Roman"/>
                <w:color w:val="auto"/>
                <w:sz w:val="24"/>
                <w:szCs w:val="24"/>
                <w:highlight w:val="none"/>
                <w:lang w:val="en-US" w:eastAsia="zh-CN"/>
              </w:rPr>
              <w:t>本项目</w:t>
            </w:r>
            <w:r>
              <w:rPr>
                <w:rFonts w:hint="default" w:ascii="Times New Roman" w:hAnsi="Times New Roman" w:cs="Times New Roman"/>
                <w:color w:val="auto"/>
                <w:sz w:val="24"/>
                <w:szCs w:val="24"/>
                <w:highlight w:val="none"/>
              </w:rPr>
              <w:t>含锆</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钛废水的能力，预处理后</w:t>
            </w:r>
            <w:r>
              <w:rPr>
                <w:rFonts w:hint="default" w:ascii="Times New Roman" w:hAnsi="Times New Roman" w:cs="Times New Roman"/>
                <w:color w:val="auto"/>
                <w:sz w:val="24"/>
                <w:szCs w:val="24"/>
                <w:highlight w:val="none"/>
                <w:lang w:val="en-US" w:eastAsia="zh-CN"/>
              </w:rPr>
              <w:t>的</w:t>
            </w:r>
            <w:r>
              <w:rPr>
                <w:rFonts w:hint="default" w:ascii="Times New Roman" w:hAnsi="Times New Roman" w:cs="Times New Roman"/>
                <w:color w:val="auto"/>
                <w:sz w:val="24"/>
                <w:szCs w:val="24"/>
                <w:highlight w:val="none"/>
              </w:rPr>
              <w:t>水质及水量均在</w:t>
            </w:r>
            <w:r>
              <w:rPr>
                <w:rFonts w:hint="default" w:ascii="Times New Roman" w:hAnsi="Times New Roman" w:cs="Times New Roman"/>
                <w:color w:val="auto"/>
                <w:sz w:val="24"/>
                <w:szCs w:val="24"/>
                <w:highlight w:val="none"/>
                <w:lang w:val="en-US" w:eastAsia="zh-CN"/>
              </w:rPr>
              <w:t>园区污水处理厂</w:t>
            </w:r>
            <w:r>
              <w:rPr>
                <w:rFonts w:hint="default" w:ascii="Times New Roman" w:hAnsi="Times New Roman" w:cs="Times New Roman"/>
                <w:color w:val="auto"/>
                <w:sz w:val="24"/>
                <w:szCs w:val="24"/>
                <w:highlight w:val="none"/>
              </w:rPr>
              <w:t>工艺耐受范围内，</w:t>
            </w:r>
            <w:r>
              <w:rPr>
                <w:rFonts w:hint="default" w:ascii="Times New Roman" w:hAnsi="Times New Roman" w:cs="Times New Roman"/>
                <w:color w:val="auto"/>
                <w:sz w:val="24"/>
                <w:highlight w:val="none"/>
              </w:rPr>
              <w:t>同意</w:t>
            </w:r>
            <w:r>
              <w:rPr>
                <w:rFonts w:hint="default" w:ascii="Times New Roman" w:hAnsi="Times New Roman" w:cs="Times New Roman"/>
                <w:color w:val="auto"/>
                <w:sz w:val="24"/>
                <w:highlight w:val="none"/>
                <w:lang w:val="en-US" w:eastAsia="zh-CN"/>
              </w:rPr>
              <w:t>本项目</w:t>
            </w:r>
            <w:r>
              <w:rPr>
                <w:rFonts w:hint="eastAsia" w:cs="Times New Roman"/>
                <w:color w:val="auto"/>
                <w:sz w:val="24"/>
                <w:highlight w:val="none"/>
                <w:lang w:val="en-US" w:eastAsia="zh-CN"/>
              </w:rPr>
              <w:t>外排</w:t>
            </w:r>
            <w:r>
              <w:rPr>
                <w:rFonts w:hint="default" w:ascii="Times New Roman" w:hAnsi="Times New Roman" w:cs="Times New Roman"/>
                <w:color w:val="auto"/>
                <w:sz w:val="24"/>
                <w:highlight w:val="none"/>
                <w:lang w:val="en-US" w:eastAsia="zh-CN"/>
              </w:rPr>
              <w:t>生产废水</w:t>
            </w:r>
            <w:r>
              <w:rPr>
                <w:rFonts w:hint="default" w:ascii="Times New Roman" w:hAnsi="Times New Roman" w:cs="Times New Roman"/>
                <w:color w:val="auto"/>
                <w:sz w:val="24"/>
                <w:highlight w:val="none"/>
              </w:rPr>
              <w:t>接入园区</w:t>
            </w:r>
            <w:r>
              <w:rPr>
                <w:rFonts w:hint="default" w:ascii="Times New Roman" w:hAnsi="Times New Roman" w:cs="Times New Roman"/>
                <w:color w:val="auto"/>
                <w:sz w:val="24"/>
                <w:highlight w:val="none"/>
                <w:lang w:val="en-US" w:eastAsia="zh-CN"/>
              </w:rPr>
              <w:t>污水</w:t>
            </w:r>
            <w:r>
              <w:rPr>
                <w:rFonts w:hint="default" w:ascii="Times New Roman" w:hAnsi="Times New Roman" w:cs="Times New Roman"/>
                <w:color w:val="auto"/>
                <w:sz w:val="24"/>
                <w:highlight w:val="none"/>
              </w:rPr>
              <w:t>管网</w:t>
            </w:r>
            <w:r>
              <w:rPr>
                <w:rFonts w:hint="default" w:ascii="Times New Roman" w:hAnsi="Times New Roman" w:cs="Times New Roman"/>
                <w:color w:val="auto"/>
                <w:sz w:val="24"/>
                <w:szCs w:val="24"/>
                <w:highlight w:val="none"/>
              </w:rPr>
              <w:t>。根据前</w:t>
            </w:r>
            <w:r>
              <w:rPr>
                <w:rFonts w:hint="default" w:ascii="Times New Roman" w:hAnsi="Times New Roman" w:cs="Times New Roman"/>
                <w:color w:val="auto"/>
                <w:sz w:val="24"/>
                <w:szCs w:val="24"/>
                <w:highlight w:val="none"/>
                <w:lang w:val="en-US" w:eastAsia="zh-CN"/>
              </w:rPr>
              <w:t>文</w:t>
            </w:r>
            <w:r>
              <w:rPr>
                <w:rFonts w:hint="default" w:ascii="Times New Roman" w:hAnsi="Times New Roman" w:cs="Times New Roman"/>
                <w:color w:val="auto"/>
                <w:sz w:val="24"/>
                <w:szCs w:val="24"/>
                <w:highlight w:val="none"/>
              </w:rPr>
              <w:t>分析，</w:t>
            </w:r>
            <w:bookmarkStart w:id="30" w:name="OLE_LINK51"/>
            <w:r>
              <w:rPr>
                <w:rFonts w:hint="default" w:ascii="Times New Roman" w:hAnsi="Times New Roman" w:cs="Times New Roman"/>
                <w:color w:val="auto"/>
                <w:sz w:val="24"/>
                <w:szCs w:val="24"/>
                <w:highlight w:val="none"/>
              </w:rPr>
              <w:t>园区污水处理厂剩余污水处理能力完全可以容纳处理本项目排入的污水，且与园区处理能力匹配</w:t>
            </w:r>
            <w:r>
              <w:rPr>
                <w:rFonts w:hint="default" w:ascii="Times New Roman" w:hAnsi="Times New Roman" w:cs="Times New Roman"/>
                <w:color w:val="auto"/>
                <w:sz w:val="24"/>
                <w:szCs w:val="24"/>
                <w:highlight w:val="none"/>
                <w:lang w:eastAsia="zh-CN"/>
              </w:rPr>
              <w:t>。</w:t>
            </w:r>
            <w:bookmarkEnd w:id="30"/>
            <w:r>
              <w:rPr>
                <w:rFonts w:hint="default" w:ascii="Times New Roman" w:hAnsi="Times New Roman" w:cs="Times New Roman"/>
                <w:color w:val="auto"/>
                <w:sz w:val="24"/>
                <w:szCs w:val="24"/>
                <w:highlight w:val="none"/>
              </w:rPr>
              <w:t>因此，本</w:t>
            </w:r>
            <w:bookmarkStart w:id="31" w:name="OLE_LINK52"/>
            <w:r>
              <w:rPr>
                <w:rFonts w:hint="default" w:ascii="Times New Roman" w:hAnsi="Times New Roman" w:cs="Times New Roman"/>
                <w:color w:val="auto"/>
                <w:sz w:val="24"/>
                <w:szCs w:val="24"/>
                <w:highlight w:val="none"/>
              </w:rPr>
              <w:t>项目产生的</w:t>
            </w:r>
            <w:r>
              <w:rPr>
                <w:rFonts w:hint="default" w:ascii="Times New Roman" w:hAnsi="Times New Roman" w:cs="Times New Roman"/>
                <w:color w:val="auto"/>
                <w:sz w:val="24"/>
                <w:szCs w:val="24"/>
                <w:highlight w:val="none"/>
                <w:lang w:val="en-US" w:eastAsia="zh-CN"/>
              </w:rPr>
              <w:t>废</w:t>
            </w:r>
            <w:r>
              <w:rPr>
                <w:rFonts w:hint="default" w:ascii="Times New Roman" w:hAnsi="Times New Roman" w:cs="Times New Roman"/>
                <w:color w:val="auto"/>
                <w:sz w:val="24"/>
                <w:szCs w:val="24"/>
                <w:highlight w:val="none"/>
              </w:rPr>
              <w:t>水经预处理后排入园区污水处理厂处理具有环境可行性</w:t>
            </w:r>
            <w:bookmarkEnd w:id="31"/>
            <w:r>
              <w:rPr>
                <w:rFonts w:hint="default" w:ascii="Times New Roman" w:hAnsi="Times New Roman" w:cs="Times New Roman"/>
                <w:color w:val="auto"/>
                <w:sz w:val="24"/>
                <w:szCs w:val="24"/>
                <w:highlight w:val="none"/>
              </w:rPr>
              <w:t>。</w:t>
            </w:r>
          </w:p>
          <w:p w14:paraId="11336479">
            <w:pPr>
              <w:pStyle w:val="163"/>
              <w:keepNext w:val="0"/>
              <w:keepLines w:val="0"/>
              <w:pageBreakBefore w:val="0"/>
              <w:suppressLineNumbers w:val="0"/>
              <w:kinsoku/>
              <w:wordWrap/>
              <w:overflowPunct/>
              <w:topLinePunct w:val="0"/>
              <w:autoSpaceDE/>
              <w:autoSpaceDN/>
              <w:bidi w:val="0"/>
              <w:adjustRightInd/>
              <w:snapToGrid w:val="0"/>
              <w:spacing w:before="0" w:beforeAutospacing="0" w:after="0" w:afterAutospacing="0"/>
              <w:ind w:left="0" w:right="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344795" cy="2265680"/>
                  <wp:effectExtent l="0" t="0" r="8255" b="1270"/>
                  <wp:docPr id="10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4"/>
                          <pic:cNvPicPr>
                            <a:picLocks noChangeAspect="1"/>
                          </pic:cNvPicPr>
                        </pic:nvPicPr>
                        <pic:blipFill>
                          <a:blip r:embed="rId31"/>
                          <a:srcRect l="4562" t="1219"/>
                          <a:stretch>
                            <a:fillRect/>
                          </a:stretch>
                        </pic:blipFill>
                        <pic:spPr>
                          <a:xfrm>
                            <a:off x="0" y="0"/>
                            <a:ext cx="5344795" cy="2265680"/>
                          </a:xfrm>
                          <a:prstGeom prst="rect">
                            <a:avLst/>
                          </a:prstGeom>
                          <a:noFill/>
                          <a:ln>
                            <a:noFill/>
                          </a:ln>
                        </pic:spPr>
                      </pic:pic>
                    </a:graphicData>
                  </a:graphic>
                </wp:inline>
              </w:drawing>
            </w:r>
          </w:p>
          <w:p w14:paraId="0E9A17DB">
            <w:pPr>
              <w:keepNext w:val="0"/>
              <w:keepLines w:val="0"/>
              <w:pageBreakBefore w:val="0"/>
              <w:widowControl/>
              <w:numPr>
                <w:ilvl w:val="0"/>
                <w:numId w:val="0"/>
              </w:numPr>
              <w:suppressLineNumbers w:val="0"/>
              <w:tabs>
                <w:tab w:val="left" w:pos="0"/>
              </w:tabs>
              <w:kinsoku/>
              <w:wordWrap/>
              <w:overflowPunct/>
              <w:topLinePunct w:val="0"/>
              <w:autoSpaceDE/>
              <w:autoSpaceDN/>
              <w:bidi w:val="0"/>
              <w:adjustRightInd/>
              <w:snapToGrid w:val="0"/>
              <w:spacing w:before="0" w:beforeAutospacing="0" w:after="0" w:afterAutospacing="0"/>
              <w:ind w:left="0" w:leftChars="0" w:right="0" w:rightChars="0" w:firstLine="0" w:firstLineChars="0"/>
              <w:jc w:val="center"/>
              <w:textAlignment w:val="auto"/>
              <w:rPr>
                <w:rFonts w:hint="default" w:ascii="Times New Roman" w:hAnsi="Times New Roman" w:eastAsia="宋体" w:cs="Times New Roman"/>
                <w:b/>
                <w:bCs/>
                <w:color w:val="auto"/>
                <w:kern w:val="0"/>
                <w:sz w:val="21"/>
                <w:szCs w:val="21"/>
                <w:highlight w:val="none"/>
                <w:lang w:val="en-US" w:eastAsia="zh-CN" w:bidi="ar"/>
              </w:rPr>
            </w:pPr>
            <w:r>
              <w:rPr>
                <w:rFonts w:hint="default" w:ascii="Times New Roman" w:hAnsi="Times New Roman" w:eastAsia="宋体" w:cs="Times New Roman"/>
                <w:b/>
                <w:bCs/>
                <w:color w:val="auto"/>
                <w:kern w:val="2"/>
                <w:sz w:val="21"/>
                <w:szCs w:val="21"/>
                <w:lang w:val="en-US" w:eastAsia="zh-CN" w:bidi="ar-SA"/>
              </w:rPr>
              <w:t>图4-</w:t>
            </w:r>
            <w:r>
              <w:rPr>
                <w:rFonts w:hint="eastAsia" w:cs="Times New Roman"/>
                <w:b/>
                <w:bCs/>
                <w:color w:val="auto"/>
                <w:kern w:val="2"/>
                <w:sz w:val="21"/>
                <w:szCs w:val="21"/>
                <w:lang w:val="en-US" w:eastAsia="zh-CN" w:bidi="ar-SA"/>
              </w:rPr>
              <w:t>4</w:t>
            </w:r>
            <w:r>
              <w:rPr>
                <w:rFonts w:hint="default" w:ascii="Times New Roman" w:hAnsi="Times New Roman" w:cs="Times New Roman"/>
                <w:b/>
                <w:bCs/>
                <w:color w:val="auto"/>
                <w:sz w:val="21"/>
                <w:szCs w:val="21"/>
                <w:highlight w:val="none"/>
                <w:lang w:val="en-US" w:eastAsia="zh-CN"/>
              </w:rPr>
              <w:t>园区</w:t>
            </w:r>
            <w:r>
              <w:rPr>
                <w:rFonts w:hint="default" w:ascii="Times New Roman" w:hAnsi="Times New Roman" w:eastAsia="宋体" w:cs="Times New Roman"/>
                <w:b/>
                <w:bCs/>
                <w:color w:val="auto"/>
                <w:kern w:val="0"/>
                <w:sz w:val="21"/>
                <w:szCs w:val="21"/>
                <w:highlight w:val="none"/>
                <w:lang w:val="en-US" w:eastAsia="zh-CN" w:bidi="ar"/>
              </w:rPr>
              <w:t>污水处理厂工艺流程图</w:t>
            </w:r>
          </w:p>
          <w:p w14:paraId="74ADD083">
            <w:pPr>
              <w:pStyle w:val="27"/>
              <w:keepNext w:val="0"/>
              <w:keepLines w:val="0"/>
              <w:suppressLineNumbers w:val="0"/>
              <w:spacing w:before="0" w:beforeAutospacing="0" w:after="0" w:afterAutospacing="0" w:line="360" w:lineRule="auto"/>
              <w:ind w:left="0" w:right="0" w:firstLine="482"/>
              <w:rPr>
                <w:rFonts w:hint="eastAsia" w:ascii="Times New Roman" w:hAnsi="Times New Roman" w:eastAsia="宋体" w:cs="Times New Roman"/>
                <w:b/>
                <w:bCs/>
                <w:color w:val="auto"/>
                <w:sz w:val="24"/>
                <w:szCs w:val="24"/>
                <w:highlight w:val="none"/>
                <w:lang w:eastAsia="zh-CN"/>
              </w:rPr>
            </w:pPr>
            <w:r>
              <w:rPr>
                <w:rFonts w:hint="default" w:ascii="Times New Roman" w:hAnsi="Times New Roman" w:cs="Times New Roman"/>
                <w:b/>
                <w:bCs/>
                <w:color w:val="auto"/>
                <w:sz w:val="24"/>
                <w:szCs w:val="24"/>
                <w:highlight w:val="none"/>
                <w:lang w:val="en-US" w:eastAsia="zh-CN"/>
              </w:rPr>
              <w:t>2.5</w:t>
            </w:r>
            <w:r>
              <w:rPr>
                <w:rFonts w:hint="default" w:ascii="Times New Roman" w:hAnsi="Times New Roman" w:cs="Times New Roman"/>
                <w:b/>
                <w:bCs/>
                <w:color w:val="auto"/>
                <w:sz w:val="24"/>
                <w:szCs w:val="24"/>
                <w:highlight w:val="none"/>
              </w:rPr>
              <w:t>监测要求</w:t>
            </w:r>
          </w:p>
          <w:p w14:paraId="61439AAB">
            <w:pPr>
              <w:pStyle w:val="2"/>
              <w:spacing w:line="360" w:lineRule="auto"/>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根据《排污单位自行监测技术指南 总则》（HJ819-2017）、《排污单位自行监测技术指南 涂装》（HJ 1086-2020），生活污水单独排放口且排放方式为间接排放，无自行监测频次要求，</w:t>
            </w:r>
            <w:r>
              <w:rPr>
                <w:rFonts w:hint="eastAsia" w:ascii="Times New Roman" w:hAnsi="Times New Roman" w:eastAsia="宋体" w:cs="Times New Roman"/>
                <w:color w:val="auto"/>
                <w:kern w:val="2"/>
                <w:sz w:val="24"/>
                <w:szCs w:val="24"/>
                <w:highlight w:val="none"/>
                <w:lang w:val="en-US" w:eastAsia="zh-CN" w:bidi="ar-SA"/>
              </w:rPr>
              <w:t>为预防和控制含重金废水对下游纳污河段的影响，根据有关专家和主管部门的建议，重金属离子参照废水直接排放标准执行，即按《电镀水污染物排放标准》（DB44/1597-2015）表2新建项目水污染物排放限值-非珠三角地区执行。本评价建议建设单位优先采购重金属含量更低的表面处理药剂，并加强对重金属钛、锆离子排放浓度的监测。</w:t>
            </w:r>
          </w:p>
          <w:p w14:paraId="3D9488D0">
            <w:pPr>
              <w:pStyle w:val="25"/>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因此本项目</w:t>
            </w:r>
            <w:r>
              <w:rPr>
                <w:rFonts w:hint="eastAsia" w:cs="Times New Roman"/>
                <w:color w:val="auto"/>
                <w:kern w:val="2"/>
                <w:sz w:val="24"/>
                <w:szCs w:val="24"/>
                <w:highlight w:val="none"/>
                <w:lang w:val="en-US" w:eastAsia="zh-CN" w:bidi="ar-SA"/>
              </w:rPr>
              <w:t>外排</w:t>
            </w:r>
            <w:r>
              <w:rPr>
                <w:rFonts w:hint="default" w:ascii="Times New Roman" w:hAnsi="Times New Roman" w:eastAsia="宋体" w:cs="Times New Roman"/>
                <w:color w:val="auto"/>
                <w:kern w:val="2"/>
                <w:sz w:val="24"/>
                <w:szCs w:val="24"/>
                <w:highlight w:val="none"/>
                <w:lang w:val="en-US" w:eastAsia="zh-CN" w:bidi="ar-SA"/>
              </w:rPr>
              <w:t>生产废水自行监测计划，监测要求见下表</w:t>
            </w:r>
            <w:r>
              <w:rPr>
                <w:rFonts w:hint="default" w:ascii="Times New Roman" w:hAnsi="Times New Roman" w:cs="Times New Roman"/>
                <w:color w:val="auto"/>
                <w:sz w:val="24"/>
                <w:szCs w:val="24"/>
                <w:highlight w:val="none"/>
              </w:rPr>
              <w:t>。</w:t>
            </w:r>
          </w:p>
          <w:p w14:paraId="06E3B55D">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eastAsia"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表4-3</w:t>
            </w:r>
            <w:r>
              <w:rPr>
                <w:rFonts w:hint="eastAsia" w:cs="Times New Roman"/>
                <w:b/>
                <w:bCs/>
                <w:color w:val="auto"/>
                <w:kern w:val="2"/>
                <w:sz w:val="21"/>
                <w:szCs w:val="21"/>
                <w:lang w:val="en-US" w:eastAsia="zh-CN" w:bidi="ar-SA"/>
              </w:rPr>
              <w:t>1 废水</w:t>
            </w:r>
            <w:r>
              <w:rPr>
                <w:rFonts w:hint="default" w:ascii="Times New Roman" w:hAnsi="Times New Roman" w:eastAsia="宋体" w:cs="Times New Roman"/>
                <w:b/>
                <w:bCs/>
                <w:color w:val="auto"/>
                <w:sz w:val="21"/>
                <w:szCs w:val="21"/>
                <w:highlight w:val="none"/>
              </w:rPr>
              <w:t>监测</w:t>
            </w:r>
            <w:r>
              <w:rPr>
                <w:rFonts w:hint="eastAsia" w:cs="Times New Roman"/>
                <w:b/>
                <w:bCs/>
                <w:color w:val="auto"/>
                <w:sz w:val="21"/>
                <w:szCs w:val="21"/>
                <w:highlight w:val="none"/>
                <w:lang w:val="en-US" w:eastAsia="zh-CN"/>
              </w:rPr>
              <w:t>计划</w:t>
            </w: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1933"/>
              <w:gridCol w:w="1117"/>
              <w:gridCol w:w="4151"/>
            </w:tblGrid>
            <w:tr w14:paraId="3A0E4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pct"/>
                  <w:noWrap w:val="0"/>
                  <w:vAlign w:val="center"/>
                </w:tcPr>
                <w:p w14:paraId="45EC059E">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监测点位</w:t>
                  </w:r>
                </w:p>
              </w:tc>
              <w:tc>
                <w:tcPr>
                  <w:tcW w:w="1150" w:type="pct"/>
                  <w:noWrap w:val="0"/>
                  <w:vAlign w:val="center"/>
                </w:tcPr>
                <w:p w14:paraId="32CDD1F9">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监测指标</w:t>
                  </w:r>
                </w:p>
              </w:tc>
              <w:tc>
                <w:tcPr>
                  <w:tcW w:w="665" w:type="pct"/>
                  <w:noWrap w:val="0"/>
                  <w:vAlign w:val="center"/>
                </w:tcPr>
                <w:p w14:paraId="0C85872E">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监测频次</w:t>
                  </w:r>
                </w:p>
              </w:tc>
              <w:tc>
                <w:tcPr>
                  <w:tcW w:w="2469" w:type="pct"/>
                  <w:noWrap w:val="0"/>
                  <w:vAlign w:val="center"/>
                </w:tcPr>
                <w:p w14:paraId="59057676">
                  <w:pPr>
                    <w:pStyle w:val="109"/>
                    <w:keepNext w:val="0"/>
                    <w:keepLines w:val="0"/>
                    <w:widowControl/>
                    <w:suppressLineNumbers w:val="0"/>
                    <w:tabs>
                      <w:tab w:val="left" w:pos="-2848"/>
                    </w:tabs>
                    <w:spacing w:before="0" w:beforeAutospacing="0" w:after="0" w:afterAutospacing="0" w:line="240" w:lineRule="auto"/>
                    <w:ind w:left="0" w:right="0"/>
                    <w:rPr>
                      <w:rFonts w:hint="eastAsia" w:ascii="Times New Roman" w:hAnsi="Times New Roman" w:eastAsia="宋体" w:cs="Times New Roman"/>
                      <w:b/>
                      <w:bCs/>
                      <w:color w:val="auto"/>
                      <w:kern w:val="2"/>
                      <w:sz w:val="21"/>
                      <w:szCs w:val="21"/>
                      <w:highlight w:val="none"/>
                      <w:lang w:eastAsia="zh-CN"/>
                    </w:rPr>
                  </w:pPr>
                  <w:r>
                    <w:rPr>
                      <w:rFonts w:hint="default" w:ascii="Times New Roman" w:hAnsi="Times New Roman" w:cs="Times New Roman"/>
                      <w:b/>
                      <w:bCs/>
                      <w:color w:val="auto"/>
                      <w:kern w:val="2"/>
                      <w:sz w:val="21"/>
                      <w:szCs w:val="21"/>
                      <w:highlight w:val="none"/>
                    </w:rPr>
                    <w:t>监测</w:t>
                  </w:r>
                  <w:r>
                    <w:rPr>
                      <w:rFonts w:hint="eastAsia" w:ascii="Times New Roman" w:hAnsi="Times New Roman" w:cs="Times New Roman"/>
                      <w:b/>
                      <w:bCs/>
                      <w:color w:val="auto"/>
                      <w:kern w:val="2"/>
                      <w:sz w:val="21"/>
                      <w:szCs w:val="21"/>
                      <w:highlight w:val="none"/>
                      <w:lang w:val="en-US" w:eastAsia="zh-CN"/>
                    </w:rPr>
                    <w:t>依据</w:t>
                  </w:r>
                </w:p>
              </w:tc>
            </w:tr>
            <w:tr w14:paraId="785A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pct"/>
                  <w:noWrap w:val="0"/>
                  <w:vAlign w:val="center"/>
                </w:tcPr>
                <w:p w14:paraId="0DAE1C57">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cs="Times New Roman"/>
                      <w:color w:val="auto"/>
                      <w:kern w:val="2"/>
                      <w:sz w:val="21"/>
                      <w:szCs w:val="21"/>
                      <w:highlight w:val="none"/>
                      <w:lang w:val="en-US" w:eastAsia="zh-CN"/>
                    </w:rPr>
                    <w:t>生产</w:t>
                  </w:r>
                  <w:r>
                    <w:rPr>
                      <w:rFonts w:hint="default" w:ascii="Times New Roman" w:hAnsi="Times New Roman" w:cs="Times New Roman"/>
                      <w:color w:val="auto"/>
                      <w:kern w:val="2"/>
                      <w:sz w:val="21"/>
                      <w:szCs w:val="21"/>
                      <w:highlight w:val="none"/>
                    </w:rPr>
                    <w:t>废水排放口</w:t>
                  </w:r>
                  <w:r>
                    <w:rPr>
                      <w:rFonts w:hint="default" w:ascii="Times New Roman" w:hAnsi="Times New Roman" w:cs="Times New Roman"/>
                      <w:color w:val="auto"/>
                      <w:kern w:val="2"/>
                      <w:sz w:val="21"/>
                      <w:szCs w:val="21"/>
                      <w:highlight w:val="none"/>
                      <w:lang w:val="en-US" w:eastAsia="zh-CN"/>
                    </w:rPr>
                    <w:t>DW002</w:t>
                  </w:r>
                </w:p>
              </w:tc>
              <w:tc>
                <w:tcPr>
                  <w:tcW w:w="1150" w:type="pct"/>
                  <w:noWrap w:val="0"/>
                  <w:vAlign w:val="center"/>
                </w:tcPr>
                <w:p w14:paraId="5A0DE2F6">
                  <w:pPr>
                    <w:pStyle w:val="25"/>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eastAsia="宋体"/>
                      <w:color w:val="auto"/>
                      <w:sz w:val="21"/>
                      <w:szCs w:val="21"/>
                      <w:highlight w:val="none"/>
                    </w:rPr>
                    <w:t>流量、pH、COD</w:t>
                  </w:r>
                  <w:r>
                    <w:rPr>
                      <w:rFonts w:hint="default" w:eastAsia="宋体"/>
                      <w:color w:val="auto"/>
                      <w:sz w:val="21"/>
                      <w:szCs w:val="21"/>
                      <w:highlight w:val="none"/>
                      <w:vertAlign w:val="subscript"/>
                    </w:rPr>
                    <w:t>Cr</w:t>
                  </w:r>
                  <w:r>
                    <w:rPr>
                      <w:rFonts w:hint="default" w:eastAsia="宋体"/>
                      <w:color w:val="auto"/>
                      <w:sz w:val="21"/>
                      <w:szCs w:val="21"/>
                      <w:highlight w:val="none"/>
                    </w:rPr>
                    <w:t>、氨氮、悬浮物、氟化物、LAS、石油类、BOD</w:t>
                  </w:r>
                  <w:r>
                    <w:rPr>
                      <w:rFonts w:hint="default" w:eastAsia="宋体"/>
                      <w:color w:val="auto"/>
                      <w:sz w:val="21"/>
                      <w:szCs w:val="21"/>
                      <w:highlight w:val="none"/>
                      <w:vertAlign w:val="subscript"/>
                    </w:rPr>
                    <w:t>5</w:t>
                  </w:r>
                  <w:r>
                    <w:rPr>
                      <w:rFonts w:hint="default" w:eastAsia="宋体"/>
                      <w:color w:val="auto"/>
                      <w:sz w:val="21"/>
                      <w:szCs w:val="21"/>
                      <w:highlight w:val="none"/>
                    </w:rPr>
                    <w:t>、总氮、总磷</w:t>
                  </w:r>
                  <w:r>
                    <w:rPr>
                      <w:rFonts w:hint="eastAsia"/>
                      <w:color w:val="auto"/>
                      <w:sz w:val="21"/>
                      <w:szCs w:val="21"/>
                      <w:highlight w:val="none"/>
                      <w:lang w:eastAsia="zh-CN"/>
                    </w:rPr>
                    <w:t>、</w:t>
                  </w:r>
                  <w:r>
                    <w:rPr>
                      <w:rFonts w:hint="eastAsia"/>
                      <w:color w:val="auto"/>
                      <w:sz w:val="21"/>
                      <w:szCs w:val="21"/>
                      <w:highlight w:val="none"/>
                      <w:lang w:val="en-US" w:eastAsia="zh-CN"/>
                    </w:rPr>
                    <w:t>总铝、总锆、总钛</w:t>
                  </w:r>
                </w:p>
              </w:tc>
              <w:tc>
                <w:tcPr>
                  <w:tcW w:w="665" w:type="pct"/>
                  <w:noWrap w:val="0"/>
                  <w:vAlign w:val="center"/>
                </w:tcPr>
                <w:p w14:paraId="209D42E6">
                  <w:pPr>
                    <w:pStyle w:val="109"/>
                    <w:keepNext w:val="0"/>
                    <w:keepLines w:val="0"/>
                    <w:widowControl/>
                    <w:suppressLineNumbers w:val="0"/>
                    <w:tabs>
                      <w:tab w:val="left" w:pos="-2848"/>
                    </w:tabs>
                    <w:spacing w:before="0" w:beforeAutospacing="0" w:after="0" w:afterAutospacing="0"/>
                    <w:ind w:left="0" w:leftChars="0" w:right="0" w:rightChars="0"/>
                    <w:rPr>
                      <w:rFonts w:hint="default" w:ascii="Times New Roman" w:hAnsi="Times New Roman" w:eastAsia="宋体" w:cs="Times New Roman"/>
                      <w:color w:val="auto"/>
                      <w:kern w:val="2"/>
                      <w:position w:val="-10"/>
                      <w:sz w:val="21"/>
                      <w:szCs w:val="21"/>
                      <w:highlight w:val="none"/>
                      <w:lang w:val="en-US" w:eastAsia="zh-CN" w:bidi="ar-SA"/>
                    </w:rPr>
                  </w:pPr>
                  <w:r>
                    <w:rPr>
                      <w:rFonts w:hint="default" w:ascii="Times New Roman" w:hAnsi="Times New Roman" w:cs="Times New Roman"/>
                      <w:color w:val="auto"/>
                      <w:kern w:val="2"/>
                      <w:highlight w:val="none"/>
                    </w:rPr>
                    <w:t>1次/</w:t>
                  </w:r>
                  <w:r>
                    <w:rPr>
                      <w:rFonts w:hint="eastAsia" w:ascii="Times New Roman" w:hAnsi="Times New Roman" w:cs="Times New Roman"/>
                      <w:color w:val="auto"/>
                      <w:kern w:val="2"/>
                      <w:highlight w:val="none"/>
                      <w:lang w:val="en-US" w:eastAsia="zh-CN"/>
                    </w:rPr>
                    <w:t>半</w:t>
                  </w:r>
                  <w:r>
                    <w:rPr>
                      <w:rFonts w:hint="default" w:ascii="Times New Roman" w:hAnsi="Times New Roman" w:cs="Times New Roman"/>
                      <w:color w:val="auto"/>
                      <w:kern w:val="2"/>
                      <w:highlight w:val="none"/>
                      <w:lang w:val="en-US" w:eastAsia="zh-CN"/>
                    </w:rPr>
                    <w:t>年</w:t>
                  </w:r>
                </w:p>
              </w:tc>
              <w:tc>
                <w:tcPr>
                  <w:tcW w:w="2469" w:type="pct"/>
                  <w:noWrap w:val="0"/>
                  <w:vAlign w:val="center"/>
                </w:tcPr>
                <w:p w14:paraId="28E9506F">
                  <w:pPr>
                    <w:pStyle w:val="109"/>
                    <w:keepNext w:val="0"/>
                    <w:keepLines w:val="0"/>
                    <w:widowControl/>
                    <w:suppressLineNumbers w:val="0"/>
                    <w:tabs>
                      <w:tab w:val="left" w:pos="-2848"/>
                    </w:tabs>
                    <w:spacing w:before="0" w:beforeAutospacing="0" w:after="0" w:afterAutospacing="0" w:line="240" w:lineRule="auto"/>
                    <w:ind w:left="0" w:leftChars="0" w:right="0" w:rightChars="0"/>
                    <w:rPr>
                      <w:rFonts w:hint="default" w:ascii="Times New Roman" w:hAnsi="Times New Roman" w:eastAsia="宋体" w:cs="Times New Roman"/>
                      <w:color w:val="auto"/>
                      <w:kern w:val="2"/>
                      <w:position w:val="-10"/>
                      <w:sz w:val="21"/>
                      <w:szCs w:val="21"/>
                      <w:highlight w:val="none"/>
                      <w:lang w:val="en-US" w:eastAsia="zh-CN" w:bidi="ar-SA"/>
                    </w:rPr>
                  </w:pPr>
                  <w:r>
                    <w:rPr>
                      <w:rFonts w:hint="default" w:eastAsia="宋体"/>
                      <w:color w:val="auto"/>
                      <w:spacing w:val="-2"/>
                      <w:sz w:val="21"/>
                      <w:szCs w:val="21"/>
                      <w:highlight w:val="none"/>
                    </w:rPr>
                    <w:t>《排污单位自行监测技术指南 涂装》</w:t>
                  </w:r>
                  <w:r>
                    <w:rPr>
                      <w:rFonts w:hint="default" w:ascii="Times New Roman" w:hAnsi="Times New Roman" w:eastAsia="宋体" w:cs="Times New Roman"/>
                      <w:color w:val="auto"/>
                      <w:spacing w:val="-2"/>
                      <w:sz w:val="21"/>
                      <w:szCs w:val="21"/>
                      <w:highlight w:val="none"/>
                    </w:rPr>
                    <w:t>（HJ1086-2020）表1-</w:t>
                  </w:r>
                  <w:r>
                    <w:rPr>
                      <w:rFonts w:hint="eastAsia" w:eastAsia="宋体"/>
                      <w:color w:val="auto"/>
                      <w:spacing w:val="-2"/>
                      <w:sz w:val="21"/>
                      <w:szCs w:val="21"/>
                      <w:highlight w:val="none"/>
                    </w:rPr>
                    <w:t>废水总排放口-非重点排污单位-间接排放</w:t>
                  </w:r>
                </w:p>
              </w:tc>
            </w:tr>
            <w:tr w14:paraId="01B4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14" w:type="pct"/>
                  <w:noWrap w:val="0"/>
                  <w:vAlign w:val="center"/>
                </w:tcPr>
                <w:p w14:paraId="0B48851D">
                  <w:pPr>
                    <w:pStyle w:val="109"/>
                    <w:keepNext w:val="0"/>
                    <w:keepLines w:val="0"/>
                    <w:widowControl/>
                    <w:suppressLineNumbers w:val="0"/>
                    <w:tabs>
                      <w:tab w:val="left" w:pos="-2848"/>
                    </w:tabs>
                    <w:spacing w:before="0" w:beforeAutospacing="0" w:after="0" w:afterAutospacing="0" w:line="240" w:lineRule="auto"/>
                    <w:ind w:left="0" w:right="0"/>
                    <w:rPr>
                      <w:rFonts w:hint="default" w:ascii="Times New Roman" w:hAnsi="Times New Roman" w:cs="Times New Roman"/>
                      <w:color w:val="auto"/>
                      <w:kern w:val="2"/>
                      <w:sz w:val="21"/>
                      <w:szCs w:val="21"/>
                      <w:highlight w:val="none"/>
                      <w:lang w:val="en-US" w:eastAsia="zh-CN"/>
                    </w:rPr>
                  </w:pPr>
                  <w:r>
                    <w:rPr>
                      <w:rFonts w:hint="eastAsia" w:ascii="Times New Roman" w:hAnsi="Times New Roman" w:cs="Times New Roman"/>
                      <w:color w:val="auto"/>
                      <w:kern w:val="2"/>
                      <w:sz w:val="21"/>
                      <w:szCs w:val="21"/>
                      <w:highlight w:val="none"/>
                      <w:lang w:val="en-US" w:eastAsia="zh-CN"/>
                    </w:rPr>
                    <w:t>雨水排放口（YS001）</w:t>
                  </w:r>
                </w:p>
              </w:tc>
              <w:tc>
                <w:tcPr>
                  <w:tcW w:w="1150" w:type="pct"/>
                  <w:noWrap w:val="0"/>
                  <w:vAlign w:val="center"/>
                </w:tcPr>
                <w:p w14:paraId="1A164A89">
                  <w:pPr>
                    <w:pStyle w:val="177"/>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eastAsia="宋体"/>
                      <w:color w:val="auto"/>
                      <w:sz w:val="21"/>
                      <w:szCs w:val="21"/>
                      <w:highlight w:val="none"/>
                    </w:rPr>
                  </w:pPr>
                  <w:r>
                    <w:rPr>
                      <w:rFonts w:hint="default"/>
                      <w:color w:val="auto"/>
                      <w:kern w:val="2"/>
                      <w:sz w:val="21"/>
                      <w:szCs w:val="21"/>
                      <w:highlight w:val="none"/>
                    </w:rPr>
                    <w:t>pH、COD</w:t>
                  </w:r>
                  <w:r>
                    <w:rPr>
                      <w:rFonts w:hint="default"/>
                      <w:color w:val="auto"/>
                      <w:kern w:val="2"/>
                      <w:sz w:val="21"/>
                      <w:szCs w:val="21"/>
                      <w:highlight w:val="none"/>
                      <w:vertAlign w:val="subscript"/>
                    </w:rPr>
                    <w:t>Cr</w:t>
                  </w:r>
                  <w:r>
                    <w:rPr>
                      <w:rFonts w:hint="default"/>
                      <w:color w:val="auto"/>
                      <w:kern w:val="2"/>
                      <w:sz w:val="21"/>
                      <w:szCs w:val="21"/>
                      <w:highlight w:val="none"/>
                    </w:rPr>
                    <w:t>、SS</w:t>
                  </w:r>
                </w:p>
              </w:tc>
              <w:tc>
                <w:tcPr>
                  <w:tcW w:w="665" w:type="pct"/>
                  <w:noWrap w:val="0"/>
                  <w:vAlign w:val="center"/>
                </w:tcPr>
                <w:p w14:paraId="5738B1EB">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ascii="Times New Roman" w:hAnsi="Times New Roman" w:cs="Times New Roman"/>
                      <w:color w:val="auto"/>
                      <w:kern w:val="2"/>
                      <w:highlight w:val="none"/>
                    </w:rPr>
                  </w:pPr>
                  <w:r>
                    <w:rPr>
                      <w:rFonts w:hint="default"/>
                      <w:color w:val="auto"/>
                      <w:kern w:val="2"/>
                      <w:sz w:val="21"/>
                      <w:szCs w:val="21"/>
                      <w:highlight w:val="none"/>
                    </w:rPr>
                    <w:t>1次/月</w:t>
                  </w:r>
                </w:p>
              </w:tc>
              <w:tc>
                <w:tcPr>
                  <w:tcW w:w="2469" w:type="pct"/>
                  <w:noWrap w:val="0"/>
                  <w:vAlign w:val="center"/>
                </w:tcPr>
                <w:p w14:paraId="7F0E962A">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eastAsia="宋体"/>
                      <w:color w:val="auto"/>
                      <w:spacing w:val="-2"/>
                      <w:sz w:val="21"/>
                      <w:szCs w:val="21"/>
                      <w:highlight w:val="none"/>
                    </w:rPr>
                  </w:pPr>
                  <w:r>
                    <w:rPr>
                      <w:rFonts w:hint="default"/>
                      <w:color w:val="auto"/>
                      <w:kern w:val="2"/>
                      <w:sz w:val="21"/>
                      <w:szCs w:val="21"/>
                      <w:highlight w:val="none"/>
                    </w:rPr>
                    <w:t>《排污单位自行监测技术指南 涂装》（HJ1086-2020）表1</w:t>
                  </w:r>
                </w:p>
              </w:tc>
            </w:tr>
            <w:tr w14:paraId="1CE3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5000" w:type="pct"/>
                  <w:gridSpan w:val="4"/>
                  <w:noWrap w:val="0"/>
                  <w:vAlign w:val="center"/>
                </w:tcPr>
                <w:p w14:paraId="6EBACC07">
                  <w:pPr>
                    <w:keepNext w:val="0"/>
                    <w:keepLines w:val="0"/>
                    <w:pageBreakBefore w:val="0"/>
                    <w:suppressLineNumbers w:val="0"/>
                    <w:kinsoku/>
                    <w:wordWrap w:val="0"/>
                    <w:overflowPunct/>
                    <w:topLinePunct/>
                    <w:autoSpaceDE/>
                    <w:autoSpaceDN/>
                    <w:bidi w:val="0"/>
                    <w:spacing w:beforeAutospacing="0" w:afterAutospacing="0" w:line="240" w:lineRule="auto"/>
                    <w:ind w:left="0" w:leftChars="0" w:right="0" w:rightChars="0" w:firstLine="0" w:firstLineChars="0"/>
                    <w:jc w:val="center"/>
                    <w:textAlignment w:val="auto"/>
                    <w:rPr>
                      <w:rFonts w:hint="default"/>
                      <w:color w:val="auto"/>
                      <w:kern w:val="2"/>
                      <w:sz w:val="21"/>
                      <w:szCs w:val="21"/>
                      <w:highlight w:val="none"/>
                    </w:rPr>
                  </w:pPr>
                  <w:r>
                    <w:rPr>
                      <w:rFonts w:hint="default"/>
                      <w:color w:val="auto"/>
                      <w:kern w:val="2"/>
                      <w:sz w:val="21"/>
                      <w:szCs w:val="21"/>
                      <w:highlight w:val="none"/>
                    </w:rPr>
                    <w:t>注：雨水排放口每月有流动水排放时开展一次监测。如监测一年无异常情况，可放宽至每季度有流动水排放时开展一次监测。</w:t>
                  </w:r>
                </w:p>
              </w:tc>
            </w:tr>
          </w:tbl>
          <w:p w14:paraId="7BB85F93">
            <w:pPr>
              <w:keepNext w:val="0"/>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cs="Times New Roman"/>
                <w:color w:val="auto"/>
                <w:highlight w:val="none"/>
              </w:rPr>
            </w:pPr>
          </w:p>
          <w:p w14:paraId="16176787">
            <w:pPr>
              <w:pStyle w:val="43"/>
              <w:spacing w:after="0" w:line="360" w:lineRule="auto"/>
              <w:ind w:firstLine="480"/>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3、噪声</w:t>
            </w:r>
          </w:p>
          <w:p w14:paraId="06786C6A">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val="en-US" w:eastAsia="zh-CN" w:bidi="ar-SA"/>
              </w:rPr>
            </w:pPr>
            <w:r>
              <w:rPr>
                <w:rFonts w:hint="default" w:ascii="Times New Roman" w:hAnsi="Times New Roman" w:eastAsia="宋体" w:cs="Times New Roman"/>
                <w:snapToGrid/>
                <w:color w:val="auto"/>
                <w:kern w:val="0"/>
                <w:sz w:val="24"/>
                <w:szCs w:val="24"/>
                <w:highlight w:val="none"/>
                <w:lang w:val="en-US" w:eastAsia="zh-CN" w:bidi="ar-SA"/>
              </w:rPr>
              <w:t>本项目运营期噪声污染主要是生产过程中机械设备运行产生的机械噪声，根据《噪声控制工程》（高红武武汉理工大学出版社2003年），项目设备噪声源强为60~85dB（A）。</w:t>
            </w:r>
          </w:p>
          <w:p w14:paraId="168B303E">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环境噪声控制》（作者：刘惠玲主编，2002年第一版），墙体降噪效果在23-30dB（A）之间，基础减振降噪效果在10-25dB（A）之间，本项目墙体主要为钢质材料，隔音效果较差降噪效果保守取15dB（A）、基础减振降噪效果取10dB（A），考虑到人员进出本项目过程中开关门、窗户等对隔声的负面影响，实际隔声量按20dB（A）计算。</w:t>
            </w:r>
            <w:r>
              <w:rPr>
                <w:rFonts w:hint="default" w:ascii="Times New Roman" w:hAnsi="Times New Roman" w:eastAsia="宋体" w:cs="Times New Roman"/>
                <w:snapToGrid/>
                <w:color w:val="auto"/>
                <w:kern w:val="0"/>
                <w:sz w:val="24"/>
                <w:szCs w:val="24"/>
                <w:highlight w:val="none"/>
                <w:lang w:val="en-US" w:eastAsia="zh-CN" w:bidi="ar-SA"/>
              </w:rPr>
              <w:t>同时噪声治理效果参考《</w:t>
            </w:r>
            <w:r>
              <w:rPr>
                <w:rFonts w:hint="eastAsia" w:cs="Times New Roman"/>
                <w:snapToGrid/>
                <w:color w:val="auto"/>
                <w:kern w:val="0"/>
                <w:sz w:val="24"/>
                <w:szCs w:val="24"/>
                <w:highlight w:val="none"/>
                <w:lang w:val="en-US" w:eastAsia="zh-CN" w:bidi="ar-SA"/>
              </w:rPr>
              <w:t>环境噪声与振动控制工程技术导则</w:t>
            </w:r>
            <w:r>
              <w:rPr>
                <w:rFonts w:hint="default" w:ascii="Times New Roman" w:hAnsi="Times New Roman" w:eastAsia="宋体" w:cs="Times New Roman"/>
                <w:snapToGrid/>
                <w:color w:val="auto"/>
                <w:kern w:val="0"/>
                <w:sz w:val="24"/>
                <w:szCs w:val="24"/>
                <w:highlight w:val="none"/>
                <w:lang w:val="en-US" w:eastAsia="zh-CN" w:bidi="ar-SA"/>
              </w:rPr>
              <w:t>》（HJ2034-2013），降噪效果如下表所示。</w:t>
            </w:r>
          </w:p>
          <w:p w14:paraId="655F5562">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2"/>
                <w:sz w:val="21"/>
                <w:szCs w:val="21"/>
                <w:lang w:val="en-US" w:eastAsia="zh-CN" w:bidi="ar-SA"/>
              </w:rPr>
              <w:t>表4-3</w:t>
            </w:r>
            <w:r>
              <w:rPr>
                <w:rFonts w:hint="eastAsia" w:cs="Times New Roman"/>
                <w:b/>
                <w:bCs/>
                <w:color w:val="auto"/>
                <w:kern w:val="2"/>
                <w:sz w:val="21"/>
                <w:szCs w:val="21"/>
                <w:lang w:val="en-US" w:eastAsia="zh-CN" w:bidi="ar-SA"/>
              </w:rPr>
              <w:t xml:space="preserve">2 </w:t>
            </w:r>
            <w:r>
              <w:rPr>
                <w:rFonts w:hint="default" w:ascii="Times New Roman" w:hAnsi="Times New Roman" w:eastAsia="宋体" w:cs="Times New Roman"/>
                <w:b/>
                <w:bCs/>
                <w:color w:val="auto"/>
                <w:sz w:val="21"/>
                <w:szCs w:val="21"/>
                <w:highlight w:val="none"/>
                <w:lang w:eastAsia="zh-CN"/>
              </w:rPr>
              <w:t>降噪效果一览表</w:t>
            </w:r>
          </w:p>
          <w:tbl>
            <w:tblPr>
              <w:tblStyle w:val="132"/>
              <w:tblW w:w="4998" w:type="pct"/>
              <w:tblInd w:w="0" w:type="dxa"/>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Layout w:type="fixed"/>
              <w:tblCellMar>
                <w:top w:w="0" w:type="dxa"/>
                <w:left w:w="0" w:type="dxa"/>
                <w:bottom w:w="0" w:type="dxa"/>
                <w:right w:w="0" w:type="dxa"/>
              </w:tblCellMar>
            </w:tblPr>
            <w:tblGrid>
              <w:gridCol w:w="1013"/>
              <w:gridCol w:w="4536"/>
              <w:gridCol w:w="2843"/>
            </w:tblGrid>
            <w:tr w14:paraId="7532A532">
              <w:tblPrEx>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03" w:type="pct"/>
                  <w:tcBorders>
                    <w:tl2br w:val="nil"/>
                    <w:tr2bl w:val="nil"/>
                  </w:tcBorders>
                  <w:noWrap w:val="0"/>
                  <w:vAlign w:val="center"/>
                </w:tcPr>
                <w:p w14:paraId="4E864B75">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序号</w:t>
                  </w:r>
                </w:p>
              </w:tc>
              <w:tc>
                <w:tcPr>
                  <w:tcW w:w="2702" w:type="pct"/>
                  <w:tcBorders>
                    <w:tl2br w:val="nil"/>
                    <w:tr2bl w:val="nil"/>
                  </w:tcBorders>
                  <w:noWrap w:val="0"/>
                  <w:vAlign w:val="center"/>
                </w:tcPr>
                <w:p w14:paraId="78E5D1AA">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降噪方式</w:t>
                  </w:r>
                </w:p>
              </w:tc>
              <w:tc>
                <w:tcPr>
                  <w:tcW w:w="1693" w:type="pct"/>
                  <w:tcBorders>
                    <w:tl2br w:val="nil"/>
                    <w:tr2bl w:val="nil"/>
                  </w:tcBorders>
                  <w:noWrap w:val="0"/>
                  <w:vAlign w:val="center"/>
                </w:tcPr>
                <w:p w14:paraId="2968E4EE">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highlight w:val="none"/>
                      <w:lang w:eastAsia="zh-CN"/>
                    </w:rPr>
                    <w:t>降噪效果dB（A）</w:t>
                  </w:r>
                </w:p>
              </w:tc>
            </w:tr>
            <w:tr w14:paraId="62BAD1E5">
              <w:tblPrEx>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03" w:type="pct"/>
                  <w:tcBorders>
                    <w:tl2br w:val="nil"/>
                    <w:tr2bl w:val="nil"/>
                  </w:tcBorders>
                  <w:noWrap w:val="0"/>
                  <w:vAlign w:val="center"/>
                </w:tcPr>
                <w:p w14:paraId="7C429C84">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1</w:t>
                  </w:r>
                </w:p>
              </w:tc>
              <w:tc>
                <w:tcPr>
                  <w:tcW w:w="2702" w:type="pct"/>
                  <w:tcBorders>
                    <w:tl2br w:val="nil"/>
                    <w:tr2bl w:val="nil"/>
                  </w:tcBorders>
                  <w:noWrap w:val="0"/>
                  <w:vAlign w:val="center"/>
                </w:tcPr>
                <w:p w14:paraId="70DD6E22">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采取墙体隔声措施</w:t>
                  </w:r>
                </w:p>
              </w:tc>
              <w:tc>
                <w:tcPr>
                  <w:tcW w:w="1693" w:type="pct"/>
                  <w:tcBorders>
                    <w:tl2br w:val="nil"/>
                    <w:tr2bl w:val="nil"/>
                  </w:tcBorders>
                  <w:noWrap w:val="0"/>
                  <w:vAlign w:val="center"/>
                </w:tcPr>
                <w:p w14:paraId="1BB7998E">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cs="Times New Roman"/>
                      <w:snapToGrid/>
                      <w:color w:val="auto"/>
                      <w:kern w:val="2"/>
                      <w:sz w:val="21"/>
                      <w:szCs w:val="21"/>
                      <w:highlight w:val="none"/>
                      <w:lang w:val="en-US" w:eastAsia="zh-CN"/>
                    </w:rPr>
                    <w:t>1</w:t>
                  </w:r>
                  <w:r>
                    <w:rPr>
                      <w:rFonts w:hint="default" w:ascii="Times New Roman" w:hAnsi="Times New Roman" w:eastAsia="宋体" w:cs="Times New Roman"/>
                      <w:snapToGrid/>
                      <w:color w:val="auto"/>
                      <w:kern w:val="2"/>
                      <w:sz w:val="21"/>
                      <w:szCs w:val="21"/>
                      <w:highlight w:val="none"/>
                      <w:lang w:eastAsia="zh-CN"/>
                    </w:rPr>
                    <w:t>5</w:t>
                  </w:r>
                </w:p>
              </w:tc>
            </w:tr>
            <w:tr w14:paraId="222EE00E">
              <w:tblPrEx>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03" w:type="pct"/>
                  <w:tcBorders>
                    <w:tl2br w:val="nil"/>
                    <w:tr2bl w:val="nil"/>
                  </w:tcBorders>
                  <w:noWrap w:val="0"/>
                  <w:vAlign w:val="center"/>
                </w:tcPr>
                <w:p w14:paraId="4A56BA81">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2</w:t>
                  </w:r>
                </w:p>
              </w:tc>
              <w:tc>
                <w:tcPr>
                  <w:tcW w:w="2702" w:type="pct"/>
                  <w:tcBorders>
                    <w:tl2br w:val="nil"/>
                    <w:tr2bl w:val="nil"/>
                  </w:tcBorders>
                  <w:noWrap w:val="0"/>
                  <w:vAlign w:val="center"/>
                </w:tcPr>
                <w:p w14:paraId="33F190B3">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采取基础减振措施</w:t>
                  </w:r>
                </w:p>
              </w:tc>
              <w:tc>
                <w:tcPr>
                  <w:tcW w:w="1693" w:type="pct"/>
                  <w:tcBorders>
                    <w:tl2br w:val="nil"/>
                    <w:tr2bl w:val="nil"/>
                  </w:tcBorders>
                  <w:noWrap w:val="0"/>
                  <w:vAlign w:val="center"/>
                </w:tcPr>
                <w:p w14:paraId="2C70CE90">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5</w:t>
                  </w:r>
                </w:p>
              </w:tc>
            </w:tr>
            <w:tr w14:paraId="4C7B1028">
              <w:tblPrEx>
                <w:tblBorders>
                  <w:top w:val="single" w:color="000000" w:sz="2" w:space="0"/>
                  <w:left w:val="single" w:color="000000" w:sz="6" w:space="0"/>
                  <w:bottom w:val="single" w:color="000000" w:sz="2" w:space="0"/>
                  <w:right w:val="single" w:color="000000" w:sz="6"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603" w:type="pct"/>
                  <w:tcBorders>
                    <w:tl2br w:val="nil"/>
                    <w:tr2bl w:val="nil"/>
                  </w:tcBorders>
                  <w:noWrap w:val="0"/>
                  <w:vAlign w:val="center"/>
                </w:tcPr>
                <w:p w14:paraId="5DDA29D8">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default" w:ascii="Times New Roman" w:hAnsi="Times New Roman" w:eastAsia="宋体" w:cs="Times New Roman"/>
                      <w:snapToGrid/>
                      <w:color w:val="auto"/>
                      <w:kern w:val="2"/>
                      <w:sz w:val="21"/>
                      <w:szCs w:val="21"/>
                      <w:highlight w:val="none"/>
                      <w:lang w:eastAsia="zh-CN"/>
                    </w:rPr>
                    <w:t>3</w:t>
                  </w:r>
                </w:p>
              </w:tc>
              <w:tc>
                <w:tcPr>
                  <w:tcW w:w="2702" w:type="pct"/>
                  <w:tcBorders>
                    <w:tl2br w:val="nil"/>
                    <w:tr2bl w:val="nil"/>
                  </w:tcBorders>
                  <w:noWrap w:val="0"/>
                  <w:vAlign w:val="center"/>
                </w:tcPr>
                <w:p w14:paraId="36B8452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cs="Times New Roman"/>
                      <w:snapToGrid/>
                      <w:color w:val="auto"/>
                      <w:kern w:val="2"/>
                      <w:sz w:val="21"/>
                      <w:szCs w:val="21"/>
                      <w:highlight w:val="none"/>
                      <w:lang w:val="en-US" w:eastAsia="zh-CN"/>
                    </w:rPr>
                    <w:t>合计</w:t>
                  </w:r>
                </w:p>
              </w:tc>
              <w:tc>
                <w:tcPr>
                  <w:tcW w:w="1693" w:type="pct"/>
                  <w:tcBorders>
                    <w:tl2br w:val="nil"/>
                    <w:tr2bl w:val="nil"/>
                  </w:tcBorders>
                  <w:noWrap w:val="0"/>
                  <w:vAlign w:val="center"/>
                </w:tcPr>
                <w:p w14:paraId="2BF2860F">
                  <w:pPr>
                    <w:widowControl w:val="0"/>
                    <w:kinsoku/>
                    <w:autoSpaceDE/>
                    <w:autoSpaceDN/>
                    <w:adjustRightInd w:val="0"/>
                    <w:snapToGrid w:val="0"/>
                    <w:spacing w:line="240" w:lineRule="auto"/>
                    <w:jc w:val="center"/>
                    <w:textAlignment w:val="auto"/>
                    <w:rPr>
                      <w:rFonts w:hint="default" w:ascii="Times New Roman" w:hAnsi="Times New Roman" w:eastAsia="宋体" w:cs="Times New Roman"/>
                      <w:snapToGrid/>
                      <w:color w:val="auto"/>
                      <w:kern w:val="2"/>
                      <w:sz w:val="21"/>
                      <w:szCs w:val="21"/>
                      <w:highlight w:val="none"/>
                      <w:lang w:eastAsia="zh-CN"/>
                    </w:rPr>
                  </w:pPr>
                  <w:r>
                    <w:rPr>
                      <w:rFonts w:hint="eastAsia" w:cs="Times New Roman"/>
                      <w:snapToGrid/>
                      <w:color w:val="auto"/>
                      <w:kern w:val="2"/>
                      <w:sz w:val="21"/>
                      <w:szCs w:val="21"/>
                      <w:highlight w:val="none"/>
                      <w:lang w:val="en-US" w:eastAsia="zh-CN"/>
                    </w:rPr>
                    <w:t>2</w:t>
                  </w:r>
                  <w:r>
                    <w:rPr>
                      <w:rFonts w:hint="default" w:ascii="Times New Roman" w:hAnsi="Times New Roman" w:eastAsia="宋体" w:cs="Times New Roman"/>
                      <w:snapToGrid/>
                      <w:color w:val="auto"/>
                      <w:kern w:val="2"/>
                      <w:sz w:val="21"/>
                      <w:szCs w:val="21"/>
                      <w:highlight w:val="none"/>
                      <w:lang w:eastAsia="zh-CN"/>
                    </w:rPr>
                    <w:t>0</w:t>
                  </w:r>
                </w:p>
              </w:tc>
            </w:tr>
          </w:tbl>
          <w:p w14:paraId="2D998EEE">
            <w:pPr>
              <w:keepNext w:val="0"/>
              <w:keepLines w:val="0"/>
              <w:pageBreakBefore w:val="0"/>
              <w:widowControl w:val="0"/>
              <w:kinsoku/>
              <w:wordWrap/>
              <w:overflowPunct/>
              <w:topLinePunct w:val="0"/>
              <w:autoSpaceDE/>
              <w:autoSpaceDN/>
              <w:bidi w:val="0"/>
              <w:adjustRightInd/>
              <w:snapToGrid/>
              <w:spacing w:line="10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val="en-US" w:eastAsia="zh-CN" w:bidi="ar-SA"/>
              </w:rPr>
            </w:pPr>
          </w:p>
          <w:p w14:paraId="79A40CF8">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val="en-US" w:eastAsia="zh-CN" w:bidi="ar-SA"/>
              </w:rPr>
            </w:pPr>
            <w:r>
              <w:rPr>
                <w:rFonts w:hint="default" w:ascii="Times New Roman" w:hAnsi="Times New Roman" w:eastAsia="宋体" w:cs="Times New Roman"/>
                <w:snapToGrid/>
                <w:color w:val="auto"/>
                <w:kern w:val="0"/>
                <w:sz w:val="24"/>
                <w:szCs w:val="24"/>
                <w:highlight w:val="none"/>
                <w:lang w:val="en-US" w:eastAsia="zh-CN" w:bidi="ar-SA"/>
              </w:rPr>
              <w:t>综上，本项目噪声污染源源强核算结果见下表：</w:t>
            </w:r>
          </w:p>
          <w:p w14:paraId="529A0A66">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snapToGrid/>
                <w:color w:val="auto"/>
                <w:kern w:val="2"/>
                <w:sz w:val="21"/>
                <w:szCs w:val="21"/>
                <w:highlight w:val="none"/>
                <w:lang w:eastAsia="zh-CN"/>
              </w:rPr>
            </w:pPr>
            <w:r>
              <w:rPr>
                <w:rFonts w:hint="default" w:ascii="Times New Roman" w:hAnsi="Times New Roman" w:eastAsia="宋体" w:cs="Times New Roman"/>
                <w:b/>
                <w:bCs/>
                <w:snapToGrid/>
                <w:color w:val="auto"/>
                <w:kern w:val="2"/>
                <w:sz w:val="21"/>
                <w:szCs w:val="21"/>
                <w:lang w:val="en-US" w:eastAsia="zh-CN" w:bidi="ar-SA"/>
              </w:rPr>
              <w:t>表4-3</w:t>
            </w:r>
            <w:r>
              <w:rPr>
                <w:rFonts w:hint="eastAsia" w:cs="Times New Roman"/>
                <w:b/>
                <w:bCs/>
                <w:snapToGrid/>
                <w:color w:val="auto"/>
                <w:kern w:val="2"/>
                <w:sz w:val="21"/>
                <w:szCs w:val="21"/>
                <w:lang w:val="en-US" w:eastAsia="zh-CN" w:bidi="ar-SA"/>
              </w:rPr>
              <w:t>3</w:t>
            </w:r>
            <w:r>
              <w:rPr>
                <w:rFonts w:hint="default" w:ascii="Times New Roman" w:hAnsi="Times New Roman" w:eastAsia="宋体" w:cs="Times New Roman"/>
                <w:b/>
                <w:bCs/>
                <w:snapToGrid/>
                <w:color w:val="auto"/>
                <w:kern w:val="2"/>
                <w:sz w:val="21"/>
                <w:szCs w:val="21"/>
                <w:highlight w:val="none"/>
                <w:lang w:eastAsia="zh-CN"/>
              </w:rPr>
              <w:t>工业企业噪声源强调查清单（室外声源）</w:t>
            </w:r>
          </w:p>
          <w:tbl>
            <w:tblPr>
              <w:tblStyle w:val="48"/>
              <w:tblW w:w="0" w:type="auto"/>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2"/>
              <w:gridCol w:w="874"/>
              <w:gridCol w:w="845"/>
              <w:gridCol w:w="570"/>
              <w:gridCol w:w="570"/>
              <w:gridCol w:w="410"/>
              <w:gridCol w:w="1277"/>
              <w:gridCol w:w="1066"/>
              <w:gridCol w:w="1574"/>
              <w:gridCol w:w="845"/>
            </w:tblGrid>
            <w:tr w14:paraId="72AB3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BD031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8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A5ECF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声源名称</w:t>
                  </w:r>
                </w:p>
              </w:tc>
              <w:tc>
                <w:tcPr>
                  <w:tcW w:w="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654C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设备数量</w:t>
                  </w:r>
                </w:p>
              </w:tc>
              <w:tc>
                <w:tcPr>
                  <w:tcW w:w="15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B98B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空间相对位置</w:t>
                  </w:r>
                </w:p>
              </w:tc>
              <w:tc>
                <w:tcPr>
                  <w:tcW w:w="23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9CB09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声源源强</w:t>
                  </w:r>
                </w:p>
              </w:tc>
              <w:tc>
                <w:tcPr>
                  <w:tcW w:w="15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B73C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声源控制措施</w:t>
                  </w:r>
                </w:p>
              </w:tc>
              <w:tc>
                <w:tcPr>
                  <w:tcW w:w="8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036D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运行时段</w:t>
                  </w:r>
                </w:p>
              </w:tc>
            </w:tr>
            <w:tr w14:paraId="65598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21CCB">
                  <w:pPr>
                    <w:jc w:val="center"/>
                    <w:rPr>
                      <w:rFonts w:hint="default" w:ascii="Times New Roman" w:hAnsi="Times New Roman" w:eastAsia="宋体" w:cs="Times New Roman"/>
                      <w:i w:val="0"/>
                      <w:iCs w:val="0"/>
                      <w:color w:val="auto"/>
                      <w:sz w:val="21"/>
                      <w:szCs w:val="21"/>
                      <w:u w:val="none"/>
                    </w:rPr>
                  </w:pPr>
                </w:p>
              </w:tc>
              <w:tc>
                <w:tcPr>
                  <w:tcW w:w="8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5758B">
                  <w:pPr>
                    <w:jc w:val="center"/>
                    <w:rPr>
                      <w:rFonts w:hint="default" w:ascii="Times New Roman" w:hAnsi="Times New Roman" w:eastAsia="宋体" w:cs="Times New Roman"/>
                      <w:i w:val="0"/>
                      <w:iCs w:val="0"/>
                      <w:color w:val="auto"/>
                      <w:sz w:val="21"/>
                      <w:szCs w:val="21"/>
                      <w:u w:val="none"/>
                    </w:rPr>
                  </w:pPr>
                </w:p>
              </w:tc>
              <w:tc>
                <w:tcPr>
                  <w:tcW w:w="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12D59">
                  <w:pPr>
                    <w:jc w:val="center"/>
                    <w:rPr>
                      <w:rFonts w:hint="default" w:ascii="Times New Roman" w:hAnsi="Times New Roman" w:eastAsia="宋体" w:cs="Times New Roman"/>
                      <w:b/>
                      <w:bCs/>
                      <w:i w:val="0"/>
                      <w:iCs w:val="0"/>
                      <w:color w:val="auto"/>
                      <w:sz w:val="21"/>
                      <w:szCs w:val="21"/>
                      <w:u w:val="none"/>
                    </w:rPr>
                  </w:pP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F02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X</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D65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Y</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D16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Z</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BDA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声压级</w:t>
                  </w:r>
                  <w:r>
                    <w:rPr>
                      <w:rFonts w:hint="default" w:ascii="Times New Roman" w:hAnsi="Times New Roman" w:eastAsia="宋体" w:cs="Times New Roman"/>
                      <w:b/>
                      <w:bCs/>
                      <w:i w:val="0"/>
                      <w:iCs w:val="0"/>
                      <w:color w:val="auto"/>
                      <w:kern w:val="0"/>
                      <w:sz w:val="21"/>
                      <w:szCs w:val="21"/>
                      <w:u w:val="none"/>
                      <w:lang w:val="en-US" w:eastAsia="zh-CN" w:bidi="ar"/>
                    </w:rPr>
                    <w:t>/dB(A)</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019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lang w:val="en-US"/>
                    </w:rPr>
                  </w:pPr>
                  <w:r>
                    <w:rPr>
                      <w:rFonts w:hint="eastAsia" w:ascii="宋体" w:hAnsi="宋体" w:eastAsia="宋体" w:cs="宋体"/>
                      <w:b/>
                      <w:bCs/>
                      <w:i w:val="0"/>
                      <w:iCs w:val="0"/>
                      <w:color w:val="auto"/>
                      <w:kern w:val="0"/>
                      <w:sz w:val="21"/>
                      <w:szCs w:val="21"/>
                      <w:u w:val="none"/>
                      <w:lang w:val="en-US" w:eastAsia="zh-CN" w:bidi="ar"/>
                    </w:rPr>
                    <w:t>距声源距离m</w:t>
                  </w:r>
                </w:p>
              </w:tc>
              <w:tc>
                <w:tcPr>
                  <w:tcW w:w="15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0537C">
                  <w:pPr>
                    <w:jc w:val="center"/>
                    <w:rPr>
                      <w:rFonts w:hint="default" w:ascii="Times New Roman" w:hAnsi="Times New Roman" w:eastAsia="宋体" w:cs="Times New Roman"/>
                      <w:i w:val="0"/>
                      <w:iCs w:val="0"/>
                      <w:color w:val="auto"/>
                      <w:sz w:val="21"/>
                      <w:szCs w:val="21"/>
                      <w:u w:val="none"/>
                    </w:rPr>
                  </w:pPr>
                </w:p>
              </w:tc>
              <w:tc>
                <w:tcPr>
                  <w:tcW w:w="8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F8DC7">
                  <w:pPr>
                    <w:jc w:val="center"/>
                    <w:rPr>
                      <w:rFonts w:hint="default" w:ascii="Times New Roman" w:hAnsi="Times New Roman" w:eastAsia="宋体" w:cs="Times New Roman"/>
                      <w:i w:val="0"/>
                      <w:iCs w:val="0"/>
                      <w:color w:val="auto"/>
                      <w:sz w:val="21"/>
                      <w:szCs w:val="21"/>
                      <w:u w:val="none"/>
                    </w:rPr>
                  </w:pPr>
                </w:p>
              </w:tc>
            </w:tr>
            <w:tr w14:paraId="533E8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28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095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空压机</w:t>
                  </w:r>
                  <w:r>
                    <w:rPr>
                      <w:rFonts w:hint="default" w:ascii="Times New Roman" w:hAnsi="Times New Roman" w:eastAsia="宋体" w:cs="Times New Roman"/>
                      <w:i w:val="0"/>
                      <w:iCs w:val="0"/>
                      <w:color w:val="auto"/>
                      <w:kern w:val="0"/>
                      <w:sz w:val="21"/>
                      <w:szCs w:val="21"/>
                      <w:u w:val="none"/>
                      <w:lang w:val="en-US" w:eastAsia="zh-CN" w:bidi="ar"/>
                    </w:rPr>
                    <w:t>1#</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621A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D0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97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3D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BA3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2B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5C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B6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昼间</w:t>
                  </w:r>
                </w:p>
              </w:tc>
            </w:tr>
            <w:tr w14:paraId="5E9E0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41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DF3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空压机</w:t>
                  </w:r>
                  <w:r>
                    <w:rPr>
                      <w:rFonts w:hint="default" w:ascii="Times New Roman" w:hAnsi="Times New Roman" w:eastAsia="宋体" w:cs="Times New Roman"/>
                      <w:i w:val="0"/>
                      <w:iCs w:val="0"/>
                      <w:color w:val="auto"/>
                      <w:kern w:val="0"/>
                      <w:sz w:val="21"/>
                      <w:szCs w:val="21"/>
                      <w:u w:val="none"/>
                      <w:lang w:val="en-US" w:eastAsia="zh-CN" w:bidi="ar"/>
                    </w:rPr>
                    <w:t>2#</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0E7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18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207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E4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33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D3E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775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8BC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昼间</w:t>
                  </w:r>
                </w:p>
              </w:tc>
            </w:tr>
            <w:tr w14:paraId="1C72B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EB8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8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7E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空压机</w:t>
                  </w:r>
                  <w:r>
                    <w:rPr>
                      <w:rFonts w:hint="default" w:ascii="Times New Roman" w:hAnsi="Times New Roman" w:eastAsia="宋体" w:cs="Times New Roman"/>
                      <w:i w:val="0"/>
                      <w:iCs w:val="0"/>
                      <w:color w:val="auto"/>
                      <w:kern w:val="0"/>
                      <w:sz w:val="21"/>
                      <w:szCs w:val="21"/>
                      <w:u w:val="none"/>
                      <w:lang w:val="en-US" w:eastAsia="zh-CN" w:bidi="ar"/>
                    </w:rPr>
                    <w:t>3#</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3A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677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92</w:t>
                  </w:r>
                </w:p>
              </w:tc>
              <w:tc>
                <w:tcPr>
                  <w:tcW w:w="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AD0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A4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A9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85</w:t>
                  </w:r>
                </w:p>
              </w:tc>
              <w:tc>
                <w:tcPr>
                  <w:tcW w:w="10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59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5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71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93D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昼间</w:t>
                  </w:r>
                </w:p>
              </w:tc>
            </w:tr>
            <w:tr w14:paraId="596AE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62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47540B">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default" w:ascii="Times New Roman" w:hAnsi="Times New Roman" w:eastAsia="宋体" w:cs="Times New Roman"/>
                      <w:color w:val="auto"/>
                      <w:spacing w:val="-1"/>
                      <w:sz w:val="21"/>
                      <w:szCs w:val="21"/>
                      <w:highlight w:val="none"/>
                    </w:rPr>
                    <w:t>注：以</w:t>
                  </w:r>
                  <w:r>
                    <w:rPr>
                      <w:rFonts w:hint="eastAsia" w:cs="Times New Roman"/>
                      <w:color w:val="auto"/>
                      <w:spacing w:val="-1"/>
                      <w:sz w:val="21"/>
                      <w:szCs w:val="21"/>
                      <w:highlight w:val="none"/>
                      <w:lang w:eastAsia="zh-CN"/>
                    </w:rPr>
                    <w:t>（</w:t>
                  </w:r>
                  <w:r>
                    <w:rPr>
                      <w:rFonts w:hint="default" w:ascii="Times New Roman" w:hAnsi="Times New Roman" w:eastAsia="宋体" w:cs="Times New Roman"/>
                      <w:color w:val="auto"/>
                      <w:sz w:val="21"/>
                      <w:szCs w:val="21"/>
                      <w:highlight w:val="none"/>
                    </w:rPr>
                    <w:t>东经113°24'30.099"，北纬25°9'23.358"</w:t>
                  </w:r>
                  <w:r>
                    <w:rPr>
                      <w:rFonts w:hint="eastAsia" w:cs="Times New Roman"/>
                      <w:color w:val="auto"/>
                      <w:spacing w:val="-1"/>
                      <w:sz w:val="21"/>
                      <w:szCs w:val="21"/>
                      <w:highlight w:val="none"/>
                      <w:lang w:eastAsia="zh-CN"/>
                    </w:rPr>
                    <w:t>）</w:t>
                  </w:r>
                  <w:r>
                    <w:rPr>
                      <w:rFonts w:hint="default" w:ascii="Times New Roman" w:hAnsi="Times New Roman" w:eastAsia="宋体" w:cs="Times New Roman"/>
                      <w:color w:val="auto"/>
                      <w:spacing w:val="-1"/>
                      <w:sz w:val="21"/>
                      <w:szCs w:val="21"/>
                      <w:highlight w:val="none"/>
                    </w:rPr>
                    <w:t>为原点（0，0），正东向为X轴正方向、正北向为Y轴正方向建立直角坐标系。</w:t>
                  </w:r>
                </w:p>
              </w:tc>
            </w:tr>
          </w:tbl>
          <w:p w14:paraId="714AFF1B">
            <w:pPr>
              <w:pStyle w:val="2"/>
              <w:rPr>
                <w:rFonts w:hint="default" w:ascii="Times New Roman" w:hAnsi="Times New Roman" w:eastAsia="宋体" w:cs="Times New Roman"/>
                <w:b/>
                <w:bCs/>
                <w:snapToGrid/>
                <w:color w:val="auto"/>
                <w:kern w:val="2"/>
                <w:sz w:val="21"/>
                <w:szCs w:val="21"/>
                <w:highlight w:val="none"/>
                <w:lang w:eastAsia="zh-CN"/>
              </w:rPr>
            </w:pPr>
          </w:p>
          <w:p w14:paraId="34C2F750">
            <w:pPr>
              <w:widowControl w:val="0"/>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auto"/>
                <w:kern w:val="0"/>
                <w:sz w:val="24"/>
                <w:szCs w:val="24"/>
                <w:highlight w:val="none"/>
                <w:lang w:val="en-US" w:eastAsia="zh-CN" w:bidi="ar-SA"/>
              </w:rPr>
            </w:pPr>
          </w:p>
        </w:tc>
      </w:tr>
    </w:tbl>
    <w:p w14:paraId="570C5510">
      <w:pPr>
        <w:pStyle w:val="76"/>
        <w:rPr>
          <w:rFonts w:hint="eastAsia"/>
          <w:color w:val="auto"/>
          <w:highlight w:val="none"/>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13204"/>
      </w:tblGrid>
      <w:tr w14:paraId="343E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5" w:hRule="atLeast"/>
        </w:trPr>
        <w:tc>
          <w:tcPr>
            <w:tcW w:w="448" w:type="dxa"/>
            <w:noWrap w:val="0"/>
            <w:vAlign w:val="top"/>
          </w:tcPr>
          <w:p w14:paraId="5D115C26">
            <w:pPr>
              <w:pStyle w:val="45"/>
              <w:jc w:val="center"/>
              <w:outlineLvl w:val="0"/>
              <w:rPr>
                <w:rFonts w:hint="default" w:ascii="Times New Roman" w:hAnsi="Times New Roman" w:eastAsia="宋体" w:cs="Times New Roman"/>
                <w:snapToGrid w:val="0"/>
                <w:color w:val="auto"/>
                <w:sz w:val="30"/>
                <w:szCs w:val="30"/>
                <w:highlight w:val="none"/>
                <w:vertAlign w:val="baseline"/>
              </w:rPr>
            </w:pPr>
          </w:p>
        </w:tc>
        <w:tc>
          <w:tcPr>
            <w:tcW w:w="13204" w:type="dxa"/>
            <w:noWrap w:val="0"/>
            <w:vAlign w:val="top"/>
          </w:tcPr>
          <w:p w14:paraId="7F25E2DD">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pacing w:val="-4"/>
                <w:sz w:val="21"/>
                <w:szCs w:val="21"/>
                <w:highlight w:val="none"/>
                <w:lang w:eastAsia="zh-CN"/>
              </w:rPr>
            </w:pPr>
            <w:r>
              <w:rPr>
                <w:rFonts w:hint="default" w:ascii="Times New Roman" w:hAnsi="Times New Roman" w:eastAsia="宋体" w:cs="Times New Roman"/>
                <w:b/>
                <w:bCs/>
                <w:color w:val="auto"/>
                <w:spacing w:val="-4"/>
                <w:kern w:val="2"/>
                <w:sz w:val="21"/>
                <w:szCs w:val="21"/>
                <w:lang w:val="en-US" w:eastAsia="zh-CN" w:bidi="ar-SA"/>
              </w:rPr>
              <w:t>表4-3</w:t>
            </w:r>
            <w:r>
              <w:rPr>
                <w:rFonts w:hint="eastAsia" w:cs="Times New Roman"/>
                <w:b/>
                <w:bCs/>
                <w:color w:val="auto"/>
                <w:spacing w:val="-4"/>
                <w:kern w:val="2"/>
                <w:sz w:val="21"/>
                <w:szCs w:val="21"/>
                <w:lang w:val="en-US" w:eastAsia="zh-CN" w:bidi="ar-SA"/>
              </w:rPr>
              <w:t>4</w:t>
            </w:r>
            <w:r>
              <w:rPr>
                <w:rFonts w:hint="default" w:ascii="Times New Roman" w:hAnsi="Times New Roman" w:eastAsia="宋体" w:cs="Times New Roman"/>
                <w:b/>
                <w:bCs/>
                <w:color w:val="auto"/>
                <w:sz w:val="21"/>
                <w:szCs w:val="21"/>
                <w:highlight w:val="none"/>
                <w:lang w:eastAsia="zh-CN"/>
              </w:rPr>
              <w:t>工业</w:t>
            </w:r>
            <w:r>
              <w:rPr>
                <w:rFonts w:hint="default" w:ascii="Times New Roman" w:hAnsi="Times New Roman" w:eastAsia="宋体" w:cs="Times New Roman"/>
                <w:b/>
                <w:bCs/>
                <w:color w:val="auto"/>
                <w:spacing w:val="-4"/>
                <w:sz w:val="21"/>
                <w:szCs w:val="21"/>
                <w:highlight w:val="none"/>
              </w:rPr>
              <w:t>企业噪声源强调查清单</w:t>
            </w:r>
            <w:r>
              <w:rPr>
                <w:rFonts w:hint="default" w:ascii="Times New Roman" w:hAnsi="Times New Roman" w:eastAsia="宋体" w:cs="Times New Roman"/>
                <w:b/>
                <w:bCs/>
                <w:color w:val="auto"/>
                <w:spacing w:val="-4"/>
                <w:sz w:val="21"/>
                <w:szCs w:val="21"/>
                <w:highlight w:val="none"/>
                <w:lang w:eastAsia="zh-CN"/>
              </w:rPr>
              <w:t>（</w:t>
            </w:r>
            <w:r>
              <w:rPr>
                <w:rFonts w:hint="default" w:ascii="Times New Roman" w:hAnsi="Times New Roman" w:eastAsia="宋体" w:cs="Times New Roman"/>
                <w:b/>
                <w:bCs/>
                <w:color w:val="auto"/>
                <w:spacing w:val="-4"/>
                <w:sz w:val="21"/>
                <w:szCs w:val="21"/>
                <w:highlight w:val="none"/>
              </w:rPr>
              <w:t>室内声源</w:t>
            </w:r>
            <w:r>
              <w:rPr>
                <w:rFonts w:hint="default" w:ascii="Times New Roman" w:hAnsi="Times New Roman" w:eastAsia="宋体" w:cs="Times New Roman"/>
                <w:b/>
                <w:bCs/>
                <w:color w:val="auto"/>
                <w:spacing w:val="-4"/>
                <w:sz w:val="21"/>
                <w:szCs w:val="21"/>
                <w:highlight w:val="none"/>
                <w:lang w:eastAsia="zh-CN"/>
              </w:rPr>
              <w:t>）</w:t>
            </w:r>
          </w:p>
          <w:tbl>
            <w:tblPr>
              <w:tblStyle w:val="48"/>
              <w:tblW w:w="129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47"/>
              <w:gridCol w:w="975"/>
              <w:gridCol w:w="599"/>
              <w:gridCol w:w="994"/>
              <w:gridCol w:w="874"/>
              <w:gridCol w:w="1308"/>
              <w:gridCol w:w="379"/>
              <w:gridCol w:w="338"/>
              <w:gridCol w:w="377"/>
              <w:gridCol w:w="294"/>
              <w:gridCol w:w="220"/>
              <w:gridCol w:w="324"/>
              <w:gridCol w:w="220"/>
              <w:gridCol w:w="481"/>
              <w:gridCol w:w="481"/>
              <w:gridCol w:w="481"/>
              <w:gridCol w:w="481"/>
              <w:gridCol w:w="459"/>
              <w:gridCol w:w="617"/>
              <w:gridCol w:w="482"/>
              <w:gridCol w:w="482"/>
              <w:gridCol w:w="483"/>
              <w:gridCol w:w="487"/>
              <w:gridCol w:w="805"/>
            </w:tblGrid>
            <w:tr w14:paraId="5D74E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347"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051DF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975"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72615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声源名称</w:t>
                  </w:r>
                </w:p>
              </w:tc>
              <w:tc>
                <w:tcPr>
                  <w:tcW w:w="599"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C7E53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设备数量</w:t>
                  </w:r>
                </w:p>
              </w:tc>
              <w:tc>
                <w:tcPr>
                  <w:tcW w:w="1868"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FA547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声源源强</w:t>
                  </w:r>
                </w:p>
              </w:tc>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56ED6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声源控制措施</w:t>
                  </w:r>
                </w:p>
              </w:tc>
              <w:tc>
                <w:tcPr>
                  <w:tcW w:w="1094" w:type="dxa"/>
                  <w:gridSpan w:val="3"/>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F1596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空间相对位置</w:t>
                  </w:r>
                </w:p>
              </w:tc>
              <w:tc>
                <w:tcPr>
                  <w:tcW w:w="1058" w:type="dxa"/>
                  <w:gridSpan w:val="4"/>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21957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距室内边界距离</w:t>
                  </w:r>
                  <w:r>
                    <w:rPr>
                      <w:rFonts w:hint="default" w:ascii="Times New Roman" w:hAnsi="Times New Roman" w:eastAsia="宋体" w:cs="Times New Roman"/>
                      <w:b/>
                      <w:bCs/>
                      <w:i w:val="0"/>
                      <w:iCs w:val="0"/>
                      <w:color w:val="auto"/>
                      <w:kern w:val="0"/>
                      <w:sz w:val="21"/>
                      <w:szCs w:val="21"/>
                      <w:u w:val="none"/>
                      <w:lang w:val="en-US" w:eastAsia="zh-CN" w:bidi="ar"/>
                    </w:rPr>
                    <w:t>/m</w:t>
                  </w:r>
                </w:p>
              </w:tc>
              <w:tc>
                <w:tcPr>
                  <w:tcW w:w="1924" w:type="dxa"/>
                  <w:gridSpan w:val="4"/>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49BDF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室内边界声级</w:t>
                  </w:r>
                  <w:r>
                    <w:rPr>
                      <w:rFonts w:hint="default" w:ascii="Times New Roman" w:hAnsi="Times New Roman" w:eastAsia="宋体" w:cs="Times New Roman"/>
                      <w:b/>
                      <w:bCs/>
                      <w:i w:val="0"/>
                      <w:iCs w:val="0"/>
                      <w:color w:val="auto"/>
                      <w:kern w:val="0"/>
                      <w:sz w:val="21"/>
                      <w:szCs w:val="21"/>
                      <w:u w:val="none"/>
                      <w:lang w:val="en-US" w:eastAsia="zh-CN" w:bidi="ar"/>
                    </w:rPr>
                    <w:t>/dB(A)</w:t>
                  </w:r>
                </w:p>
              </w:tc>
              <w:tc>
                <w:tcPr>
                  <w:tcW w:w="459" w:type="dxa"/>
                  <w:vMerge w:val="restart"/>
                  <w:tcBorders>
                    <w:top w:val="single" w:color="000000" w:sz="4" w:space="0"/>
                    <w:left w:val="single" w:color="000000" w:sz="4" w:space="0"/>
                    <w:right w:val="single" w:color="000000" w:sz="4" w:space="0"/>
                  </w:tcBorders>
                  <w:shd w:val="clear" w:color="auto" w:fill="auto"/>
                  <w:tcMar>
                    <w:top w:w="0" w:type="dxa"/>
                    <w:left w:w="0" w:type="dxa"/>
                    <w:bottom w:w="0" w:type="dxa"/>
                    <w:right w:w="0" w:type="dxa"/>
                  </w:tcMar>
                  <w:vAlign w:val="center"/>
                </w:tcPr>
                <w:p w14:paraId="1981A8E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运行时段</w:t>
                  </w:r>
                </w:p>
              </w:tc>
              <w:tc>
                <w:tcPr>
                  <w:tcW w:w="617" w:type="dxa"/>
                  <w:vMerge w:val="restart"/>
                  <w:tcBorders>
                    <w:top w:val="single" w:color="000000" w:sz="4" w:space="0"/>
                    <w:left w:val="single" w:color="000000" w:sz="4" w:space="0"/>
                    <w:right w:val="single" w:color="000000" w:sz="4" w:space="0"/>
                  </w:tcBorders>
                  <w:shd w:val="clear" w:color="auto" w:fill="auto"/>
                  <w:tcMar>
                    <w:top w:w="0" w:type="dxa"/>
                    <w:left w:w="0" w:type="dxa"/>
                    <w:bottom w:w="0" w:type="dxa"/>
                    <w:right w:w="0" w:type="dxa"/>
                  </w:tcMar>
                  <w:vAlign w:val="center"/>
                </w:tcPr>
                <w:p w14:paraId="45A1819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建筑物插入损失</w:t>
                  </w:r>
                  <w:r>
                    <w:rPr>
                      <w:rFonts w:hint="default" w:ascii="Times New Roman" w:hAnsi="Times New Roman" w:eastAsia="宋体" w:cs="Times New Roman"/>
                      <w:b/>
                      <w:bCs/>
                      <w:i w:val="0"/>
                      <w:iCs w:val="0"/>
                      <w:color w:val="auto"/>
                      <w:kern w:val="0"/>
                      <w:sz w:val="21"/>
                      <w:szCs w:val="21"/>
                      <w:u w:val="none"/>
                      <w:lang w:val="en-US" w:eastAsia="zh-CN" w:bidi="ar"/>
                    </w:rPr>
                    <w:t>/dB(A)</w:t>
                  </w:r>
                </w:p>
              </w:tc>
              <w:tc>
                <w:tcPr>
                  <w:tcW w:w="1934" w:type="dxa"/>
                  <w:gridSpan w:val="4"/>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C2F5C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建筑物外声级</w:t>
                  </w:r>
                  <w:r>
                    <w:rPr>
                      <w:rFonts w:hint="default" w:ascii="Times New Roman" w:hAnsi="Times New Roman" w:eastAsia="宋体" w:cs="Times New Roman"/>
                      <w:b/>
                      <w:bCs/>
                      <w:i w:val="0"/>
                      <w:iCs w:val="0"/>
                      <w:color w:val="auto"/>
                      <w:kern w:val="0"/>
                      <w:sz w:val="21"/>
                      <w:szCs w:val="21"/>
                      <w:u w:val="none"/>
                      <w:lang w:val="en-US" w:eastAsia="zh-CN" w:bidi="ar"/>
                    </w:rPr>
                    <w:t>/dB(A)</w:t>
                  </w:r>
                </w:p>
              </w:tc>
              <w:tc>
                <w:tcPr>
                  <w:tcW w:w="805" w:type="dxa"/>
                  <w:vMerge w:val="restart"/>
                  <w:tcBorders>
                    <w:top w:val="single" w:color="000000" w:sz="4" w:space="0"/>
                    <w:left w:val="single" w:color="000000" w:sz="4" w:space="0"/>
                    <w:right w:val="single" w:color="000000" w:sz="4" w:space="0"/>
                  </w:tcBorders>
                  <w:shd w:val="clear" w:color="auto" w:fill="auto"/>
                  <w:tcMar>
                    <w:top w:w="0" w:type="dxa"/>
                    <w:left w:w="0" w:type="dxa"/>
                    <w:bottom w:w="0" w:type="dxa"/>
                    <w:right w:w="0" w:type="dxa"/>
                  </w:tcMar>
                  <w:vAlign w:val="center"/>
                </w:tcPr>
                <w:p w14:paraId="70A52BA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建筑物外距离</w:t>
                  </w:r>
                  <w:r>
                    <w:rPr>
                      <w:rFonts w:hint="default" w:ascii="Times New Roman" w:hAnsi="Times New Roman" w:eastAsia="宋体" w:cs="Times New Roman"/>
                      <w:b/>
                      <w:bCs/>
                      <w:i w:val="0"/>
                      <w:iCs w:val="0"/>
                      <w:color w:val="auto"/>
                      <w:kern w:val="0"/>
                      <w:sz w:val="21"/>
                      <w:szCs w:val="21"/>
                      <w:u w:val="none"/>
                      <w:lang w:val="en-US" w:eastAsia="zh-CN" w:bidi="ar"/>
                    </w:rPr>
                    <w:t>/m</w:t>
                  </w:r>
                </w:p>
              </w:tc>
            </w:tr>
            <w:tr w14:paraId="541F4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347"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E50F35">
                  <w:pPr>
                    <w:jc w:val="center"/>
                    <w:rPr>
                      <w:rFonts w:hint="default" w:ascii="Times New Roman" w:hAnsi="Times New Roman" w:eastAsia="宋体" w:cs="Times New Roman"/>
                      <w:b/>
                      <w:bCs/>
                      <w:i w:val="0"/>
                      <w:iCs w:val="0"/>
                      <w:color w:val="auto"/>
                      <w:sz w:val="21"/>
                      <w:szCs w:val="21"/>
                      <w:u w:val="none"/>
                    </w:rPr>
                  </w:pPr>
                </w:p>
              </w:tc>
              <w:tc>
                <w:tcPr>
                  <w:tcW w:w="975"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D74243">
                  <w:pPr>
                    <w:jc w:val="center"/>
                    <w:rPr>
                      <w:rFonts w:hint="default" w:ascii="Times New Roman" w:hAnsi="Times New Roman" w:eastAsia="宋体" w:cs="Times New Roman"/>
                      <w:b/>
                      <w:bCs/>
                      <w:i w:val="0"/>
                      <w:iCs w:val="0"/>
                      <w:color w:val="auto"/>
                      <w:sz w:val="21"/>
                      <w:szCs w:val="21"/>
                      <w:u w:val="none"/>
                    </w:rPr>
                  </w:pPr>
                </w:p>
              </w:tc>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C8CE84">
                  <w:pPr>
                    <w:jc w:val="center"/>
                    <w:rPr>
                      <w:rFonts w:hint="default" w:ascii="Times New Roman" w:hAnsi="Times New Roman" w:eastAsia="宋体" w:cs="Times New Roman"/>
                      <w:b/>
                      <w:bCs/>
                      <w:i w:val="0"/>
                      <w:iCs w:val="0"/>
                      <w:color w:val="auto"/>
                      <w:sz w:val="21"/>
                      <w:szCs w:val="21"/>
                      <w:u w:val="none"/>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81369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声压级</w:t>
                  </w:r>
                  <w:r>
                    <w:rPr>
                      <w:rFonts w:hint="default" w:ascii="Times New Roman" w:hAnsi="Times New Roman" w:eastAsia="宋体" w:cs="Times New Roman"/>
                      <w:b/>
                      <w:bCs/>
                      <w:i w:val="0"/>
                      <w:iCs w:val="0"/>
                      <w:color w:val="auto"/>
                      <w:kern w:val="0"/>
                      <w:sz w:val="21"/>
                      <w:szCs w:val="21"/>
                      <w:u w:val="none"/>
                      <w:lang w:val="en-US" w:eastAsia="zh-CN" w:bidi="ar"/>
                    </w:rPr>
                    <w:t>/dB(A)</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0CCA9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距声源距离</w:t>
                  </w:r>
                  <w:r>
                    <w:rPr>
                      <w:rFonts w:hint="default" w:ascii="Times New Roman" w:hAnsi="Times New Roman" w:eastAsia="宋体" w:cs="Times New Roman"/>
                      <w:b/>
                      <w:bCs/>
                      <w:i w:val="0"/>
                      <w:iCs w:val="0"/>
                      <w:color w:val="auto"/>
                      <w:kern w:val="0"/>
                      <w:sz w:val="21"/>
                      <w:szCs w:val="21"/>
                      <w:u w:val="none"/>
                      <w:lang w:val="en-US" w:eastAsia="zh-CN" w:bidi="ar"/>
                    </w:rPr>
                    <w:t>/m</w:t>
                  </w:r>
                </w:p>
              </w:tc>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D2BBC3">
                  <w:pPr>
                    <w:jc w:val="center"/>
                    <w:rPr>
                      <w:rFonts w:hint="default" w:ascii="Times New Roman" w:hAnsi="Times New Roman" w:eastAsia="宋体" w:cs="Times New Roman"/>
                      <w:b/>
                      <w:bCs/>
                      <w:i w:val="0"/>
                      <w:iCs w:val="0"/>
                      <w:color w:val="auto"/>
                      <w:sz w:val="21"/>
                      <w:szCs w:val="21"/>
                      <w:u w:val="none"/>
                    </w:rPr>
                  </w:pP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B2CAB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X</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3768B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Y</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7B0DF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Z</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80A5A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东</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5F2CB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南</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1C348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西</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E700B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北</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F1F2A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东</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031C8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南</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65026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西</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8CE9F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北</w:t>
                  </w:r>
                </w:p>
              </w:tc>
              <w:tc>
                <w:tcPr>
                  <w:tcW w:w="459" w:type="dxa"/>
                  <w:vMerge w:val="continue"/>
                  <w:tcBorders>
                    <w:left w:val="single" w:color="000000" w:sz="4" w:space="0"/>
                    <w:right w:val="single" w:color="000000" w:sz="4" w:space="0"/>
                  </w:tcBorders>
                  <w:shd w:val="clear" w:color="auto" w:fill="auto"/>
                  <w:tcMar>
                    <w:top w:w="0" w:type="dxa"/>
                    <w:left w:w="0" w:type="dxa"/>
                    <w:bottom w:w="0" w:type="dxa"/>
                    <w:right w:w="0" w:type="dxa"/>
                  </w:tcMar>
                  <w:vAlign w:val="center"/>
                </w:tcPr>
                <w:p w14:paraId="33458BD3">
                  <w:pPr>
                    <w:jc w:val="center"/>
                    <w:rPr>
                      <w:rFonts w:hint="default" w:ascii="Times New Roman" w:hAnsi="Times New Roman" w:eastAsia="宋体" w:cs="Times New Roman"/>
                      <w:b/>
                      <w:bCs/>
                      <w:i w:val="0"/>
                      <w:iCs w:val="0"/>
                      <w:color w:val="auto"/>
                      <w:sz w:val="21"/>
                      <w:szCs w:val="21"/>
                      <w:u w:val="none"/>
                    </w:rPr>
                  </w:pPr>
                </w:p>
              </w:tc>
              <w:tc>
                <w:tcPr>
                  <w:tcW w:w="617" w:type="dxa"/>
                  <w:vMerge w:val="continue"/>
                  <w:tcBorders>
                    <w:left w:val="single" w:color="000000" w:sz="4" w:space="0"/>
                    <w:right w:val="single" w:color="000000" w:sz="4" w:space="0"/>
                  </w:tcBorders>
                  <w:shd w:val="clear" w:color="auto" w:fill="auto"/>
                  <w:tcMar>
                    <w:top w:w="0" w:type="dxa"/>
                    <w:left w:w="0" w:type="dxa"/>
                    <w:bottom w:w="0" w:type="dxa"/>
                    <w:right w:w="0" w:type="dxa"/>
                  </w:tcMar>
                  <w:vAlign w:val="center"/>
                </w:tcPr>
                <w:p w14:paraId="0DA9E64F">
                  <w:pPr>
                    <w:jc w:val="center"/>
                    <w:rPr>
                      <w:rFonts w:hint="default" w:ascii="Times New Roman" w:hAnsi="Times New Roman" w:eastAsia="宋体" w:cs="Times New Roman"/>
                      <w:b/>
                      <w:bCs/>
                      <w:i w:val="0"/>
                      <w:iCs w:val="0"/>
                      <w:color w:val="auto"/>
                      <w:sz w:val="21"/>
                      <w:szCs w:val="21"/>
                      <w:u w:val="none"/>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5C8FD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东</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237A7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南</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EEE51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西</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2DAC5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北</w:t>
                  </w:r>
                </w:p>
              </w:tc>
              <w:tc>
                <w:tcPr>
                  <w:tcW w:w="805" w:type="dxa"/>
                  <w:vMerge w:val="continue"/>
                  <w:tcBorders>
                    <w:left w:val="single" w:color="000000" w:sz="4" w:space="0"/>
                    <w:right w:val="single" w:color="000000" w:sz="4" w:space="0"/>
                  </w:tcBorders>
                  <w:shd w:val="clear" w:color="auto" w:fill="auto"/>
                  <w:tcMar>
                    <w:top w:w="0" w:type="dxa"/>
                    <w:left w:w="0" w:type="dxa"/>
                    <w:bottom w:w="0" w:type="dxa"/>
                    <w:right w:w="0" w:type="dxa"/>
                  </w:tcMar>
                  <w:vAlign w:val="center"/>
                </w:tcPr>
                <w:p w14:paraId="5A6B6E04">
                  <w:pPr>
                    <w:jc w:val="center"/>
                    <w:rPr>
                      <w:rFonts w:hint="default" w:ascii="Times New Roman" w:hAnsi="Times New Roman" w:eastAsia="宋体" w:cs="Times New Roman"/>
                      <w:b/>
                      <w:bCs/>
                      <w:i w:val="0"/>
                      <w:iCs w:val="0"/>
                      <w:color w:val="auto"/>
                      <w:sz w:val="21"/>
                      <w:szCs w:val="21"/>
                      <w:u w:val="none"/>
                    </w:rPr>
                  </w:pPr>
                </w:p>
              </w:tc>
            </w:tr>
            <w:tr w14:paraId="5C48C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32042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6BAA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张力机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675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16BE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A261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552C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E208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-88</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F780D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30B0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DA60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3FCB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149F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D9F1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6F62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21.78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E282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42.01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68E89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40.48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DF09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47.22</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BA76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574F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F509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57B1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15.59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9750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14.12</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FF82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20.46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ABB4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6F81F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1333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DC12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烘水炉</w:t>
                  </w:r>
                  <w:r>
                    <w:rPr>
                      <w:rFonts w:hint="eastAsia" w:ascii="宋体" w:hAnsi="宋体" w:cs="宋体"/>
                      <w:i w:val="0"/>
                      <w:iCs w:val="0"/>
                      <w:color w:val="auto"/>
                      <w:kern w:val="0"/>
                      <w:sz w:val="21"/>
                      <w:szCs w:val="21"/>
                      <w:u w:val="none"/>
                      <w:lang w:val="en-US" w:eastAsia="zh-CN" w:bidi="ar"/>
                    </w:rPr>
                    <w:t>加热</w:t>
                  </w:r>
                  <w:r>
                    <w:rPr>
                      <w:rFonts w:hint="eastAsia" w:ascii="宋体" w:hAnsi="宋体" w:eastAsia="宋体" w:cs="宋体"/>
                      <w:i w:val="0"/>
                      <w:iCs w:val="0"/>
                      <w:color w:val="auto"/>
                      <w:kern w:val="0"/>
                      <w:sz w:val="21"/>
                      <w:szCs w:val="21"/>
                      <w:u w:val="none"/>
                      <w:lang w:val="en-US" w:eastAsia="zh-CN" w:bidi="ar"/>
                    </w:rPr>
                    <w:t>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A26A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6BED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5A1E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9E13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3439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54B2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00AD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20B9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F7E0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0480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1562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9CBE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45.32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FD3D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60.26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7EE6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39.38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FE70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58.39</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8748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195B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ABC5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19.21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AE1C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33.65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20B6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13.32</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B60F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31.89</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07E8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3922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775E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6F78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牵引机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09E6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EDB3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C2AC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3D8B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93A5E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86B2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64</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66D8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7E73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68DF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3B66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E5C2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3103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29.68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0790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47.94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91DC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34.74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F7B6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0B2F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8766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C46D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3.62</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930C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21.47</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B8C7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8.64</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67A6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24.15</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82FE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4E658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7530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16AE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数控折弯机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C802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5533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4EE4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AEED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7FA9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-89</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D5CE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0396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6A16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83</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A0C71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ED03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AE16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7021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54.41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26540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63.52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45281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65.98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B950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63.76</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2B19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1946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7F82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28.3</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0727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37.23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F7F9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A503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37.46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41D3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7BFC0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399E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23F9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滚压成型设备</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2948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9F35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BFB2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9B4F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E442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1D92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E471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11FB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2265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6CBF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6230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1EB1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58.54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AF5B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65.31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C87E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58.26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34E4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62.35</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2934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7765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95C4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32.37</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3405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38.95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60B1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32.1</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7BF8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36.09</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2473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2FEF0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ECF4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AF4A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全自动冲孔设备</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ACF6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1536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CCBE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D6CF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54D1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B6D7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9ADA5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B347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9EF4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3BD7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2A43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E1C4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60.78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34AA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61.63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619F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52.08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216C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59.93</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8A02D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AE7B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1071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34.48</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8A73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6A37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25.97</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B1C4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33.66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142F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0A66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E154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B502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数控切割机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DE5C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7FA9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ECB2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FBB1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68B4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-93</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5F8F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1B75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7893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571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55C3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EEA8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73D5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46.23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E3C6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58.76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5928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59.61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E7EF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2CFE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3B63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3830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20.13</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7E72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32.35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1623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33.16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A3165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30.47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8B95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3DF04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6009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A99E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激光切割生产线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C0CA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EE1F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F64E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4E38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5B41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AC20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5DD7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3EFF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8EEB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414D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0760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D1B2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48.12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674C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58.27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B37A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53.96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BE264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56.19</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B1D7D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7A6E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F0F3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B7EA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31.88</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ECB9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27.72</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7CE8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29.88</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D7DE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52007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D2DD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EB60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卧式数控刨槽机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4D97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F29E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2D37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D240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FDFD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F191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45A3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05DB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15D7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A812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F4F4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C372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9E9A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51.83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C289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43.47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B67A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50.32</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9E93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55A3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1457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21.48</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ACB5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25.49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7F05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17.34</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0937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24.03</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D2D5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B9B3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F746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6AED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数控转塔冲床</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8F96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00F7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E227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A21E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AD2E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219B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B331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C3F2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83F5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A3C5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F64A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29BD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4CFF5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68.23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3F78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58.38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4810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66.03</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D5CB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F66E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2372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40.41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F77F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41.89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0DD9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32.26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514D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39.76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7C38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24A09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91BB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532B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精密剪板机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D94F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92F60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0B20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E483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1A5B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26FC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-64</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5CD9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A3DB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B9E5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5321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9ACA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2853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55.62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BC11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52.23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7CE7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40.75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DEFF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49.6</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D7FA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D880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AA3F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3DE4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25.87</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300A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14.65</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B668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23.34</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A89B8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59FD7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ED8E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FEC3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高速激光焊机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BCDA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8A4D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CC24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5DC8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9F75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594D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F131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D767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69AA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F041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77B6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C1C5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34.83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D954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45.18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9C7A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52.11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79A7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46.46</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E0F2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E991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798B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8.74</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D140D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E6D1B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25.49</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BE3F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20.14</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AB5C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60B03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7EFD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1488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进口氩弧焊机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C0F5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3015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3EAA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1570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56E1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35F2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2A34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BB1D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91</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CE15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04DE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4592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BD40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33.84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4DA0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43.69</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2934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46.11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CCBA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44.41</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C2D7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8EFC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09BC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7.75</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B9FC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17.39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A311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19.73</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E357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18.1</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723D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4518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D69E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0580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多功能焊机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9DA9D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6670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0950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89D7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FAC8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4B6D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-58</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472C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A6C4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69CB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42A0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B9EA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0D81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35.09</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1FA8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43.63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46BC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42.31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CF37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44.48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5F97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E7012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9666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8.98</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B650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17.34</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24C8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16.06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2743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18.17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B7B9C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143FC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B610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9F14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喷粉房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B322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31A9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CFFEB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66EA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CDF7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D0044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D986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CADE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DC7EF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9CEE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237A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693F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23.64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A9E5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36.42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D247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26.58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9D30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27.68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7E49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6A30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230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46D5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9.87</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00A5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0.39</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A4D5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C4C8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C422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0C8C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7615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eastAsia" w:ascii="宋体" w:hAnsi="宋体" w:cs="宋体"/>
                      <w:i w:val="0"/>
                      <w:iCs w:val="0"/>
                      <w:color w:val="auto"/>
                      <w:kern w:val="0"/>
                      <w:sz w:val="21"/>
                      <w:szCs w:val="21"/>
                      <w:u w:val="none"/>
                      <w:lang w:val="en-US" w:eastAsia="zh-CN" w:bidi="ar"/>
                    </w:rPr>
                    <w:t>手磨机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1860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cs="Times New Roman"/>
                      <w:i w:val="0"/>
                      <w:iCs w:val="0"/>
                      <w:color w:val="auto"/>
                      <w:kern w:val="0"/>
                      <w:sz w:val="21"/>
                      <w:szCs w:val="21"/>
                      <w:u w:val="none"/>
                      <w:lang w:val="en-US" w:eastAsia="zh-CN" w:bidi="ar"/>
                    </w:rPr>
                    <w:t>3</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FD73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2D28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B19B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2C5F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692A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9C06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524B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9F04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AAF1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173D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205F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1EE8C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36.25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A6BC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27.57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AFA6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35.41</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B638D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AD3D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6CFC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6.39</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BCD8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988D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1.45</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B57E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9.12</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8CC4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21DD4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5D0F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0D76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喷粉房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94CB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52C1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7882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A94A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F255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1F17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1E4C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6414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172F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A8FC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79D3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4627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25.27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4379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32.28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9C27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ACFA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42.82</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BE33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6AEE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F0F1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55FD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6.08</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64D6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14.57</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0804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16.17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C7DF9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793C8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8530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2904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底漆喷房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0631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75AFF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E8D3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0E1A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AE05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7F20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7626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30ED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9A2F3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41B5E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2F2E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A2F6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24.48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0888B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30.55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D9A1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34.04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394E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39.95</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B685C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3E56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B4BD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C5B6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4.34</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D202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7.74</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2F4F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13.36</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21C3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F314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6695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C3A2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手持喷枪</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D901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004F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FA88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04FB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9444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3D2A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B7DD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9B1E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0E4C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9016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2BA1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4D77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35.48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3D76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40.53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33A5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41.58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2970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49.94</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7A0AB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664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2D44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9.36</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162F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14.33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1B14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15.35</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0DF4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23.35</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D48F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D7A2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410B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0B54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面漆喷房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B9E3F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21A3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B77A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9A7B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5722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E2CA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E5F50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0438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840E7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42</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6722BB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F545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6103C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26.62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4B1A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30.63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A1B3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29.64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2522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39.6</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9121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E3C5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7F21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0.49</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1C48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4.43</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732F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3.46</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4673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13.04</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F534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6E27D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E704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5266C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清漆喷房</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EA7F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82275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9724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4461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06B9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C915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C05E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4B3F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38FE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0E12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C747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39</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86F0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28.37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D7B5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30.87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C1C6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27.65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8C8D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38.9</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A64C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71BF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EE38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C12F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4.66</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5894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6C6E2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12.38</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6689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58F23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6CAF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56D0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烤炉</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A61F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038ED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E0B1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015FD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AA1DB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82</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89BA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2CD3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A5D86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2DCC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31</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D790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78</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0A8A0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AE33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50.24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D552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51.22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8E5E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43.18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26353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52.8</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C1CBE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73AC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C46F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23.99</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C6E4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24.94</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5FA2A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17.07</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B04C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26.47</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E4F4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0B33D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771A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4C45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牵引机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403F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1D8D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9A2A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7EF9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07FB2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05E9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EBF7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1050D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2AE51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1E7B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185</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BAA3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CC70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37.16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566C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46.4</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C858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24.67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90CE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46.15</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CFD1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D595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FE142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10.97</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26CC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19.85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FC01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0310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19.61</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9844D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45DBA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448A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88CA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精涂机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64357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D952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C466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6092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0644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1606F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589A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9B99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77</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0A47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4BEB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36</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626E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8E18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35.33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70E4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48.88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2623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41.86</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C193D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40.93</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307ED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E95B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A337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9.21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C113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22.35</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1C45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15.63</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8635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14.71</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2834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69E19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CD20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4790D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精涂机</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442D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3160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AC6B3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EA35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37B5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0238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B02A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AF28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F65F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A96A4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951C9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4A40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EB27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45.77</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A7083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F249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53.31</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EB3F1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E486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03A6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18.81</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71B3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19.56</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FD01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14.88</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C514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26.8</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F02C2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4BCF6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4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21BC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26</w:t>
                  </w:r>
                </w:p>
              </w:tc>
              <w:tc>
                <w:tcPr>
                  <w:tcW w:w="97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304E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各类组装设备</w:t>
                  </w:r>
                </w:p>
              </w:tc>
              <w:tc>
                <w:tcPr>
                  <w:tcW w:w="59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CF33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9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BF84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87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3A6A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340B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距离衰减、减震措施</w:t>
                  </w:r>
                </w:p>
              </w:tc>
              <w:tc>
                <w:tcPr>
                  <w:tcW w:w="37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ED55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214</w:t>
                  </w:r>
                </w:p>
              </w:tc>
              <w:tc>
                <w:tcPr>
                  <w:tcW w:w="338"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5409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83</w:t>
                  </w:r>
                </w:p>
              </w:tc>
              <w:tc>
                <w:tcPr>
                  <w:tcW w:w="37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92D7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9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62827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77C92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w:t>
                  </w:r>
                </w:p>
              </w:tc>
              <w:tc>
                <w:tcPr>
                  <w:tcW w:w="32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598F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92</w:t>
                  </w:r>
                </w:p>
              </w:tc>
              <w:tc>
                <w:tcPr>
                  <w:tcW w:w="22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A190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05230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48.38</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44DF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46.11</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E2F7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35.52</w:t>
                  </w:r>
                </w:p>
              </w:tc>
              <w:tc>
                <w:tcPr>
                  <w:tcW w:w="481"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05F2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45.32</w:t>
                  </w:r>
                </w:p>
              </w:tc>
              <w:tc>
                <w:tcPr>
                  <w:tcW w:w="459"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022E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ascii="宋体" w:hAnsi="宋体" w:eastAsia="宋体" w:cs="宋体"/>
                      <w:i w:val="0"/>
                      <w:iCs w:val="0"/>
                      <w:color w:val="auto"/>
                      <w:kern w:val="0"/>
                      <w:sz w:val="21"/>
                      <w:szCs w:val="21"/>
                      <w:u w:val="none"/>
                      <w:lang w:val="en-US" w:eastAsia="zh-CN" w:bidi="ar"/>
                    </w:rPr>
                    <w:t>昼间</w:t>
                  </w:r>
                </w:p>
              </w:tc>
              <w:tc>
                <w:tcPr>
                  <w:tcW w:w="61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EA56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505A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21.97</w:t>
                  </w:r>
                </w:p>
              </w:tc>
              <w:tc>
                <w:tcPr>
                  <w:tcW w:w="48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4A4A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19.79</w:t>
                  </w:r>
                </w:p>
              </w:tc>
              <w:tc>
                <w:tcPr>
                  <w:tcW w:w="48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1348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9.42</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15DD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19.03</w:t>
                  </w:r>
                </w:p>
              </w:tc>
              <w:tc>
                <w:tcPr>
                  <w:tcW w:w="805"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49844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bl>
          <w:p w14:paraId="7F464690">
            <w:pPr>
              <w:rPr>
                <w:rFonts w:hint="default"/>
                <w:color w:val="auto"/>
              </w:rPr>
            </w:pPr>
            <w:r>
              <w:rPr>
                <w:rFonts w:hint="default" w:ascii="Times New Roman" w:hAnsi="Times New Roman" w:eastAsia="宋体" w:cs="Times New Roman"/>
                <w:color w:val="auto"/>
                <w:spacing w:val="-1"/>
                <w:sz w:val="17"/>
                <w:szCs w:val="17"/>
                <w:highlight w:val="none"/>
              </w:rPr>
              <w:t>注：以（东经113°24'30.099"，北纬25°9'23.358"）为原点（0，0），正东向为X轴正方向、正北向为Y轴正方向建立直角坐标系。</w:t>
            </w:r>
          </w:p>
        </w:tc>
      </w:tr>
    </w:tbl>
    <w:p w14:paraId="4AFA7B19">
      <w:pPr>
        <w:pStyle w:val="76"/>
        <w:rPr>
          <w:rFonts w:hint="eastAsia"/>
          <w:color w:val="auto"/>
          <w:highlight w:val="none"/>
        </w:rPr>
        <w:sectPr>
          <w:pgSz w:w="16840" w:h="11907"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8543"/>
      </w:tblGrid>
      <w:tr w14:paraId="7132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9" w:hRule="atLeast"/>
        </w:trPr>
        <w:tc>
          <w:tcPr>
            <w:tcW w:w="518" w:type="dxa"/>
            <w:noWrap w:val="0"/>
            <w:vAlign w:val="top"/>
          </w:tcPr>
          <w:p w14:paraId="2C258D5B">
            <w:pPr>
              <w:pStyle w:val="76"/>
              <w:rPr>
                <w:rFonts w:hint="default" w:ascii="Times New Roman" w:hAnsi="Times New Roman" w:eastAsia="宋体" w:cs="Times New Roman"/>
                <w:color w:val="auto"/>
                <w:highlight w:val="none"/>
                <w:vertAlign w:val="baseline"/>
              </w:rPr>
            </w:pPr>
          </w:p>
        </w:tc>
        <w:tc>
          <w:tcPr>
            <w:tcW w:w="8543" w:type="dxa"/>
            <w:noWrap w:val="0"/>
            <w:vAlign w:val="top"/>
          </w:tcPr>
          <w:p w14:paraId="5D50B863">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3.2</w:t>
            </w:r>
            <w:r>
              <w:rPr>
                <w:rFonts w:hint="default" w:ascii="Times New Roman" w:hAnsi="Times New Roman" w:eastAsia="宋体" w:cs="Times New Roman"/>
                <w:b/>
                <w:bCs/>
                <w:color w:val="auto"/>
                <w:sz w:val="24"/>
                <w:highlight w:val="none"/>
                <w:lang w:val="en-US" w:eastAsia="zh-CN"/>
              </w:rPr>
              <w:t>噪声污染防治措施</w:t>
            </w:r>
          </w:p>
          <w:p w14:paraId="29190533">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为确保厂界噪声满足《工业企业厂界环境噪声排放标准》（GB12348-2008）中的相应标准，项目拟采取以下噪声与振动治理措施：</w:t>
            </w:r>
          </w:p>
          <w:p w14:paraId="33B5E21D">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①合理布局：尽量将高噪声设备布置在厂房中间，尽可能地选择远离厂界的位置。</w:t>
            </w:r>
          </w:p>
          <w:p w14:paraId="68F8CDC6">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②落实设备基础减振以及厂房隔声：</w:t>
            </w:r>
          </w:p>
          <w:p w14:paraId="6F29C00C">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A、在设备选型方面，在满足工艺生产的前提下，选用精度高、装配质量好、噪声低的设备；对设备基础进行减振；</w:t>
            </w:r>
          </w:p>
          <w:p w14:paraId="2F1571FA">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B、重视厂房的使用状况，不设门窗或设隔声玻璃门窗。</w:t>
            </w:r>
          </w:p>
          <w:p w14:paraId="3020797E">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③加强内部管理：建立设备定期维护、保养的管理制度，以防止设备故障形成的非生产噪声，同时确保环保措施发挥最有效的功能；加强职工环保意识教育，提倡文明生产，防止人为噪声。</w:t>
            </w:r>
          </w:p>
          <w:p w14:paraId="42D3EA80">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④合理安排生产时间：尽可能地安排在昼间进行生产，若夜间必须生产应控制夜间生产时间，特别夜间应停止高噪声设备，减少机械的噪声影响。</w:t>
            </w:r>
          </w:p>
          <w:p w14:paraId="3BE87A79">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⑤针对冲床、折弯机，安装减振垫（橡胶/NBR材质）或弹簧减振器，橡胶减振垫能有效吸收高频振动，</w:t>
            </w:r>
            <w:r>
              <w:rPr>
                <w:rFonts w:hint="eastAsia" w:ascii="Times New Roman" w:hAnsi="Times New Roman" w:eastAsia="宋体" w:cs="Times New Roman"/>
                <w:color w:val="auto"/>
                <w:kern w:val="0"/>
                <w:sz w:val="24"/>
                <w:highlight w:val="none"/>
                <w:lang w:eastAsia="zh-CN"/>
              </w:rPr>
              <w:t>降低噪声</w:t>
            </w:r>
            <w:r>
              <w:rPr>
                <w:rFonts w:hint="default" w:ascii="Times New Roman" w:hAnsi="Times New Roman" w:eastAsia="宋体" w:cs="Times New Roman"/>
                <w:color w:val="auto"/>
                <w:kern w:val="0"/>
                <w:sz w:val="24"/>
                <w:highlight w:val="none"/>
              </w:rPr>
              <w:t>15~25dB，且安装简便，无需地脚螺栓固定；弹簧减振器则适用于低频振动隔离，通过调整预紧力可适配不同吨位设备，安装时需确保减振器与设备底座紧密连接，并定期检查螺栓紧固状态。</w:t>
            </w:r>
          </w:p>
          <w:p w14:paraId="77C262B7">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⑥通风管道采用橡胶软管或金属波纹管。橡胶软管适用于常温常压环境，但耐高温高压性较差</w:t>
            </w:r>
            <w:r>
              <w:rPr>
                <w:rFonts w:hint="eastAsia"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金属波纹管则能耐高温、高压和腐蚀，适合制冷剂管路等苛刻工况。</w:t>
            </w:r>
          </w:p>
          <w:p w14:paraId="6F37288F">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⑦生产设备定期进行润滑处理，定期维护轴承、齿轮，使用高粘度润滑油减少轴承、齿轮摩擦噪声，并优化轴承预紧力以减少振动源。</w:t>
            </w:r>
          </w:p>
          <w:p w14:paraId="5CAB03B8">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⑧对旋转部件（如砂轮、转子）定期进行校验，减少不平衡质量引发的振动。定期使用专业平衡机（如银箭数控设备）进行动/静平衡检测，通过添加配重块或去重调整质量分布，确保残余不平衡量符合标准。</w:t>
            </w:r>
          </w:p>
          <w:p w14:paraId="4599AE59">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⑨针对设备外壳振动明显的设备，可在设备外壳粘贴丁基橡胶阻尼片，抑制薄板振动。</w:t>
            </w:r>
          </w:p>
          <w:p w14:paraId="6283B010">
            <w:pPr>
              <w:spacing w:line="360" w:lineRule="auto"/>
              <w:ind w:firstLine="480" w:firstLineChars="200"/>
              <w:rPr>
                <w:rFonts w:hint="default" w:ascii="Times New Roman" w:hAnsi="Times New Roman" w:eastAsia="宋体" w:cs="Times New Roman"/>
                <w:color w:val="auto"/>
                <w:kern w:val="0"/>
                <w:sz w:val="24"/>
                <w:highlight w:val="none"/>
              </w:rPr>
            </w:pPr>
            <w:r>
              <w:rPr>
                <w:rFonts w:hint="default" w:ascii="Times New Roman" w:hAnsi="Times New Roman" w:eastAsia="宋体" w:cs="Times New Roman"/>
                <w:color w:val="auto"/>
                <w:kern w:val="0"/>
                <w:sz w:val="24"/>
                <w:highlight w:val="none"/>
              </w:rPr>
              <w:t>本项目周边50米范围内不存在声环境保护目标，经采取上述的降噪措施后，预计项目</w:t>
            </w:r>
            <w:r>
              <w:rPr>
                <w:rFonts w:hint="eastAsia" w:cs="Times New Roman"/>
                <w:color w:val="auto"/>
                <w:kern w:val="0"/>
                <w:sz w:val="24"/>
                <w:highlight w:val="none"/>
                <w:lang w:val="en-US" w:eastAsia="zh-CN"/>
              </w:rPr>
              <w:t>西、北</w:t>
            </w:r>
            <w:r>
              <w:rPr>
                <w:rFonts w:hint="default" w:ascii="Times New Roman" w:hAnsi="Times New Roman" w:eastAsia="宋体" w:cs="Times New Roman"/>
                <w:color w:val="auto"/>
                <w:kern w:val="0"/>
                <w:sz w:val="24"/>
                <w:highlight w:val="none"/>
              </w:rPr>
              <w:t>厂界噪声排放可达到《工业企业厂界环境噪声排放标准》（GB12348-2008）3类标准</w:t>
            </w:r>
            <w:r>
              <w:rPr>
                <w:rFonts w:hint="eastAsia" w:cs="Times New Roman"/>
                <w:color w:val="auto"/>
                <w:kern w:val="0"/>
                <w:sz w:val="24"/>
                <w:highlight w:val="none"/>
                <w:lang w:eastAsia="zh-CN"/>
              </w:rPr>
              <w:t>，</w:t>
            </w:r>
            <w:r>
              <w:rPr>
                <w:rFonts w:hint="eastAsia" w:cs="Times New Roman"/>
                <w:color w:val="auto"/>
                <w:kern w:val="0"/>
                <w:sz w:val="24"/>
                <w:highlight w:val="none"/>
                <w:lang w:val="en-US" w:eastAsia="zh-CN"/>
              </w:rPr>
              <w:t>东、南厂界可满足4a类标准</w:t>
            </w:r>
            <w:r>
              <w:rPr>
                <w:rFonts w:hint="default" w:ascii="Times New Roman" w:hAnsi="Times New Roman" w:eastAsia="宋体" w:cs="Times New Roman"/>
                <w:color w:val="auto"/>
                <w:kern w:val="0"/>
                <w:sz w:val="24"/>
                <w:highlight w:val="none"/>
              </w:rPr>
              <w:t>，噪声对声环境影响不大。</w:t>
            </w:r>
          </w:p>
          <w:p w14:paraId="453B18D3">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3.3厂界达标情况分析</w:t>
            </w:r>
          </w:p>
          <w:p w14:paraId="360E4684">
            <w:pPr>
              <w:pStyle w:val="139"/>
              <w:keepLines w:val="0"/>
              <w:pageBreakBefore w:val="0"/>
              <w:kinsoku/>
              <w:wordWrap/>
              <w:overflowPunct/>
              <w:topLinePunct w:val="0"/>
              <w:bidi w:val="0"/>
              <w:spacing w:line="360" w:lineRule="auto"/>
              <w:ind w:firstLine="48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根据《环境影响评价技术导则 声环境》（HJ2.4-2021）的要求，预测和评价建设项目在运营期厂界噪声贡献值，评价其超标和达标情况。随距离的衰减变化规律。预测模式采用“附录B.1 工业噪声预测计算模型”，来模拟预测项目主要声源排放噪声</w:t>
            </w:r>
          </w:p>
          <w:p w14:paraId="07B2619E">
            <w:pPr>
              <w:pStyle w:val="139"/>
              <w:keepLines w:val="0"/>
              <w:pageBreakBefore w:val="0"/>
              <w:kinsoku/>
              <w:wordWrap/>
              <w:overflowPunct/>
              <w:topLinePunct w:val="0"/>
              <w:bidi w:val="0"/>
              <w:spacing w:line="360" w:lineRule="auto"/>
              <w:ind w:firstLine="480"/>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w:t>
            </w:r>
            <w:r>
              <w:rPr>
                <w:rFonts w:hint="default" w:ascii="Times New Roman" w:hAnsi="Times New Roman" w:eastAsia="宋体" w:cs="Times New Roman"/>
                <w:b/>
                <w:bCs/>
                <w:color w:val="auto"/>
                <w:sz w:val="24"/>
                <w:szCs w:val="24"/>
                <w:highlight w:val="none"/>
                <w:lang w:val="en-US" w:eastAsia="zh-CN"/>
              </w:rPr>
              <w:t>1</w:t>
            </w:r>
            <w:r>
              <w:rPr>
                <w:rFonts w:hint="default" w:ascii="Times New Roman" w:hAnsi="Times New Roman" w:eastAsia="宋体" w:cs="Times New Roman"/>
                <w:b/>
                <w:bCs/>
                <w:color w:val="auto"/>
                <w:sz w:val="24"/>
                <w:szCs w:val="24"/>
                <w:highlight w:val="none"/>
              </w:rPr>
              <w:t>）预测模式</w:t>
            </w:r>
          </w:p>
          <w:p w14:paraId="0AB385AB">
            <w:pPr>
              <w:pStyle w:val="139"/>
              <w:keepLines w:val="0"/>
              <w:pageBreakBefore w:val="0"/>
              <w:kinsoku/>
              <w:wordWrap/>
              <w:overflowPunct/>
              <w:topLinePunct w:val="0"/>
              <w:bidi w:val="0"/>
              <w:spacing w:line="360" w:lineRule="auto"/>
              <w:ind w:firstLine="48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根据《</w:t>
            </w:r>
            <w:r>
              <w:rPr>
                <w:rFonts w:hint="eastAsia" w:cs="Times New Roman"/>
                <w:color w:val="auto"/>
                <w:sz w:val="24"/>
                <w:szCs w:val="24"/>
                <w:highlight w:val="none"/>
                <w:lang w:eastAsia="zh-CN"/>
              </w:rPr>
              <w:t>环境影响评价技术导则 声环境</w:t>
            </w:r>
            <w:r>
              <w:rPr>
                <w:rFonts w:hint="default" w:ascii="Times New Roman" w:hAnsi="Times New Roman" w:eastAsia="宋体" w:cs="Times New Roman"/>
                <w:color w:val="auto"/>
                <w:sz w:val="24"/>
                <w:szCs w:val="24"/>
                <w:highlight w:val="none"/>
              </w:rPr>
              <w:t>》（HJ2.4-2021）要求，本评价选择点声源预测模式，模拟声源排放噪声随距离的衰减变化规律。噪声的衰减主要与声传播距离、空气吸收、阻挡物的反射与屏障等因素有关。从安全角度出发，本预测从各点源包络线开始，只考虑声传播距离这一主要因素，各噪声源可近似作为点声源处理</w:t>
            </w:r>
            <w:r>
              <w:rPr>
                <w:rFonts w:hint="default" w:ascii="Times New Roman" w:hAnsi="Times New Roman" w:eastAsia="宋体" w:cs="Times New Roman"/>
                <w:color w:val="auto"/>
                <w:sz w:val="24"/>
                <w:szCs w:val="24"/>
                <w:highlight w:val="none"/>
                <w:lang w:eastAsia="zh-CN"/>
              </w:rPr>
              <w:t>。</w:t>
            </w:r>
          </w:p>
          <w:p w14:paraId="5305326A">
            <w:pPr>
              <w:pStyle w:val="139"/>
              <w:keepLines w:val="0"/>
              <w:pageBreakBefore w:val="0"/>
              <w:kinsoku/>
              <w:wordWrap/>
              <w:overflowPunct/>
              <w:topLinePunct w:val="0"/>
              <w:bidi w:val="0"/>
              <w:spacing w:line="360" w:lineRule="auto"/>
              <w:ind w:firstLine="48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①室内声源等效室外声源声功率级计算</w:t>
            </w:r>
          </w:p>
          <w:p w14:paraId="6D6DE20B">
            <w:pPr>
              <w:spacing w:line="360" w:lineRule="auto"/>
              <w:ind w:firstLine="480" w:firstLineChars="200"/>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color w:val="auto"/>
                <w:sz w:val="24"/>
                <w:szCs w:val="24"/>
                <w:highlight w:val="none"/>
                <w:lang w:val="en-US" w:eastAsia="zh-CN"/>
              </w:rPr>
              <w:t>如图4-</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所示，声源位于室内，</w:t>
            </w:r>
            <w:r>
              <w:rPr>
                <w:rFonts w:hint="default" w:ascii="Times New Roman" w:hAnsi="Times New Roman" w:eastAsia="宋体" w:cs="Times New Roman"/>
                <w:color w:val="auto"/>
                <w:sz w:val="24"/>
                <w:szCs w:val="24"/>
                <w:highlight w:val="none"/>
              </w:rPr>
              <w:t>室内声源可采用等效室外声源声功率级法进行计算。设靠近开口处（或窗户）室内、室外某倍频带的</w:t>
            </w:r>
            <w:r>
              <w:rPr>
                <w:rFonts w:hint="default" w:ascii="Times New Roman" w:hAnsi="Times New Roman" w:eastAsia="宋体" w:cs="Times New Roman"/>
                <w:color w:val="auto"/>
                <w:sz w:val="24"/>
                <w:szCs w:val="24"/>
                <w:highlight w:val="none"/>
                <w:lang w:val="en-US" w:eastAsia="zh-CN"/>
              </w:rPr>
              <w:t>声</w:t>
            </w:r>
            <w:r>
              <w:rPr>
                <w:rFonts w:hint="default" w:ascii="Times New Roman" w:hAnsi="Times New Roman" w:eastAsia="宋体" w:cs="Times New Roman"/>
                <w:color w:val="auto"/>
                <w:sz w:val="24"/>
                <w:szCs w:val="24"/>
                <w:highlight w:val="none"/>
              </w:rPr>
              <w:t>压级分为L</w:t>
            </w:r>
            <w:r>
              <w:rPr>
                <w:rFonts w:hint="default" w:ascii="Times New Roman" w:hAnsi="Times New Roman" w:eastAsia="宋体" w:cs="Times New Roman"/>
                <w:color w:val="auto"/>
                <w:sz w:val="24"/>
                <w:szCs w:val="24"/>
                <w:highlight w:val="none"/>
                <w:vertAlign w:val="subscript"/>
                <w:lang w:val="en-US" w:eastAsia="zh-CN"/>
              </w:rPr>
              <w:t>p</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和L</w:t>
            </w:r>
            <w:r>
              <w:rPr>
                <w:rFonts w:hint="default" w:ascii="Times New Roman" w:hAnsi="Times New Roman" w:eastAsia="宋体" w:cs="Times New Roman"/>
                <w:color w:val="auto"/>
                <w:sz w:val="24"/>
                <w:szCs w:val="24"/>
                <w:highlight w:val="none"/>
                <w:vertAlign w:val="subscript"/>
                <w:lang w:val="en-US" w:eastAsia="zh-CN"/>
              </w:rPr>
              <w:t>p</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。若声源所在室内声场为近似扩散声场，则室外的倍频带声压级可按（公式1）近似求出：</w:t>
            </w:r>
          </w:p>
          <w:p w14:paraId="37BBA7EF">
            <w:pPr>
              <w:spacing w:line="360" w:lineRule="auto"/>
              <w:jc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position w:val="-14"/>
                <w:sz w:val="24"/>
                <w:szCs w:val="24"/>
                <w:highlight w:val="none"/>
                <w:lang w:val="en-GB" w:eastAsia="zh-CN"/>
              </w:rPr>
              <w:object>
                <v:shape id="_x0000_i1030" o:spt="75" type="#_x0000_t75" style="height:19pt;width:96pt;" o:ole="t" filled="f" o:preferrelative="t" stroked="f" coordsize="21600,21600">
                  <v:path/>
                  <v:fill on="f" focussize="0,0"/>
                  <v:stroke on="f"/>
                  <v:imagedata r:id="rId33" o:title=""/>
                  <o:lock v:ext="edit" aspectratio="t"/>
                  <w10:wrap type="none"/>
                  <w10:anchorlock/>
                </v:shape>
                <o:OLEObject Type="Embed" ProgID="Equation.KSEE3" ShapeID="_x0000_i1030" DrawAspect="Content" ObjectID="_1468075730" r:id="rId32">
                  <o:LockedField>false</o:LockedField>
                </o:OLEObject>
              </w:objec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（公式1）</w:t>
            </w:r>
          </w:p>
          <w:p w14:paraId="5E1E9259">
            <w:pPr>
              <w:spacing w:line="360" w:lineRule="auto"/>
              <w:ind w:firstLine="480" w:firstLineChars="200"/>
              <w:rPr>
                <w:rFonts w:hint="default" w:ascii="Times New Roman" w:hAnsi="Times New Roman" w:eastAsia="宋体" w:cs="Times New Roman"/>
                <w:color w:val="auto"/>
                <w:highlight w:val="none"/>
                <w:lang w:val="en-GB"/>
              </w:rPr>
            </w:pPr>
            <w:r>
              <w:rPr>
                <w:rFonts w:hint="default" w:ascii="Times New Roman" w:hAnsi="Times New Roman" w:eastAsia="宋体" w:cs="Times New Roman"/>
                <w:color w:val="auto"/>
                <w:sz w:val="24"/>
                <w:szCs w:val="24"/>
                <w:highlight w:val="none"/>
                <w:lang w:eastAsia="zh-CN"/>
              </w:rPr>
              <w:t>式中：TL—隔墙（或窗户）倍频带的隔声量，dB(A)，</w:t>
            </w:r>
            <w:r>
              <w:rPr>
                <w:rFonts w:hint="default" w:ascii="Times New Roman" w:hAnsi="Times New Roman" w:eastAsia="宋体" w:cs="Times New Roman"/>
                <w:color w:val="auto"/>
                <w:sz w:val="24"/>
                <w:szCs w:val="24"/>
                <w:highlight w:val="none"/>
                <w:lang w:val="en-US" w:eastAsia="zh-CN"/>
              </w:rPr>
              <w:t>本评价</w:t>
            </w:r>
            <w:r>
              <w:rPr>
                <w:rFonts w:hint="eastAsia" w:cs="Times New Roman"/>
                <w:color w:val="auto"/>
                <w:sz w:val="24"/>
                <w:szCs w:val="24"/>
                <w:highlight w:val="none"/>
                <w:lang w:val="en-US" w:eastAsia="zh-CN"/>
              </w:rPr>
              <w:t>保守</w:t>
            </w:r>
            <w:r>
              <w:rPr>
                <w:rFonts w:hint="default" w:ascii="Times New Roman" w:hAnsi="Times New Roman" w:eastAsia="宋体" w:cs="Times New Roman"/>
                <w:color w:val="auto"/>
                <w:sz w:val="24"/>
                <w:szCs w:val="24"/>
                <w:highlight w:val="none"/>
                <w:lang w:val="en-US" w:eastAsia="zh-CN"/>
              </w:rPr>
              <w:t>取值20</w:t>
            </w:r>
            <w:r>
              <w:rPr>
                <w:rFonts w:hint="default" w:ascii="Times New Roman" w:hAnsi="Times New Roman" w:eastAsia="宋体" w:cs="Times New Roman"/>
                <w:color w:val="auto"/>
                <w:sz w:val="24"/>
                <w:szCs w:val="24"/>
                <w:highlight w:val="none"/>
                <w:lang w:eastAsia="zh-CN"/>
              </w:rPr>
              <w:t>dB(A)</w:t>
            </w:r>
            <w:r>
              <w:rPr>
                <w:rFonts w:hint="default" w:ascii="Times New Roman" w:hAnsi="Times New Roman" w:eastAsia="宋体" w:cs="Times New Roman"/>
                <w:color w:val="auto"/>
                <w:highlight w:val="none"/>
                <w:lang w:val="en-GB"/>
              </w:rPr>
              <w:t>；</w:t>
            </w:r>
          </w:p>
          <w:p w14:paraId="0C8B49F1">
            <w:pPr>
              <w:autoSpaceDE/>
              <w:autoSpaceDN/>
              <w:spacing w:before="0" w:after="0" w:line="360" w:lineRule="auto"/>
              <w:ind w:right="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drawing>
                <wp:inline distT="0" distB="0" distL="114300" distR="114300">
                  <wp:extent cx="3429000" cy="1461135"/>
                  <wp:effectExtent l="0" t="0" r="0" b="5715"/>
                  <wp:docPr id="103" name="图片 506" descr="2da37041a5be59b1e262ed0737642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506" descr="2da37041a5be59b1e262ed0737642a9"/>
                          <pic:cNvPicPr>
                            <a:picLocks noChangeAspect="1"/>
                          </pic:cNvPicPr>
                        </pic:nvPicPr>
                        <pic:blipFill>
                          <a:blip r:embed="rId34"/>
                          <a:stretch>
                            <a:fillRect/>
                          </a:stretch>
                        </pic:blipFill>
                        <pic:spPr>
                          <a:xfrm>
                            <a:off x="0" y="0"/>
                            <a:ext cx="3429000" cy="1461135"/>
                          </a:xfrm>
                          <a:prstGeom prst="rect">
                            <a:avLst/>
                          </a:prstGeom>
                          <a:noFill/>
                          <a:ln>
                            <a:noFill/>
                          </a:ln>
                        </pic:spPr>
                      </pic:pic>
                    </a:graphicData>
                  </a:graphic>
                </wp:inline>
              </w:drawing>
            </w:r>
          </w:p>
          <w:p w14:paraId="4D7E2945">
            <w:pPr>
              <w:autoSpaceDE/>
              <w:autoSpaceDN/>
              <w:spacing w:before="0" w:after="0" w:line="360" w:lineRule="auto"/>
              <w:ind w:right="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图4-</w:t>
            </w:r>
            <w:r>
              <w:rPr>
                <w:rFonts w:hint="eastAsia" w:cs="Times New Roman"/>
                <w:b/>
                <w:bCs/>
                <w:color w:val="auto"/>
                <w:sz w:val="21"/>
                <w:szCs w:val="21"/>
                <w:highlight w:val="none"/>
                <w:lang w:val="en-US" w:eastAsia="zh-CN"/>
              </w:rPr>
              <w:t>5</w:t>
            </w:r>
            <w:r>
              <w:rPr>
                <w:rFonts w:hint="default" w:ascii="Times New Roman" w:hAnsi="Times New Roman" w:eastAsia="宋体" w:cs="Times New Roman"/>
                <w:b/>
                <w:bCs/>
                <w:color w:val="auto"/>
                <w:sz w:val="21"/>
                <w:szCs w:val="21"/>
                <w:highlight w:val="none"/>
                <w:lang w:val="en-US" w:eastAsia="zh-CN"/>
              </w:rPr>
              <w:t xml:space="preserve">  室内声源等效为室外声源图例</w:t>
            </w:r>
          </w:p>
          <w:p w14:paraId="33EC0011">
            <w:pPr>
              <w:autoSpaceDE/>
              <w:autoSpaceDN/>
              <w:spacing w:before="0" w:after="0" w:line="360" w:lineRule="auto"/>
              <w:ind w:left="0" w:right="0"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也可按（公式2）计算某一室内声源靠近转护结构处产生的倍频带声压级：</w:t>
            </w:r>
          </w:p>
          <w:p w14:paraId="7FCD8AA6">
            <w:pPr>
              <w:pStyle w:val="2"/>
              <w:numPr>
                <w:ilvl w:val="0"/>
                <w:numId w:val="0"/>
              </w:numPr>
              <w:spacing w:line="360" w:lineRule="auto"/>
              <w:ind w:left="1560" w:leftChars="0" w:firstLine="0" w:firstLineChars="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2867025" cy="542925"/>
                  <wp:effectExtent l="0" t="0" r="9525" b="9525"/>
                  <wp:docPr id="104" name="图片 507" descr="a283611caf2b045e9ca721db4b85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507" descr="a283611caf2b045e9ca721db4b85abe"/>
                          <pic:cNvPicPr>
                            <a:picLocks noChangeAspect="1"/>
                          </pic:cNvPicPr>
                        </pic:nvPicPr>
                        <pic:blipFill>
                          <a:blip r:embed="rId35"/>
                          <a:stretch>
                            <a:fillRect/>
                          </a:stretch>
                        </pic:blipFill>
                        <pic:spPr>
                          <a:xfrm>
                            <a:off x="0" y="0"/>
                            <a:ext cx="2867025" cy="542925"/>
                          </a:xfrm>
                          <a:prstGeom prst="rect">
                            <a:avLst/>
                          </a:prstGeom>
                          <a:noFill/>
                          <a:ln>
                            <a:noFill/>
                          </a:ln>
                        </pic:spPr>
                      </pic:pic>
                    </a:graphicData>
                  </a:graphic>
                </wp:inline>
              </w:drawing>
            </w:r>
          </w:p>
          <w:p w14:paraId="29DE648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Q—指向性因数；通常对无指向性声源，当声源放在房间中心时，Q=1；当入在一面墙的中心时，Q=2；当放在两面墙夹角处时，Q=4；当放在三面墙夹角处时，Q=8；R—房间常数；R=Sα/(1-α)，S为房间内表面面积，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，取生产厂房</w:t>
            </w:r>
            <w:r>
              <w:rPr>
                <w:rFonts w:hint="default" w:ascii="Times New Roman" w:hAnsi="Times New Roman" w:eastAsia="宋体" w:cs="Times New Roman"/>
                <w:b w:val="0"/>
                <w:bCs w:val="0"/>
                <w:color w:val="auto"/>
                <w:sz w:val="24"/>
                <w:szCs w:val="24"/>
                <w:highlight w:val="none"/>
                <w:lang w:val="en-US" w:eastAsia="zh-CN"/>
              </w:rPr>
              <w:t>内表面面积</w:t>
            </w:r>
            <w:r>
              <w:rPr>
                <w:rFonts w:hint="default" w:ascii="Times New Roman" w:hAnsi="Times New Roman" w:eastAsia="宋体" w:cs="Times New Roman"/>
                <w:color w:val="auto"/>
                <w:sz w:val="24"/>
                <w:szCs w:val="24"/>
                <w:highlight w:val="none"/>
                <w:lang w:val="en-US" w:eastAsia="zh-CN"/>
              </w:rPr>
              <w:t>；α为平均吸声系数；r—声源到靠近围护结构某点处的距离，m。</w:t>
            </w:r>
          </w:p>
          <w:p w14:paraId="3DA13CC7">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然后按（公式3）计算出所有室内声源在围护结构处产生的i倍频带叠加声压级：</w:t>
            </w:r>
          </w:p>
          <w:p w14:paraId="10F539E2">
            <w:pPr>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drawing>
                <wp:inline distT="0" distB="0" distL="114300" distR="114300">
                  <wp:extent cx="2907665" cy="539750"/>
                  <wp:effectExtent l="0" t="0" r="6985" b="12700"/>
                  <wp:docPr id="105" name="图片 508" descr="d314ef6d08cecde198e12dbd6563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508" descr="d314ef6d08cecde198e12dbd6563ab1"/>
                          <pic:cNvPicPr>
                            <a:picLocks noChangeAspect="1"/>
                          </pic:cNvPicPr>
                        </pic:nvPicPr>
                        <pic:blipFill>
                          <a:blip r:embed="rId36"/>
                          <a:stretch>
                            <a:fillRect/>
                          </a:stretch>
                        </pic:blipFill>
                        <pic:spPr>
                          <a:xfrm>
                            <a:off x="0" y="0"/>
                            <a:ext cx="2907665" cy="539750"/>
                          </a:xfrm>
                          <a:prstGeom prst="rect">
                            <a:avLst/>
                          </a:prstGeom>
                          <a:noFill/>
                          <a:ln>
                            <a:noFill/>
                          </a:ln>
                        </pic:spPr>
                      </pic:pic>
                    </a:graphicData>
                  </a:graphic>
                </wp:inline>
              </w:drawing>
            </w:r>
          </w:p>
          <w:p w14:paraId="749A542C">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式中：L</w:t>
            </w:r>
            <w:r>
              <w:rPr>
                <w:rFonts w:hint="default" w:ascii="Times New Roman" w:hAnsi="Times New Roman" w:eastAsia="宋体" w:cs="Times New Roman"/>
                <w:color w:val="auto"/>
                <w:sz w:val="24"/>
                <w:szCs w:val="24"/>
                <w:highlight w:val="none"/>
                <w:vertAlign w:val="subscript"/>
                <w:lang w:val="en-US" w:eastAsia="zh-CN"/>
              </w:rPr>
              <w:t>p1i</w:t>
            </w:r>
            <w:r>
              <w:rPr>
                <w:rFonts w:hint="default" w:ascii="Times New Roman" w:hAnsi="Times New Roman" w:eastAsia="宋体" w:cs="Times New Roman"/>
                <w:color w:val="auto"/>
                <w:sz w:val="24"/>
                <w:szCs w:val="24"/>
                <w:highlight w:val="none"/>
                <w:lang w:val="en-US" w:eastAsia="zh-CN"/>
              </w:rPr>
              <w:t>（T）—靠近围护结构处室内N个声源i倍频带的叠加声压级，dB；L</w:t>
            </w:r>
            <w:r>
              <w:rPr>
                <w:rFonts w:hint="default" w:ascii="Times New Roman" w:hAnsi="Times New Roman" w:eastAsia="宋体" w:cs="Times New Roman"/>
                <w:color w:val="auto"/>
                <w:sz w:val="24"/>
                <w:szCs w:val="24"/>
                <w:highlight w:val="none"/>
                <w:vertAlign w:val="subscript"/>
                <w:lang w:val="en-US" w:eastAsia="zh-CN"/>
              </w:rPr>
              <w:t>p1ij</w:t>
            </w:r>
            <w:r>
              <w:rPr>
                <w:rFonts w:hint="default" w:ascii="Times New Roman" w:hAnsi="Times New Roman" w:eastAsia="宋体" w:cs="Times New Roman"/>
                <w:color w:val="auto"/>
                <w:sz w:val="24"/>
                <w:szCs w:val="24"/>
                <w:highlight w:val="none"/>
                <w:lang w:val="en-US" w:eastAsia="zh-CN"/>
              </w:rPr>
              <w:t>—室内j声源i倍频带的声压级，dB；N—室内声源总数。</w:t>
            </w:r>
          </w:p>
          <w:p w14:paraId="0CBD1AC7">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在室内近似为扩散声场时，按（公式4）计算出靠近室外围护结构处的声压级：</w:t>
            </w:r>
          </w:p>
          <w:p w14:paraId="5C4FE143">
            <w:pPr>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position w:val="-14"/>
                <w:sz w:val="24"/>
                <w:szCs w:val="24"/>
                <w:highlight w:val="none"/>
                <w:lang w:val="en-US" w:eastAsia="zh-CN"/>
              </w:rPr>
              <w:object>
                <v:shape id="_x0000_i1031" o:spt="75" type="#_x0000_t75" style="height:19pt;width:135pt;" o:ole="t" filled="f" o:preferrelative="t" stroked="f" coordsize="21600,21600">
                  <v:path/>
                  <v:fill on="f" focussize="0,0"/>
                  <v:stroke on="f"/>
                  <v:imagedata r:id="rId38" o:title=""/>
                  <o:lock v:ext="edit" aspectratio="t"/>
                  <w10:wrap type="none"/>
                  <w10:anchorlock/>
                </v:shape>
                <o:OLEObject Type="Embed" ProgID="Equation.KSEE3" ShapeID="_x0000_i1031" DrawAspect="Content" ObjectID="_1468075731" r:id="rId37">
                  <o:LockedField>false</o:LockedField>
                </o:OLEObject>
              </w:object>
            </w:r>
            <w:r>
              <w:rPr>
                <w:rFonts w:hint="default" w:ascii="Times New Roman" w:hAnsi="Times New Roman" w:eastAsia="宋体" w:cs="Times New Roman"/>
                <w:color w:val="auto"/>
                <w:sz w:val="24"/>
                <w:szCs w:val="24"/>
                <w:highlight w:val="none"/>
                <w:lang w:val="en-US" w:eastAsia="zh-CN"/>
              </w:rPr>
              <w:t xml:space="preserve">   （公式4）</w:t>
            </w:r>
          </w:p>
          <w:p w14:paraId="5E17FB3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式中：L</w:t>
            </w:r>
            <w:r>
              <w:rPr>
                <w:rFonts w:hint="default" w:ascii="Times New Roman" w:hAnsi="Times New Roman" w:eastAsia="宋体" w:cs="Times New Roman"/>
                <w:color w:val="auto"/>
                <w:sz w:val="24"/>
                <w:szCs w:val="24"/>
                <w:highlight w:val="none"/>
                <w:vertAlign w:val="subscript"/>
                <w:lang w:val="en-US" w:eastAsia="zh-CN"/>
              </w:rPr>
              <w:t>p2i</w:t>
            </w:r>
            <w:r>
              <w:rPr>
                <w:rFonts w:hint="default" w:ascii="Times New Roman" w:hAnsi="Times New Roman" w:eastAsia="宋体" w:cs="Times New Roman"/>
                <w:color w:val="auto"/>
                <w:sz w:val="24"/>
                <w:szCs w:val="24"/>
                <w:highlight w:val="none"/>
                <w:lang w:val="en-US" w:eastAsia="zh-CN"/>
              </w:rPr>
              <w:t>（T）—靠近围护结构处室外N个声源i倍频带的叠加声压级，dB； TL</w:t>
            </w:r>
            <w:r>
              <w:rPr>
                <w:rFonts w:hint="default" w:ascii="Times New Roman" w:hAnsi="Times New Roman" w:eastAsia="宋体" w:cs="Times New Roman"/>
                <w:color w:val="auto"/>
                <w:sz w:val="24"/>
                <w:szCs w:val="24"/>
                <w:highlight w:val="none"/>
                <w:vertAlign w:val="subscript"/>
                <w:lang w:val="en-US" w:eastAsia="zh-CN"/>
              </w:rPr>
              <w:t>i</w:t>
            </w:r>
            <w:r>
              <w:rPr>
                <w:rFonts w:hint="default" w:ascii="Times New Roman" w:hAnsi="Times New Roman" w:eastAsia="宋体" w:cs="Times New Roman"/>
                <w:color w:val="auto"/>
                <w:sz w:val="24"/>
                <w:szCs w:val="24"/>
                <w:highlight w:val="none"/>
                <w:lang w:val="en-US" w:eastAsia="zh-CN"/>
              </w:rPr>
              <w:t>—围护结构i倍频带的隔声量，dB；</w:t>
            </w:r>
          </w:p>
          <w:p w14:paraId="23E9EE78">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然后按（公式5）将室外声源的声压级和透过面积换算成等效的室外声源，计算出中心位置于透声面积（S）处的等效声源的倍频带声功率级：</w:t>
            </w:r>
          </w:p>
          <w:p w14:paraId="32B38CC7">
            <w:pPr>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position w:val="-14"/>
                <w:sz w:val="24"/>
                <w:szCs w:val="24"/>
                <w:highlight w:val="none"/>
                <w:lang w:val="en-US" w:eastAsia="zh-CN"/>
              </w:rPr>
              <w:object>
                <v:shape id="_x0000_i1032" o:spt="75" type="#_x0000_t75" style="height:19pt;width:103.95pt;" o:ole="t" filled="f" o:preferrelative="t" stroked="f" coordsize="21600,21600">
                  <v:path/>
                  <v:fill on="f" focussize="0,0"/>
                  <v:stroke on="f"/>
                  <v:imagedata r:id="rId40" o:title=""/>
                  <o:lock v:ext="edit" aspectratio="t"/>
                  <w10:wrap type="none"/>
                  <w10:anchorlock/>
                </v:shape>
                <o:OLEObject Type="Embed" ProgID="Equation.KSEE3" ShapeID="_x0000_i1032" DrawAspect="Content" ObjectID="_1468075732" r:id="rId39">
                  <o:LockedField>false</o:LockedField>
                </o:OLEObject>
              </w:object>
            </w:r>
            <w:r>
              <w:rPr>
                <w:rFonts w:hint="default" w:ascii="Times New Roman" w:hAnsi="Times New Roman" w:eastAsia="宋体" w:cs="Times New Roman"/>
                <w:color w:val="auto"/>
                <w:sz w:val="24"/>
                <w:szCs w:val="24"/>
                <w:highlight w:val="none"/>
                <w:lang w:val="en-US" w:eastAsia="zh-CN"/>
              </w:rPr>
              <w:t xml:space="preserve">  （公式5）</w:t>
            </w:r>
          </w:p>
          <w:p w14:paraId="237CB1B6">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式中：L</w:t>
            </w:r>
            <w:r>
              <w:rPr>
                <w:rFonts w:hint="default" w:ascii="Times New Roman" w:hAnsi="Times New Roman" w:eastAsia="宋体" w:cs="Times New Roman"/>
                <w:color w:val="auto"/>
                <w:sz w:val="24"/>
                <w:szCs w:val="24"/>
                <w:highlight w:val="none"/>
                <w:vertAlign w:val="subscript"/>
                <w:lang w:val="en-US" w:eastAsia="zh-CN"/>
              </w:rPr>
              <w:t>W</w:t>
            </w:r>
            <w:r>
              <w:rPr>
                <w:rFonts w:hint="default" w:ascii="Times New Roman" w:hAnsi="Times New Roman" w:eastAsia="宋体" w:cs="Times New Roman"/>
                <w:color w:val="auto"/>
                <w:sz w:val="24"/>
                <w:szCs w:val="24"/>
                <w:highlight w:val="none"/>
                <w:lang w:val="en-US" w:eastAsia="zh-CN"/>
              </w:rPr>
              <w:t>—中心位置位于透声面积（S）处的等效声源的倍频带声功率级，dB；L</w:t>
            </w:r>
            <w:r>
              <w:rPr>
                <w:rFonts w:hint="default" w:ascii="Times New Roman" w:hAnsi="Times New Roman" w:eastAsia="宋体" w:cs="Times New Roman"/>
                <w:color w:val="auto"/>
                <w:sz w:val="24"/>
                <w:szCs w:val="24"/>
                <w:highlight w:val="none"/>
                <w:vertAlign w:val="subscript"/>
                <w:lang w:val="en-US" w:eastAsia="zh-CN"/>
              </w:rPr>
              <w:t>p2</w:t>
            </w:r>
            <w:r>
              <w:rPr>
                <w:rFonts w:hint="default" w:ascii="Times New Roman" w:hAnsi="Times New Roman" w:eastAsia="宋体" w:cs="Times New Roman"/>
                <w:color w:val="auto"/>
                <w:sz w:val="24"/>
                <w:szCs w:val="24"/>
                <w:highlight w:val="none"/>
                <w:lang w:val="en-US" w:eastAsia="zh-CN"/>
              </w:rPr>
              <w:t>(T)—靠近围护结构处室外声源的声压级，dB；S—透声面积，m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w:t>
            </w:r>
          </w:p>
          <w:p w14:paraId="22B9D0EF">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然后按室外声源预测方法计出预测点处的A声级。</w:t>
            </w:r>
          </w:p>
          <w:p w14:paraId="4058FB6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②室外声源衰减模式</w:t>
            </w:r>
          </w:p>
          <w:p w14:paraId="7DCF1DB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预测点的声压级可按下式计算：</w:t>
            </w:r>
          </w:p>
          <w:p w14:paraId="4479B3A5">
            <w:pPr>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position w:val="-14"/>
                <w:sz w:val="24"/>
                <w:szCs w:val="24"/>
                <w:highlight w:val="none"/>
                <w:lang w:val="en-US" w:eastAsia="zh-CN"/>
              </w:rPr>
              <w:object>
                <v:shape id="_x0000_i1033" o:spt="75" type="#_x0000_t75" style="height:19pt;width:253pt;" o:ole="t" filled="f" o:preferrelative="t" stroked="f" coordsize="21600,21600">
                  <v:path/>
                  <v:fill on="f" focussize="0,0"/>
                  <v:stroke on="f"/>
                  <v:imagedata r:id="rId42" o:title=""/>
                  <o:lock v:ext="edit" aspectratio="t"/>
                  <w10:wrap type="none"/>
                  <w10:anchorlock/>
                </v:shape>
                <o:OLEObject Type="Embed" ProgID="Equation.KSEE3" ShapeID="_x0000_i1033" DrawAspect="Content" ObjectID="_1468075733" r:id="rId41">
                  <o:LockedField>false</o:LockedField>
                </o:OLEObject>
              </w:object>
            </w:r>
            <w:r>
              <w:rPr>
                <w:rFonts w:hint="default" w:ascii="Times New Roman" w:hAnsi="Times New Roman" w:eastAsia="宋体" w:cs="Times New Roman"/>
                <w:color w:val="auto"/>
                <w:sz w:val="24"/>
                <w:szCs w:val="24"/>
                <w:highlight w:val="none"/>
                <w:lang w:val="en-US" w:eastAsia="zh-CN"/>
              </w:rPr>
              <w:t xml:space="preserve">   （公式6）</w:t>
            </w:r>
          </w:p>
          <w:p w14:paraId="313D011D">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式中：Lp(r)—预测点处声压级，dB；Lp(r</w:t>
            </w:r>
            <w:r>
              <w:rPr>
                <w:rFonts w:hint="default" w:ascii="Times New Roman" w:hAnsi="Times New Roman" w:eastAsia="宋体" w:cs="Times New Roman"/>
                <w:color w:val="auto"/>
                <w:sz w:val="24"/>
                <w:szCs w:val="24"/>
                <w:highlight w:val="none"/>
                <w:vertAlign w:val="subscript"/>
                <w:lang w:val="en-US" w:eastAsia="zh-CN"/>
              </w:rPr>
              <w:t>0</w:t>
            </w:r>
            <w:r>
              <w:rPr>
                <w:rFonts w:hint="default" w:ascii="Times New Roman" w:hAnsi="Times New Roman" w:eastAsia="宋体" w:cs="Times New Roman"/>
                <w:color w:val="auto"/>
                <w:sz w:val="24"/>
                <w:szCs w:val="24"/>
                <w:highlight w:val="none"/>
                <w:lang w:val="en-US" w:eastAsia="zh-CN"/>
              </w:rPr>
              <w:t>)—参考位置r</w:t>
            </w:r>
            <w:r>
              <w:rPr>
                <w:rFonts w:hint="default" w:ascii="Times New Roman" w:hAnsi="Times New Roman" w:eastAsia="宋体" w:cs="Times New Roman"/>
                <w:color w:val="auto"/>
                <w:sz w:val="24"/>
                <w:szCs w:val="24"/>
                <w:highlight w:val="none"/>
                <w:vertAlign w:val="subscript"/>
                <w:lang w:val="en-US" w:eastAsia="zh-CN"/>
              </w:rPr>
              <w:t>0</w:t>
            </w:r>
            <w:r>
              <w:rPr>
                <w:rFonts w:hint="default" w:ascii="Times New Roman" w:hAnsi="Times New Roman" w:eastAsia="宋体" w:cs="Times New Roman"/>
                <w:color w:val="auto"/>
                <w:sz w:val="24"/>
                <w:szCs w:val="24"/>
                <w:highlight w:val="none"/>
                <w:lang w:val="en-US" w:eastAsia="zh-CN"/>
              </w:rPr>
              <w:t>处的声压级，dB；D</w:t>
            </w:r>
            <w:r>
              <w:rPr>
                <w:rFonts w:hint="default" w:ascii="Times New Roman" w:hAnsi="Times New Roman" w:eastAsia="宋体" w:cs="Times New Roman"/>
                <w:color w:val="auto"/>
                <w:sz w:val="24"/>
                <w:szCs w:val="24"/>
                <w:highlight w:val="none"/>
                <w:vertAlign w:val="subscript"/>
                <w:lang w:val="en-US" w:eastAsia="zh-CN"/>
              </w:rPr>
              <w:t>C</w:t>
            </w:r>
            <w:r>
              <w:rPr>
                <w:rFonts w:hint="default" w:ascii="Times New Roman" w:hAnsi="Times New Roman" w:eastAsia="宋体" w:cs="Times New Roman"/>
                <w:color w:val="auto"/>
                <w:sz w:val="24"/>
                <w:szCs w:val="24"/>
                <w:highlight w:val="none"/>
                <w:lang w:val="en-US" w:eastAsia="zh-CN"/>
              </w:rPr>
              <w:t>—指向性校正，它描述点声源的等效连续声压级与产生声功率级L</w:t>
            </w:r>
            <w:r>
              <w:rPr>
                <w:rFonts w:hint="default" w:ascii="Times New Roman" w:hAnsi="Times New Roman" w:eastAsia="宋体" w:cs="Times New Roman"/>
                <w:color w:val="auto"/>
                <w:sz w:val="24"/>
                <w:szCs w:val="24"/>
                <w:highlight w:val="none"/>
                <w:vertAlign w:val="subscript"/>
                <w:lang w:val="en-US" w:eastAsia="zh-CN"/>
              </w:rPr>
              <w:t>w</w:t>
            </w:r>
            <w:r>
              <w:rPr>
                <w:rFonts w:hint="default" w:ascii="Times New Roman" w:hAnsi="Times New Roman" w:eastAsia="宋体" w:cs="Times New Roman"/>
                <w:color w:val="auto"/>
                <w:sz w:val="24"/>
                <w:szCs w:val="24"/>
                <w:highlight w:val="none"/>
                <w:lang w:val="en-US" w:eastAsia="zh-CN"/>
              </w:rPr>
              <w:t>的全向点声源在规定方向的声级的偏差程度，dB；A</w:t>
            </w:r>
            <w:r>
              <w:rPr>
                <w:rFonts w:hint="default" w:ascii="Times New Roman" w:hAnsi="Times New Roman" w:eastAsia="宋体" w:cs="Times New Roman"/>
                <w:color w:val="auto"/>
                <w:sz w:val="24"/>
                <w:szCs w:val="24"/>
                <w:highlight w:val="none"/>
                <w:vertAlign w:val="subscript"/>
                <w:lang w:val="en-US" w:eastAsia="zh-CN"/>
              </w:rPr>
              <w:t>div</w:t>
            </w:r>
            <w:r>
              <w:rPr>
                <w:rFonts w:hint="default" w:ascii="Times New Roman" w:hAnsi="Times New Roman" w:eastAsia="宋体" w:cs="Times New Roman"/>
                <w:color w:val="auto"/>
                <w:sz w:val="24"/>
                <w:szCs w:val="24"/>
                <w:highlight w:val="none"/>
                <w:lang w:val="en-US" w:eastAsia="zh-CN"/>
              </w:rPr>
              <w:t>—几何发散引起的衰减，dB；A</w:t>
            </w:r>
            <w:r>
              <w:rPr>
                <w:rFonts w:hint="default" w:ascii="Times New Roman" w:hAnsi="Times New Roman" w:eastAsia="宋体" w:cs="Times New Roman"/>
                <w:color w:val="auto"/>
                <w:sz w:val="24"/>
                <w:szCs w:val="24"/>
                <w:highlight w:val="none"/>
                <w:vertAlign w:val="subscript"/>
                <w:lang w:val="en-US" w:eastAsia="zh-CN"/>
              </w:rPr>
              <w:t>atm</w:t>
            </w:r>
            <w:r>
              <w:rPr>
                <w:rFonts w:hint="default" w:ascii="Times New Roman" w:hAnsi="Times New Roman" w:eastAsia="宋体" w:cs="Times New Roman"/>
                <w:color w:val="auto"/>
                <w:sz w:val="24"/>
                <w:szCs w:val="24"/>
                <w:highlight w:val="none"/>
                <w:lang w:val="en-US" w:eastAsia="zh-CN"/>
              </w:rPr>
              <w:t>—大气吸收引起的衰减，dB；A</w:t>
            </w:r>
            <w:r>
              <w:rPr>
                <w:rFonts w:hint="default" w:ascii="Times New Roman" w:hAnsi="Times New Roman" w:eastAsia="宋体" w:cs="Times New Roman"/>
                <w:color w:val="auto"/>
                <w:sz w:val="24"/>
                <w:szCs w:val="24"/>
                <w:highlight w:val="none"/>
                <w:vertAlign w:val="subscript"/>
                <w:lang w:val="en-US" w:eastAsia="zh-CN"/>
              </w:rPr>
              <w:t>gr</w:t>
            </w:r>
            <w:r>
              <w:rPr>
                <w:rFonts w:hint="default" w:ascii="Times New Roman" w:hAnsi="Times New Roman" w:eastAsia="宋体" w:cs="Times New Roman"/>
                <w:color w:val="auto"/>
                <w:sz w:val="24"/>
                <w:szCs w:val="24"/>
                <w:highlight w:val="none"/>
                <w:lang w:val="en-US" w:eastAsia="zh-CN"/>
              </w:rPr>
              <w:t>—地面效应引起的衰减，dB；A</w:t>
            </w:r>
            <w:r>
              <w:rPr>
                <w:rFonts w:hint="default" w:ascii="Times New Roman" w:hAnsi="Times New Roman" w:eastAsia="宋体" w:cs="Times New Roman"/>
                <w:color w:val="auto"/>
                <w:sz w:val="24"/>
                <w:szCs w:val="24"/>
                <w:highlight w:val="none"/>
                <w:vertAlign w:val="subscript"/>
                <w:lang w:val="en-US" w:eastAsia="zh-CN"/>
              </w:rPr>
              <w:t>bar</w:t>
            </w:r>
            <w:r>
              <w:rPr>
                <w:rFonts w:hint="default" w:ascii="Times New Roman" w:hAnsi="Times New Roman" w:eastAsia="宋体" w:cs="Times New Roman"/>
                <w:color w:val="auto"/>
                <w:sz w:val="24"/>
                <w:szCs w:val="24"/>
                <w:highlight w:val="none"/>
                <w:lang w:val="en-US" w:eastAsia="zh-CN"/>
              </w:rPr>
              <w:t>—障碍物屏蔽引起的衰减，dB；A</w:t>
            </w:r>
            <w:r>
              <w:rPr>
                <w:rFonts w:hint="default" w:ascii="Times New Roman" w:hAnsi="Times New Roman" w:eastAsia="宋体" w:cs="Times New Roman"/>
                <w:color w:val="auto"/>
                <w:sz w:val="24"/>
                <w:szCs w:val="24"/>
                <w:highlight w:val="none"/>
                <w:vertAlign w:val="subscript"/>
                <w:lang w:val="en-US" w:eastAsia="zh-CN"/>
              </w:rPr>
              <w:t>misc</w:t>
            </w:r>
            <w:r>
              <w:rPr>
                <w:rFonts w:hint="default" w:ascii="Times New Roman" w:hAnsi="Times New Roman" w:eastAsia="宋体" w:cs="Times New Roman"/>
                <w:color w:val="auto"/>
                <w:sz w:val="24"/>
                <w:szCs w:val="24"/>
                <w:highlight w:val="none"/>
                <w:lang w:val="en-US" w:eastAsia="zh-CN"/>
              </w:rPr>
              <w:t>—其他多方面效应引起的衰减，dB。在预测时，为留有较大余地，以噪声对环境最不利的情况为前提，只考虑几何发散引起的衰减，而其他因素的衰减，如大气吸收、地面效应等均作为预测计算的安全系数而不计，综上分析，公式6可简化为：</w:t>
            </w:r>
            <w:r>
              <w:rPr>
                <w:rFonts w:hint="default" w:ascii="Times New Roman" w:hAnsi="Times New Roman" w:eastAsia="宋体" w:cs="Times New Roman"/>
                <w:color w:val="auto"/>
                <w:position w:val="-14"/>
                <w:sz w:val="24"/>
                <w:szCs w:val="24"/>
                <w:highlight w:val="none"/>
                <w:lang w:val="en-US" w:eastAsia="zh-CN"/>
              </w:rPr>
              <w:object>
                <v:shape id="_x0000_i1034" o:spt="75" type="#_x0000_t75" style="height:19pt;width:132.95pt;" o:ole="t" filled="f" o:preferrelative="t" stroked="f" coordsize="21600,21600">
                  <v:path/>
                  <v:fill on="f" focussize="0,0"/>
                  <v:stroke on="f"/>
                  <v:imagedata r:id="rId44" o:title=""/>
                  <o:lock v:ext="edit" aspectratio="t"/>
                  <w10:wrap type="none"/>
                  <w10:anchorlock/>
                </v:shape>
                <o:OLEObject Type="Embed" ProgID="Equation.KSEE3" ShapeID="_x0000_i1034" DrawAspect="Content" ObjectID="_1468075734" r:id="rId43">
                  <o:LockedField>false</o:LockedField>
                </o:OLEObject>
              </w:object>
            </w:r>
            <w:r>
              <w:rPr>
                <w:rFonts w:hint="default" w:ascii="Times New Roman" w:hAnsi="Times New Roman" w:eastAsia="宋体" w:cs="Times New Roman"/>
                <w:color w:val="auto"/>
                <w:sz w:val="24"/>
                <w:szCs w:val="24"/>
                <w:highlight w:val="none"/>
                <w:lang w:val="en-US" w:eastAsia="zh-CN"/>
              </w:rPr>
              <w:t>。</w:t>
            </w:r>
          </w:p>
          <w:p w14:paraId="592678D5">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③工业企业噪声贡献值计算</w:t>
            </w:r>
          </w:p>
          <w:p w14:paraId="0746CC1E">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设第i个室外声源在预测点产生的A声级为L</w:t>
            </w:r>
            <w:r>
              <w:rPr>
                <w:rFonts w:hint="default" w:ascii="Times New Roman" w:hAnsi="Times New Roman" w:eastAsia="宋体" w:cs="Times New Roman"/>
                <w:color w:val="auto"/>
                <w:sz w:val="24"/>
                <w:szCs w:val="24"/>
                <w:highlight w:val="none"/>
                <w:vertAlign w:val="subscript"/>
                <w:lang w:val="en-US" w:eastAsia="zh-CN"/>
              </w:rPr>
              <w:t>Ai</w:t>
            </w:r>
            <w:r>
              <w:rPr>
                <w:rFonts w:hint="default" w:ascii="Times New Roman" w:hAnsi="Times New Roman" w:eastAsia="宋体" w:cs="Times New Roman"/>
                <w:color w:val="auto"/>
                <w:sz w:val="24"/>
                <w:szCs w:val="24"/>
                <w:highlight w:val="none"/>
                <w:lang w:val="en-US" w:eastAsia="zh-CN"/>
              </w:rPr>
              <w:t>，在T时间内该声源工作时间为t</w:t>
            </w:r>
            <w:r>
              <w:rPr>
                <w:rFonts w:hint="default" w:ascii="Times New Roman" w:hAnsi="Times New Roman" w:eastAsia="宋体" w:cs="Times New Roman"/>
                <w:color w:val="auto"/>
                <w:sz w:val="24"/>
                <w:szCs w:val="24"/>
                <w:highlight w:val="none"/>
                <w:vertAlign w:val="subscript"/>
                <w:lang w:val="en-US" w:eastAsia="zh-CN"/>
              </w:rPr>
              <w:t>i</w:t>
            </w:r>
            <w:r>
              <w:rPr>
                <w:rFonts w:hint="default" w:ascii="Times New Roman" w:hAnsi="Times New Roman" w:eastAsia="宋体" w:cs="Times New Roman"/>
                <w:color w:val="auto"/>
                <w:sz w:val="24"/>
                <w:szCs w:val="24"/>
                <w:highlight w:val="none"/>
                <w:lang w:val="en-US" w:eastAsia="zh-CN"/>
              </w:rPr>
              <w:t>；第j个等效室外声源在预测点产生的A声级为L</w:t>
            </w:r>
            <w:r>
              <w:rPr>
                <w:rFonts w:hint="default" w:ascii="Times New Roman" w:hAnsi="Times New Roman" w:eastAsia="宋体" w:cs="Times New Roman"/>
                <w:color w:val="auto"/>
                <w:sz w:val="24"/>
                <w:szCs w:val="24"/>
                <w:highlight w:val="none"/>
                <w:vertAlign w:val="subscript"/>
                <w:lang w:val="en-US" w:eastAsia="zh-CN"/>
              </w:rPr>
              <w:t>Aj</w:t>
            </w:r>
            <w:r>
              <w:rPr>
                <w:rFonts w:hint="default" w:ascii="Times New Roman" w:hAnsi="Times New Roman" w:eastAsia="宋体" w:cs="Times New Roman"/>
                <w:color w:val="auto"/>
                <w:sz w:val="24"/>
                <w:szCs w:val="24"/>
                <w:highlight w:val="none"/>
                <w:lang w:val="en-US" w:eastAsia="zh-CN"/>
              </w:rPr>
              <w:t>，在T时间内该声源工作时间为t</w:t>
            </w:r>
            <w:r>
              <w:rPr>
                <w:rFonts w:hint="default" w:ascii="Times New Roman" w:hAnsi="Times New Roman" w:eastAsia="宋体" w:cs="Times New Roman"/>
                <w:color w:val="auto"/>
                <w:sz w:val="24"/>
                <w:szCs w:val="24"/>
                <w:highlight w:val="none"/>
                <w:vertAlign w:val="subscript"/>
                <w:lang w:val="en-US" w:eastAsia="zh-CN"/>
              </w:rPr>
              <w:t>j</w:t>
            </w:r>
            <w:r>
              <w:rPr>
                <w:rFonts w:hint="default" w:ascii="Times New Roman" w:hAnsi="Times New Roman" w:eastAsia="宋体" w:cs="Times New Roman"/>
                <w:color w:val="auto"/>
                <w:sz w:val="24"/>
                <w:szCs w:val="24"/>
                <w:highlight w:val="none"/>
                <w:lang w:val="en-US" w:eastAsia="zh-CN"/>
              </w:rPr>
              <w:t>，则拟建工程声源对预测点产生的贡献值（L</w:t>
            </w:r>
            <w:r>
              <w:rPr>
                <w:rFonts w:hint="default" w:ascii="Times New Roman" w:hAnsi="Times New Roman" w:eastAsia="宋体" w:cs="Times New Roman"/>
                <w:color w:val="auto"/>
                <w:sz w:val="24"/>
                <w:szCs w:val="24"/>
                <w:highlight w:val="none"/>
                <w:vertAlign w:val="subscript"/>
                <w:lang w:val="en-US" w:eastAsia="zh-CN"/>
              </w:rPr>
              <w:t>eqg</w:t>
            </w:r>
            <w:r>
              <w:rPr>
                <w:rFonts w:hint="default" w:ascii="Times New Roman" w:hAnsi="Times New Roman" w:eastAsia="宋体" w:cs="Times New Roman"/>
                <w:color w:val="auto"/>
                <w:sz w:val="24"/>
                <w:szCs w:val="24"/>
                <w:highlight w:val="none"/>
                <w:lang w:val="en-US" w:eastAsia="zh-CN"/>
              </w:rPr>
              <w:t>）为：</w:t>
            </w:r>
          </w:p>
          <w:p w14:paraId="70F4F2D9">
            <w:pPr>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position w:val="-34"/>
                <w:sz w:val="24"/>
                <w:szCs w:val="24"/>
                <w:highlight w:val="none"/>
                <w:lang w:val="en-US" w:eastAsia="zh-CN"/>
              </w:rPr>
              <w:object>
                <v:shape id="_x0000_i1035" o:spt="75" type="#_x0000_t75" style="height:40pt;width:204.95pt;" o:ole="t" filled="f" o:preferrelative="t" stroked="f" coordsize="21600,21600">
                  <v:path/>
                  <v:fill on="f" focussize="0,0"/>
                  <v:stroke on="f"/>
                  <v:imagedata r:id="rId46" o:title=""/>
                  <o:lock v:ext="edit" aspectratio="t"/>
                  <w10:wrap type="none"/>
                  <w10:anchorlock/>
                </v:shape>
                <o:OLEObject Type="Embed" ProgID="Equation.KSEE3" ShapeID="_x0000_i1035" DrawAspect="Content" ObjectID="_1468075735" r:id="rId45">
                  <o:LockedField>false</o:LockedField>
                </o:OLEObject>
              </w:object>
            </w:r>
          </w:p>
          <w:p w14:paraId="09A7251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式中：L</w:t>
            </w:r>
            <w:r>
              <w:rPr>
                <w:rFonts w:hint="default" w:ascii="Times New Roman" w:hAnsi="Times New Roman" w:eastAsia="宋体" w:cs="Times New Roman"/>
                <w:color w:val="auto"/>
                <w:sz w:val="24"/>
                <w:szCs w:val="24"/>
                <w:highlight w:val="none"/>
                <w:vertAlign w:val="subscript"/>
                <w:lang w:val="en-US" w:eastAsia="zh-CN"/>
              </w:rPr>
              <w:t>eqg</w:t>
            </w:r>
            <w:r>
              <w:rPr>
                <w:rFonts w:hint="default" w:ascii="Times New Roman" w:hAnsi="Times New Roman" w:eastAsia="宋体" w:cs="Times New Roman"/>
                <w:color w:val="auto"/>
                <w:sz w:val="24"/>
                <w:szCs w:val="24"/>
                <w:highlight w:val="none"/>
                <w:lang w:val="en-US" w:eastAsia="zh-CN"/>
              </w:rPr>
              <w:t>——建设项目声源在预测点产生的噪声贡献值，dB；T——用于计算等效声级的时间，s；N——室外声源个数；t</w:t>
            </w:r>
            <w:r>
              <w:rPr>
                <w:rFonts w:hint="default" w:ascii="Times New Roman" w:hAnsi="Times New Roman" w:eastAsia="宋体" w:cs="Times New Roman"/>
                <w:color w:val="auto"/>
                <w:sz w:val="24"/>
                <w:szCs w:val="24"/>
                <w:highlight w:val="none"/>
                <w:vertAlign w:val="subscript"/>
                <w:lang w:val="en-US" w:eastAsia="zh-CN"/>
              </w:rPr>
              <w:t>i</w:t>
            </w:r>
            <w:r>
              <w:rPr>
                <w:rFonts w:hint="default" w:ascii="Times New Roman" w:hAnsi="Times New Roman" w:eastAsia="宋体" w:cs="Times New Roman"/>
                <w:color w:val="auto"/>
                <w:sz w:val="24"/>
                <w:szCs w:val="24"/>
                <w:highlight w:val="none"/>
                <w:lang w:val="en-US" w:eastAsia="zh-CN"/>
              </w:rPr>
              <w:t>——在T时间内i声源工作时间，s；M——等效室外声源个数；t</w:t>
            </w:r>
            <w:r>
              <w:rPr>
                <w:rFonts w:hint="default" w:ascii="Times New Roman" w:hAnsi="Times New Roman" w:eastAsia="宋体" w:cs="Times New Roman"/>
                <w:color w:val="auto"/>
                <w:sz w:val="24"/>
                <w:szCs w:val="24"/>
                <w:highlight w:val="none"/>
                <w:vertAlign w:val="subscript"/>
                <w:lang w:val="en-US" w:eastAsia="zh-CN"/>
              </w:rPr>
              <w:t>j</w:t>
            </w:r>
            <w:r>
              <w:rPr>
                <w:rFonts w:hint="default" w:ascii="Times New Roman" w:hAnsi="Times New Roman" w:eastAsia="宋体" w:cs="Times New Roman"/>
                <w:color w:val="auto"/>
                <w:sz w:val="24"/>
                <w:szCs w:val="24"/>
                <w:highlight w:val="none"/>
                <w:lang w:val="en-US" w:eastAsia="zh-CN"/>
              </w:rPr>
              <w:t>——在T时间内j声源工作时间，s。</w:t>
            </w:r>
          </w:p>
          <w:p w14:paraId="7A291D73">
            <w:pPr>
              <w:spacing w:line="360" w:lineRule="auto"/>
              <w:ind w:firstLine="482" w:firstLineChars="200"/>
              <w:rPr>
                <w:rFonts w:hint="default" w:ascii="Times New Roman" w:hAnsi="Times New Roman" w:eastAsia="宋体" w:cs="Times New Roman"/>
                <w:b/>
                <w:bCs/>
                <w:color w:val="auto"/>
                <w:sz w:val="24"/>
                <w:szCs w:val="24"/>
                <w:highlight w:val="none"/>
                <w:lang w:val="en-GB"/>
              </w:rPr>
            </w:pPr>
            <w:r>
              <w:rPr>
                <w:rFonts w:hint="default" w:ascii="Times New Roman" w:hAnsi="Times New Roman" w:eastAsia="宋体" w:cs="Times New Roman"/>
                <w:b/>
                <w:bCs/>
                <w:color w:val="auto"/>
                <w:sz w:val="24"/>
                <w:szCs w:val="24"/>
                <w:highlight w:val="none"/>
                <w:lang w:val="en-GB"/>
              </w:rPr>
              <w:t>（</w:t>
            </w:r>
            <w:r>
              <w:rPr>
                <w:rFonts w:hint="default" w:ascii="Times New Roman" w:hAnsi="Times New Roman" w:eastAsia="宋体" w:cs="Times New Roman"/>
                <w:b/>
                <w:bCs/>
                <w:color w:val="auto"/>
                <w:sz w:val="24"/>
                <w:szCs w:val="24"/>
                <w:highlight w:val="none"/>
                <w:lang w:val="en-US" w:eastAsia="zh-CN"/>
              </w:rPr>
              <w:t>2</w:t>
            </w:r>
            <w:r>
              <w:rPr>
                <w:rFonts w:hint="default" w:ascii="Times New Roman" w:hAnsi="Times New Roman" w:eastAsia="宋体" w:cs="Times New Roman"/>
                <w:b/>
                <w:bCs/>
                <w:color w:val="auto"/>
                <w:sz w:val="24"/>
                <w:szCs w:val="24"/>
                <w:highlight w:val="none"/>
                <w:lang w:val="en-GB"/>
              </w:rPr>
              <w:t>）预测结果分析</w:t>
            </w:r>
          </w:p>
          <w:p w14:paraId="4A500B1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根据上述噪声源强调查清单及预测公式，项目噪声贡献值见下表。</w:t>
            </w:r>
          </w:p>
          <w:p w14:paraId="164102FD">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表4-3</w:t>
            </w:r>
            <w:r>
              <w:rPr>
                <w:rFonts w:hint="eastAsia" w:cs="Times New Roman"/>
                <w:b/>
                <w:bCs/>
                <w:color w:val="auto"/>
                <w:kern w:val="2"/>
                <w:sz w:val="21"/>
                <w:szCs w:val="21"/>
                <w:lang w:val="en-US" w:eastAsia="zh-CN" w:bidi="ar-SA"/>
              </w:rPr>
              <w:t>5</w:t>
            </w:r>
            <w:r>
              <w:rPr>
                <w:rFonts w:hint="default" w:ascii="Times New Roman" w:hAnsi="Times New Roman" w:eastAsia="宋体" w:cs="Times New Roman"/>
                <w:b/>
                <w:bCs/>
                <w:color w:val="auto"/>
                <w:sz w:val="21"/>
                <w:szCs w:val="21"/>
                <w:highlight w:val="none"/>
                <w:lang w:val="en-US" w:eastAsia="zh-CN"/>
              </w:rPr>
              <w:t>厂界预测结果与达标分析表</w:t>
            </w:r>
          </w:p>
          <w:tbl>
            <w:tblPr>
              <w:tblStyle w:val="48"/>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59"/>
              <w:gridCol w:w="1243"/>
              <w:gridCol w:w="1153"/>
              <w:gridCol w:w="1342"/>
              <w:gridCol w:w="1347"/>
              <w:gridCol w:w="883"/>
              <w:gridCol w:w="887"/>
            </w:tblGrid>
            <w:tr w14:paraId="39AEE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877" w:type="pct"/>
                  <w:vMerge w:val="restart"/>
                  <w:tcBorders>
                    <w:tl2br w:val="nil"/>
                    <w:tr2bl w:val="nil"/>
                  </w:tcBorders>
                  <w:noWrap w:val="0"/>
                  <w:vAlign w:val="center"/>
                </w:tcPr>
                <w:p w14:paraId="7EF45CA3">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预测点</w:t>
                  </w:r>
                </w:p>
              </w:tc>
              <w:tc>
                <w:tcPr>
                  <w:tcW w:w="1440" w:type="pct"/>
                  <w:gridSpan w:val="2"/>
                  <w:tcBorders>
                    <w:tl2br w:val="nil"/>
                    <w:tr2bl w:val="nil"/>
                  </w:tcBorders>
                  <w:noWrap w:val="0"/>
                  <w:vAlign w:val="center"/>
                </w:tcPr>
                <w:p w14:paraId="5958C65C">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贡献值dB（A）</w:t>
                  </w:r>
                </w:p>
              </w:tc>
              <w:tc>
                <w:tcPr>
                  <w:tcW w:w="1617" w:type="pct"/>
                  <w:gridSpan w:val="2"/>
                  <w:tcBorders>
                    <w:tl2br w:val="nil"/>
                    <w:tr2bl w:val="nil"/>
                  </w:tcBorders>
                  <w:noWrap w:val="0"/>
                  <w:vAlign w:val="center"/>
                </w:tcPr>
                <w:p w14:paraId="1593DBDC">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噪声标准</w:t>
                  </w:r>
                  <w:r>
                    <w:rPr>
                      <w:rFonts w:hint="default" w:ascii="Times New Roman" w:hAnsi="Times New Roman" w:eastAsia="宋体" w:cs="Times New Roman"/>
                      <w:b/>
                      <w:bCs/>
                      <w:color w:val="auto"/>
                      <w:sz w:val="21"/>
                      <w:szCs w:val="21"/>
                      <w:highlight w:val="none"/>
                    </w:rPr>
                    <w:t>dB（A）</w:t>
                  </w:r>
                </w:p>
              </w:tc>
              <w:tc>
                <w:tcPr>
                  <w:tcW w:w="1064" w:type="pct"/>
                  <w:gridSpan w:val="2"/>
                  <w:tcBorders>
                    <w:tl2br w:val="nil"/>
                    <w:tr2bl w:val="nil"/>
                  </w:tcBorders>
                  <w:noWrap w:val="0"/>
                  <w:vAlign w:val="center"/>
                </w:tcPr>
                <w:p w14:paraId="4A13BCE1">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snapToGrid/>
                      <w:color w:val="auto"/>
                      <w:kern w:val="2"/>
                      <w:sz w:val="21"/>
                      <w:szCs w:val="21"/>
                      <w:highlight w:val="none"/>
                      <w:lang w:val="en-US" w:eastAsia="zh-CN" w:bidi="ar-SA"/>
                    </w:rPr>
                    <w:t>达标情况</w:t>
                  </w:r>
                </w:p>
              </w:tc>
            </w:tr>
            <w:tr w14:paraId="200FB9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877" w:type="pct"/>
                  <w:vMerge w:val="continue"/>
                  <w:tcBorders>
                    <w:tl2br w:val="nil"/>
                    <w:tr2bl w:val="nil"/>
                  </w:tcBorders>
                  <w:noWrap w:val="0"/>
                  <w:vAlign w:val="center"/>
                </w:tcPr>
                <w:p w14:paraId="0D1D8452">
                  <w:pPr>
                    <w:adjustRightInd w:val="0"/>
                    <w:snapToGrid w:val="0"/>
                    <w:spacing w:line="240" w:lineRule="auto"/>
                    <w:jc w:val="center"/>
                    <w:rPr>
                      <w:rFonts w:hint="default" w:ascii="Times New Roman" w:hAnsi="Times New Roman" w:eastAsia="宋体" w:cs="Times New Roman"/>
                      <w:b/>
                      <w:bCs/>
                      <w:color w:val="auto"/>
                      <w:sz w:val="21"/>
                      <w:szCs w:val="21"/>
                      <w:highlight w:val="none"/>
                    </w:rPr>
                  </w:pPr>
                </w:p>
              </w:tc>
              <w:tc>
                <w:tcPr>
                  <w:tcW w:w="747" w:type="pct"/>
                  <w:tcBorders>
                    <w:tl2br w:val="nil"/>
                    <w:tr2bl w:val="nil"/>
                  </w:tcBorders>
                  <w:noWrap w:val="0"/>
                  <w:vAlign w:val="center"/>
                </w:tcPr>
                <w:p w14:paraId="6A2DFA59">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昼间</w:t>
                  </w:r>
                </w:p>
              </w:tc>
              <w:tc>
                <w:tcPr>
                  <w:tcW w:w="692" w:type="pct"/>
                  <w:tcBorders>
                    <w:tl2br w:val="nil"/>
                    <w:tr2bl w:val="nil"/>
                  </w:tcBorders>
                  <w:noWrap w:val="0"/>
                  <w:vAlign w:val="center"/>
                </w:tcPr>
                <w:p w14:paraId="72503828">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夜间</w:t>
                  </w:r>
                </w:p>
              </w:tc>
              <w:tc>
                <w:tcPr>
                  <w:tcW w:w="807" w:type="pct"/>
                  <w:tcBorders>
                    <w:tl2br w:val="nil"/>
                    <w:tr2bl w:val="nil"/>
                  </w:tcBorders>
                  <w:noWrap w:val="0"/>
                  <w:vAlign w:val="center"/>
                </w:tcPr>
                <w:p w14:paraId="1FA95347">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昼间</w:t>
                  </w:r>
                </w:p>
              </w:tc>
              <w:tc>
                <w:tcPr>
                  <w:tcW w:w="809" w:type="pct"/>
                  <w:tcBorders>
                    <w:tl2br w:val="nil"/>
                    <w:tr2bl w:val="nil"/>
                  </w:tcBorders>
                  <w:noWrap w:val="0"/>
                  <w:vAlign w:val="center"/>
                </w:tcPr>
                <w:p w14:paraId="1556CD6E">
                  <w:pPr>
                    <w:adjustRightInd w:val="0"/>
                    <w:snapToGrid w:val="0"/>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夜间</w:t>
                  </w:r>
                </w:p>
              </w:tc>
              <w:tc>
                <w:tcPr>
                  <w:tcW w:w="531" w:type="pct"/>
                  <w:tcBorders>
                    <w:tl2br w:val="nil"/>
                    <w:tr2bl w:val="nil"/>
                  </w:tcBorders>
                  <w:noWrap w:val="0"/>
                  <w:vAlign w:val="center"/>
                </w:tcPr>
                <w:p w14:paraId="114221E0">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snapToGrid/>
                      <w:color w:val="auto"/>
                      <w:kern w:val="2"/>
                      <w:sz w:val="21"/>
                      <w:szCs w:val="21"/>
                      <w:highlight w:val="none"/>
                      <w:lang w:val="en-US" w:eastAsia="zh-CN" w:bidi="ar-SA"/>
                    </w:rPr>
                    <w:t>昼间</w:t>
                  </w:r>
                </w:p>
              </w:tc>
              <w:tc>
                <w:tcPr>
                  <w:tcW w:w="533" w:type="pct"/>
                  <w:tcBorders>
                    <w:tl2br w:val="nil"/>
                    <w:tr2bl w:val="nil"/>
                  </w:tcBorders>
                  <w:noWrap w:val="0"/>
                  <w:vAlign w:val="center"/>
                </w:tcPr>
                <w:p w14:paraId="0D58552B">
                  <w:pPr>
                    <w:widowControl w:val="0"/>
                    <w:kinsoku/>
                    <w:autoSpaceDE/>
                    <w:autoSpaceDN/>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snapToGrid/>
                      <w:color w:val="auto"/>
                      <w:kern w:val="2"/>
                      <w:sz w:val="21"/>
                      <w:szCs w:val="21"/>
                      <w:highlight w:val="none"/>
                      <w:lang w:val="en-US" w:eastAsia="zh-CN" w:bidi="ar-SA"/>
                    </w:rPr>
                    <w:t>夜间</w:t>
                  </w:r>
                </w:p>
              </w:tc>
            </w:tr>
            <w:tr w14:paraId="3E818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877" w:type="pct"/>
                  <w:tcBorders>
                    <w:tl2br w:val="nil"/>
                    <w:tr2bl w:val="nil"/>
                  </w:tcBorders>
                  <w:noWrap w:val="0"/>
                  <w:vAlign w:val="center"/>
                </w:tcPr>
                <w:p w14:paraId="11452258">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东侧边界</w:t>
                  </w:r>
                </w:p>
              </w:tc>
              <w:tc>
                <w:tcPr>
                  <w:tcW w:w="747" w:type="pct"/>
                  <w:tcBorders>
                    <w:tl2br w:val="nil"/>
                    <w:tr2bl w:val="nil"/>
                  </w:tcBorders>
                  <w:noWrap w:val="0"/>
                  <w:vAlign w:val="center"/>
                </w:tcPr>
                <w:p w14:paraId="33F1A76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olor w:val="auto"/>
                    </w:rPr>
                    <w:t>25.59</w:t>
                  </w:r>
                </w:p>
              </w:tc>
              <w:tc>
                <w:tcPr>
                  <w:tcW w:w="692" w:type="pct"/>
                  <w:tcBorders>
                    <w:tl2br w:val="nil"/>
                    <w:tr2bl w:val="nil"/>
                  </w:tcBorders>
                  <w:noWrap w:val="0"/>
                  <w:vAlign w:val="center"/>
                </w:tcPr>
                <w:p w14:paraId="7587B5FE">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807" w:type="pct"/>
                  <w:tcBorders>
                    <w:tl2br w:val="nil"/>
                    <w:tr2bl w:val="nil"/>
                  </w:tcBorders>
                  <w:noWrap w:val="0"/>
                  <w:vAlign w:val="center"/>
                </w:tcPr>
                <w:p w14:paraId="52149ABD">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color w:val="auto"/>
                      <w:lang w:val="en-US" w:eastAsia="zh-CN"/>
                    </w:rPr>
                    <w:t>70</w:t>
                  </w:r>
                </w:p>
              </w:tc>
              <w:tc>
                <w:tcPr>
                  <w:tcW w:w="809" w:type="pct"/>
                  <w:tcBorders>
                    <w:tl2br w:val="nil"/>
                    <w:tr2bl w:val="nil"/>
                  </w:tcBorders>
                  <w:noWrap w:val="0"/>
                  <w:vAlign w:val="center"/>
                </w:tcPr>
                <w:p w14:paraId="6803E65E">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531" w:type="pct"/>
                  <w:tcBorders>
                    <w:tl2br w:val="nil"/>
                    <w:tr2bl w:val="nil"/>
                  </w:tcBorders>
                  <w:noWrap w:val="0"/>
                  <w:vAlign w:val="center"/>
                </w:tcPr>
                <w:p w14:paraId="5F187C07">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bidi="ar-SA"/>
                    </w:rPr>
                    <w:t>达标</w:t>
                  </w:r>
                </w:p>
              </w:tc>
              <w:tc>
                <w:tcPr>
                  <w:tcW w:w="533" w:type="pct"/>
                  <w:tcBorders>
                    <w:tl2br w:val="nil"/>
                    <w:tr2bl w:val="nil"/>
                  </w:tcBorders>
                  <w:noWrap w:val="0"/>
                  <w:vAlign w:val="center"/>
                </w:tcPr>
                <w:p w14:paraId="15CC25A0">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bidi="ar-SA"/>
                    </w:rPr>
                    <w:t>/</w:t>
                  </w:r>
                </w:p>
              </w:tc>
            </w:tr>
            <w:tr w14:paraId="57215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1" w:hRule="atLeast"/>
                <w:jc w:val="center"/>
              </w:trPr>
              <w:tc>
                <w:tcPr>
                  <w:tcW w:w="877" w:type="pct"/>
                  <w:tcBorders>
                    <w:tl2br w:val="nil"/>
                    <w:tr2bl w:val="nil"/>
                  </w:tcBorders>
                  <w:noWrap w:val="0"/>
                  <w:vAlign w:val="center"/>
                </w:tcPr>
                <w:p w14:paraId="5077A84F">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南侧边界</w:t>
                  </w:r>
                </w:p>
              </w:tc>
              <w:tc>
                <w:tcPr>
                  <w:tcW w:w="747" w:type="pct"/>
                  <w:tcBorders>
                    <w:tl2br w:val="nil"/>
                    <w:tr2bl w:val="nil"/>
                  </w:tcBorders>
                  <w:noWrap w:val="0"/>
                  <w:vAlign w:val="center"/>
                </w:tcPr>
                <w:p w14:paraId="16B1088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olor w:val="auto"/>
                    </w:rPr>
                    <w:t>38.13</w:t>
                  </w:r>
                </w:p>
              </w:tc>
              <w:tc>
                <w:tcPr>
                  <w:tcW w:w="692" w:type="pct"/>
                  <w:tcBorders>
                    <w:tl2br w:val="nil"/>
                    <w:tr2bl w:val="nil"/>
                  </w:tcBorders>
                  <w:noWrap w:val="0"/>
                  <w:vAlign w:val="center"/>
                </w:tcPr>
                <w:p w14:paraId="668B1CC2">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807" w:type="pct"/>
                  <w:tcBorders>
                    <w:tl2br w:val="nil"/>
                    <w:tr2bl w:val="nil"/>
                  </w:tcBorders>
                  <w:noWrap w:val="0"/>
                  <w:vAlign w:val="center"/>
                </w:tcPr>
                <w:p w14:paraId="5FF4D7B1">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eastAsia" w:cs="Times New Roman"/>
                      <w:i w:val="0"/>
                      <w:iCs w:val="0"/>
                      <w:color w:val="auto"/>
                      <w:kern w:val="0"/>
                      <w:sz w:val="21"/>
                      <w:szCs w:val="21"/>
                      <w:highlight w:val="none"/>
                      <w:u w:val="none"/>
                      <w:lang w:val="en-US" w:eastAsia="zh-CN" w:bidi="ar"/>
                    </w:rPr>
                    <w:t>70</w:t>
                  </w:r>
                </w:p>
              </w:tc>
              <w:tc>
                <w:tcPr>
                  <w:tcW w:w="809" w:type="pct"/>
                  <w:tcBorders>
                    <w:tl2br w:val="nil"/>
                    <w:tr2bl w:val="nil"/>
                  </w:tcBorders>
                  <w:noWrap w:val="0"/>
                  <w:vAlign w:val="center"/>
                </w:tcPr>
                <w:p w14:paraId="054A2298">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531" w:type="pct"/>
                  <w:tcBorders>
                    <w:tl2br w:val="nil"/>
                    <w:tr2bl w:val="nil"/>
                  </w:tcBorders>
                  <w:noWrap w:val="0"/>
                  <w:vAlign w:val="center"/>
                </w:tcPr>
                <w:p w14:paraId="2E657FE4">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达标</w:t>
                  </w:r>
                </w:p>
              </w:tc>
              <w:tc>
                <w:tcPr>
                  <w:tcW w:w="533" w:type="pct"/>
                  <w:tcBorders>
                    <w:tl2br w:val="nil"/>
                    <w:tr2bl w:val="nil"/>
                  </w:tcBorders>
                  <w:noWrap w:val="0"/>
                  <w:vAlign w:val="center"/>
                </w:tcPr>
                <w:p w14:paraId="660CA952">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r>
            <w:tr w14:paraId="7E7F7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9" w:hRule="atLeast"/>
                <w:jc w:val="center"/>
              </w:trPr>
              <w:tc>
                <w:tcPr>
                  <w:tcW w:w="877" w:type="pct"/>
                  <w:tcBorders>
                    <w:tl2br w:val="nil"/>
                    <w:tr2bl w:val="nil"/>
                  </w:tcBorders>
                  <w:noWrap w:val="0"/>
                  <w:vAlign w:val="center"/>
                </w:tcPr>
                <w:p w14:paraId="2D3D221A">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西侧边界</w:t>
                  </w:r>
                </w:p>
              </w:tc>
              <w:tc>
                <w:tcPr>
                  <w:tcW w:w="747" w:type="pct"/>
                  <w:tcBorders>
                    <w:tl2br w:val="nil"/>
                    <w:tr2bl w:val="nil"/>
                  </w:tcBorders>
                  <w:noWrap w:val="0"/>
                  <w:vAlign w:val="center"/>
                </w:tcPr>
                <w:p w14:paraId="6E9FB49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olor w:val="auto"/>
                    </w:rPr>
                    <w:t>32.91</w:t>
                  </w:r>
                </w:p>
              </w:tc>
              <w:tc>
                <w:tcPr>
                  <w:tcW w:w="692" w:type="pct"/>
                  <w:tcBorders>
                    <w:tl2br w:val="nil"/>
                    <w:tr2bl w:val="nil"/>
                  </w:tcBorders>
                  <w:noWrap w:val="0"/>
                  <w:vAlign w:val="center"/>
                </w:tcPr>
                <w:p w14:paraId="12C94D68">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807" w:type="pct"/>
                  <w:tcBorders>
                    <w:tl2br w:val="nil"/>
                    <w:tr2bl w:val="nil"/>
                  </w:tcBorders>
                  <w:noWrap w:val="0"/>
                  <w:vAlign w:val="center"/>
                </w:tcPr>
                <w:p w14:paraId="32DCC251">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≤65</w:t>
                  </w:r>
                </w:p>
              </w:tc>
              <w:tc>
                <w:tcPr>
                  <w:tcW w:w="809" w:type="pct"/>
                  <w:tcBorders>
                    <w:tl2br w:val="nil"/>
                    <w:tr2bl w:val="nil"/>
                  </w:tcBorders>
                  <w:noWrap w:val="0"/>
                  <w:vAlign w:val="center"/>
                </w:tcPr>
                <w:p w14:paraId="2CC1EADB">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snapToGrid/>
                      <w:color w:val="auto"/>
                      <w:kern w:val="2"/>
                      <w:sz w:val="21"/>
                      <w:szCs w:val="21"/>
                      <w:highlight w:val="none"/>
                      <w:lang w:val="en-US" w:eastAsia="zh-CN" w:bidi="ar-SA"/>
                    </w:rPr>
                    <w:t>/</w:t>
                  </w:r>
                </w:p>
              </w:tc>
              <w:tc>
                <w:tcPr>
                  <w:tcW w:w="531" w:type="pct"/>
                  <w:tcBorders>
                    <w:tl2br w:val="nil"/>
                    <w:tr2bl w:val="nil"/>
                  </w:tcBorders>
                  <w:noWrap w:val="0"/>
                  <w:vAlign w:val="center"/>
                </w:tcPr>
                <w:p w14:paraId="5D5F3037">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bidi="ar-SA"/>
                    </w:rPr>
                    <w:t>达标</w:t>
                  </w:r>
                </w:p>
              </w:tc>
              <w:tc>
                <w:tcPr>
                  <w:tcW w:w="533" w:type="pct"/>
                  <w:tcBorders>
                    <w:tl2br w:val="nil"/>
                    <w:tr2bl w:val="nil"/>
                  </w:tcBorders>
                  <w:noWrap w:val="0"/>
                  <w:vAlign w:val="center"/>
                </w:tcPr>
                <w:p w14:paraId="4C8C6AA9">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bidi="ar-SA"/>
                    </w:rPr>
                    <w:t>/</w:t>
                  </w:r>
                </w:p>
              </w:tc>
            </w:tr>
            <w:tr w14:paraId="54BB1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877" w:type="pct"/>
                  <w:tcBorders>
                    <w:tl2br w:val="nil"/>
                    <w:tr2bl w:val="nil"/>
                  </w:tcBorders>
                  <w:noWrap w:val="0"/>
                  <w:vAlign w:val="center"/>
                </w:tcPr>
                <w:p w14:paraId="63DA0E63">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北侧边界</w:t>
                  </w:r>
                </w:p>
              </w:tc>
              <w:tc>
                <w:tcPr>
                  <w:tcW w:w="747" w:type="pct"/>
                  <w:tcBorders>
                    <w:tl2br w:val="nil"/>
                    <w:tr2bl w:val="nil"/>
                  </w:tcBorders>
                  <w:noWrap w:val="0"/>
                  <w:vAlign w:val="center"/>
                </w:tcPr>
                <w:p w14:paraId="12E0383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olor w:val="auto"/>
                    </w:rPr>
                    <w:t>28.74</w:t>
                  </w:r>
                </w:p>
              </w:tc>
              <w:tc>
                <w:tcPr>
                  <w:tcW w:w="692" w:type="pct"/>
                  <w:tcBorders>
                    <w:tl2br w:val="nil"/>
                    <w:tr2bl w:val="nil"/>
                  </w:tcBorders>
                  <w:noWrap w:val="0"/>
                  <w:vAlign w:val="center"/>
                </w:tcPr>
                <w:p w14:paraId="739A776E">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807" w:type="pct"/>
                  <w:tcBorders>
                    <w:tl2br w:val="nil"/>
                    <w:tr2bl w:val="nil"/>
                  </w:tcBorders>
                  <w:noWrap w:val="0"/>
                  <w:vAlign w:val="center"/>
                </w:tcPr>
                <w:p w14:paraId="16ECF10A">
                  <w:pPr>
                    <w:keepNext w:val="0"/>
                    <w:keepLines w:val="0"/>
                    <w:widowControl/>
                    <w:suppressLineNumbers w:val="0"/>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≤65</w:t>
                  </w:r>
                </w:p>
              </w:tc>
              <w:tc>
                <w:tcPr>
                  <w:tcW w:w="809" w:type="pct"/>
                  <w:tcBorders>
                    <w:tl2br w:val="nil"/>
                    <w:tr2bl w:val="nil"/>
                  </w:tcBorders>
                  <w:noWrap w:val="0"/>
                  <w:vAlign w:val="center"/>
                </w:tcPr>
                <w:p w14:paraId="2BC8BCF9">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c>
                <w:tcPr>
                  <w:tcW w:w="531" w:type="pct"/>
                  <w:tcBorders>
                    <w:tl2br w:val="nil"/>
                    <w:tr2bl w:val="nil"/>
                  </w:tcBorders>
                  <w:noWrap w:val="0"/>
                  <w:vAlign w:val="center"/>
                </w:tcPr>
                <w:p w14:paraId="7D0A4526">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达标</w:t>
                  </w:r>
                </w:p>
              </w:tc>
              <w:tc>
                <w:tcPr>
                  <w:tcW w:w="533" w:type="pct"/>
                  <w:tcBorders>
                    <w:tl2br w:val="nil"/>
                    <w:tr2bl w:val="nil"/>
                  </w:tcBorders>
                  <w:noWrap w:val="0"/>
                  <w:vAlign w:val="center"/>
                </w:tcPr>
                <w:p w14:paraId="37CF7407">
                  <w:pPr>
                    <w:widowControl w:val="0"/>
                    <w:kinsoku/>
                    <w:autoSpaceDE/>
                    <w:autoSpaceDN/>
                    <w:adjustRightInd w:val="0"/>
                    <w:snapToGrid w:val="0"/>
                    <w:spacing w:line="240" w:lineRule="auto"/>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napToGrid/>
                      <w:color w:val="auto"/>
                      <w:kern w:val="2"/>
                      <w:sz w:val="21"/>
                      <w:szCs w:val="21"/>
                      <w:highlight w:val="none"/>
                      <w:lang w:val="en-US" w:eastAsia="zh-CN" w:bidi="ar-SA"/>
                    </w:rPr>
                    <w:t>/</w:t>
                  </w:r>
                </w:p>
              </w:tc>
            </w:tr>
          </w:tbl>
          <w:p w14:paraId="3DBB9F9E">
            <w:pPr>
              <w:pStyle w:val="43"/>
              <w:keepNext w:val="0"/>
              <w:keepLines w:val="0"/>
              <w:pageBreakBefore w:val="0"/>
              <w:widowControl w:val="0"/>
              <w:kinsoku/>
              <w:wordWrap/>
              <w:overflowPunct/>
              <w:topLinePunct w:val="0"/>
              <w:autoSpaceDE/>
              <w:autoSpaceDN/>
              <w:bidi w:val="0"/>
              <w:adjustRightInd/>
              <w:snapToGrid/>
              <w:spacing w:after="0" w:line="100" w:lineRule="exact"/>
              <w:textAlignment w:val="auto"/>
              <w:rPr>
                <w:rFonts w:hint="default" w:ascii="Times New Roman" w:hAnsi="Times New Roman" w:eastAsia="宋体" w:cs="Times New Roman"/>
                <w:b/>
                <w:bCs/>
                <w:color w:val="auto"/>
                <w:kern w:val="0"/>
                <w:sz w:val="24"/>
                <w:highlight w:val="none"/>
                <w:lang w:eastAsia="zh-CN"/>
              </w:rPr>
            </w:pPr>
          </w:p>
          <w:p w14:paraId="61940CBD">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根据预测结果，项目</w:t>
            </w:r>
            <w:r>
              <w:rPr>
                <w:rFonts w:hint="default" w:ascii="Times New Roman" w:hAnsi="Times New Roman" w:eastAsia="宋体" w:cs="Times New Roman"/>
                <w:color w:val="auto"/>
                <w:sz w:val="24"/>
                <w:highlight w:val="none"/>
              </w:rPr>
              <w:t>经</w:t>
            </w:r>
            <w:r>
              <w:rPr>
                <w:rFonts w:hint="default" w:ascii="Times New Roman" w:hAnsi="Times New Roman" w:eastAsia="宋体" w:cs="Times New Roman"/>
                <w:color w:val="auto"/>
                <w:sz w:val="24"/>
                <w:highlight w:val="none"/>
                <w:lang w:val="en-US" w:eastAsia="zh-CN"/>
              </w:rPr>
              <w:t>采取厂房隔声、基础减震、</w:t>
            </w:r>
            <w:r>
              <w:rPr>
                <w:rFonts w:hint="default" w:ascii="Times New Roman" w:hAnsi="Times New Roman" w:eastAsia="宋体" w:cs="Times New Roman"/>
                <w:color w:val="auto"/>
                <w:kern w:val="0"/>
                <w:sz w:val="24"/>
                <w:highlight w:val="none"/>
              </w:rPr>
              <w:t>合理布置生产设备</w:t>
            </w:r>
            <w:r>
              <w:rPr>
                <w:rFonts w:hint="default" w:ascii="Times New Roman" w:hAnsi="Times New Roman" w:eastAsia="宋体" w:cs="Times New Roman"/>
                <w:color w:val="auto"/>
                <w:kern w:val="0"/>
                <w:sz w:val="24"/>
                <w:highlight w:val="none"/>
                <w:lang w:val="en-US" w:eastAsia="zh-CN"/>
              </w:rPr>
              <w:t>等降噪措施和</w:t>
            </w:r>
            <w:r>
              <w:rPr>
                <w:rFonts w:hint="default" w:ascii="Times New Roman" w:hAnsi="Times New Roman" w:eastAsia="宋体" w:cs="Times New Roman"/>
                <w:color w:val="auto"/>
                <w:sz w:val="24"/>
                <w:highlight w:val="none"/>
              </w:rPr>
              <w:t>距离衰减后</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项目</w:t>
            </w:r>
            <w:r>
              <w:rPr>
                <w:rFonts w:hint="eastAsia" w:cs="Times New Roman"/>
                <w:color w:val="auto"/>
                <w:sz w:val="24"/>
                <w:highlight w:val="none"/>
                <w:lang w:val="en-US" w:eastAsia="zh-CN"/>
              </w:rPr>
              <w:t>东、南</w:t>
            </w:r>
            <w:r>
              <w:rPr>
                <w:rFonts w:hint="default" w:ascii="Times New Roman" w:hAnsi="Times New Roman" w:eastAsia="宋体" w:cs="Times New Roman"/>
                <w:color w:val="auto"/>
                <w:sz w:val="24"/>
                <w:highlight w:val="none"/>
                <w:lang w:val="en-US" w:eastAsia="zh-CN"/>
              </w:rPr>
              <w:t>面</w:t>
            </w:r>
            <w:r>
              <w:rPr>
                <w:rFonts w:hint="default" w:ascii="Times New Roman" w:hAnsi="Times New Roman" w:eastAsia="宋体" w:cs="Times New Roman"/>
                <w:color w:val="auto"/>
                <w:sz w:val="24"/>
                <w:highlight w:val="none"/>
              </w:rPr>
              <w:t>厂界噪声可达到《工业企业厂界环境噪声排放标准》（GB12348-2008）</w:t>
            </w:r>
            <w:r>
              <w:rPr>
                <w:rFonts w:hint="default" w:ascii="Times New Roman" w:hAnsi="Times New Roman" w:eastAsia="宋体" w:cs="Times New Roman"/>
                <w:color w:val="auto"/>
                <w:sz w:val="24"/>
                <w:highlight w:val="none"/>
                <w:lang w:val="en-US" w:eastAsia="zh-CN"/>
              </w:rPr>
              <w:t>4</w:t>
            </w:r>
            <w:r>
              <w:rPr>
                <w:rFonts w:hint="eastAsia" w:cs="Times New Roman"/>
                <w:color w:val="auto"/>
                <w:sz w:val="24"/>
                <w:highlight w:val="none"/>
                <w:lang w:val="en-US" w:eastAsia="zh-CN"/>
              </w:rPr>
              <w:t>a</w:t>
            </w:r>
            <w:r>
              <w:rPr>
                <w:rFonts w:hint="default" w:ascii="Times New Roman" w:hAnsi="Times New Roman" w:eastAsia="宋体" w:cs="Times New Roman"/>
                <w:color w:val="auto"/>
                <w:sz w:val="24"/>
                <w:highlight w:val="none"/>
              </w:rPr>
              <w:t>类标准（昼间≤</w:t>
            </w:r>
            <w:r>
              <w:rPr>
                <w:rFonts w:hint="default" w:ascii="Times New Roman" w:hAnsi="Times New Roman" w:eastAsia="宋体" w:cs="Times New Roman"/>
                <w:color w:val="auto"/>
                <w:sz w:val="24"/>
                <w:highlight w:val="none"/>
                <w:lang w:val="en-US" w:eastAsia="zh-CN"/>
              </w:rPr>
              <w:t>70</w:t>
            </w:r>
            <w:r>
              <w:rPr>
                <w:rFonts w:hint="default" w:ascii="Times New Roman" w:hAnsi="Times New Roman" w:eastAsia="宋体" w:cs="Times New Roman"/>
                <w:color w:val="auto"/>
                <w:sz w:val="24"/>
                <w:highlight w:val="none"/>
              </w:rPr>
              <w:t>dB(A)）的要求</w:t>
            </w:r>
            <w:r>
              <w:rPr>
                <w:rFonts w:hint="default" w:ascii="Times New Roman" w:hAnsi="Times New Roman" w:eastAsia="宋体" w:cs="Times New Roman"/>
                <w:color w:val="auto"/>
                <w:sz w:val="24"/>
                <w:highlight w:val="none"/>
                <w:lang w:eastAsia="zh-CN"/>
              </w:rPr>
              <w:t>，</w:t>
            </w:r>
            <w:r>
              <w:rPr>
                <w:rFonts w:hint="eastAsia" w:cs="Times New Roman"/>
                <w:color w:val="auto"/>
                <w:sz w:val="24"/>
                <w:highlight w:val="none"/>
                <w:lang w:val="en-US" w:eastAsia="zh-CN"/>
              </w:rPr>
              <w:t>其余</w:t>
            </w:r>
            <w:r>
              <w:rPr>
                <w:rFonts w:hint="default" w:ascii="Times New Roman" w:hAnsi="Times New Roman" w:eastAsia="宋体" w:cs="Times New Roman"/>
                <w:color w:val="auto"/>
                <w:sz w:val="24"/>
                <w:highlight w:val="none"/>
              </w:rPr>
              <w:t>厂界噪声</w:t>
            </w:r>
            <w:r>
              <w:rPr>
                <w:rFonts w:hint="default" w:ascii="Times New Roman" w:hAnsi="Times New Roman" w:eastAsia="宋体" w:cs="Times New Roman"/>
                <w:color w:val="auto"/>
                <w:sz w:val="24"/>
                <w:highlight w:val="none"/>
                <w:lang w:val="en-US" w:eastAsia="zh-CN"/>
              </w:rPr>
              <w:t>均</w:t>
            </w:r>
            <w:r>
              <w:rPr>
                <w:rFonts w:hint="default" w:ascii="Times New Roman" w:hAnsi="Times New Roman" w:eastAsia="宋体" w:cs="Times New Roman"/>
                <w:color w:val="auto"/>
                <w:sz w:val="24"/>
                <w:highlight w:val="none"/>
              </w:rPr>
              <w:t>可达到《工业企业厂界环境噪声排放标准》（GB12348-2008）</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类标准（昼间≤6</w:t>
            </w:r>
            <w:r>
              <w:rPr>
                <w:rFonts w:hint="default"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dB(A)）的要求。</w:t>
            </w:r>
          </w:p>
          <w:p w14:paraId="3AC1FA23">
            <w:pPr>
              <w:tabs>
                <w:tab w:val="left" w:pos="3615"/>
              </w:tabs>
              <w:spacing w:line="360" w:lineRule="auto"/>
              <w:ind w:firstLine="482"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color w:val="auto"/>
                <w:sz w:val="24"/>
                <w:highlight w:val="none"/>
              </w:rPr>
              <w:t>3.4噪声监测计划</w:t>
            </w:r>
          </w:p>
          <w:p w14:paraId="2FEEF8CD">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Cs/>
                <w:snapToGrid/>
                <w:color w:val="auto"/>
                <w:kern w:val="0"/>
                <w:sz w:val="24"/>
                <w:szCs w:val="24"/>
                <w:highlight w:val="none"/>
                <w:lang w:val="en-US" w:eastAsia="zh-CN" w:bidi="ar-SA"/>
              </w:rPr>
              <w:t>根据《排污许可证申请与核发技术规范 工业噪声》</w:t>
            </w:r>
            <w:r>
              <w:rPr>
                <w:rFonts w:hint="default" w:ascii="Times New Roman" w:hAnsi="Times New Roman" w:eastAsia="宋体" w:cs="Times New Roman"/>
                <w:bCs/>
                <w:snapToGrid/>
                <w:color w:val="auto"/>
                <w:kern w:val="0"/>
                <w:sz w:val="24"/>
                <w:szCs w:val="24"/>
                <w:highlight w:val="none"/>
                <w:lang w:val="en-US" w:eastAsia="zh-CN" w:bidi="ar-SA"/>
              </w:rPr>
              <w:fldChar w:fldCharType="begin"/>
            </w:r>
            <w:r>
              <w:rPr>
                <w:rFonts w:hint="default" w:ascii="Times New Roman" w:hAnsi="Times New Roman" w:eastAsia="宋体" w:cs="Times New Roman"/>
                <w:bCs/>
                <w:snapToGrid/>
                <w:color w:val="auto"/>
                <w:kern w:val="0"/>
                <w:sz w:val="24"/>
                <w:szCs w:val="24"/>
                <w:highlight w:val="none"/>
                <w:lang w:val="en-US" w:eastAsia="zh-CN" w:bidi="ar-SA"/>
              </w:rPr>
              <w:instrText xml:space="preserve"> HYPERLINK "https://www.mee.gov.cn/ywgz/fgbz/bz/bzwb/pwxk/202308/W020230919349861394526.pdf" </w:instrText>
            </w:r>
            <w:r>
              <w:rPr>
                <w:rFonts w:hint="default" w:ascii="Times New Roman" w:hAnsi="Times New Roman" w:eastAsia="宋体" w:cs="Times New Roman"/>
                <w:bCs/>
                <w:snapToGrid/>
                <w:color w:val="auto"/>
                <w:kern w:val="0"/>
                <w:sz w:val="24"/>
                <w:szCs w:val="24"/>
                <w:highlight w:val="none"/>
                <w:lang w:val="en-US" w:eastAsia="zh-CN" w:bidi="ar-SA"/>
              </w:rPr>
              <w:fldChar w:fldCharType="separate"/>
            </w:r>
            <w:r>
              <w:rPr>
                <w:rFonts w:hint="default" w:ascii="Times New Roman" w:hAnsi="Times New Roman" w:eastAsia="宋体" w:cs="Times New Roman"/>
                <w:bCs/>
                <w:snapToGrid/>
                <w:color w:val="auto"/>
                <w:kern w:val="0"/>
                <w:sz w:val="24"/>
                <w:szCs w:val="24"/>
                <w:highlight w:val="none"/>
                <w:lang w:val="en-US" w:eastAsia="zh-CN" w:bidi="ar-SA"/>
              </w:rPr>
              <w:t>（HJ 1301—2023）</w:t>
            </w:r>
            <w:r>
              <w:rPr>
                <w:rFonts w:hint="default" w:ascii="Times New Roman" w:hAnsi="Times New Roman" w:eastAsia="宋体" w:cs="Times New Roman"/>
                <w:bCs/>
                <w:snapToGrid/>
                <w:color w:val="auto"/>
                <w:kern w:val="0"/>
                <w:sz w:val="24"/>
                <w:szCs w:val="24"/>
                <w:highlight w:val="none"/>
                <w:lang w:val="en-US" w:eastAsia="zh-CN" w:bidi="ar-SA"/>
              </w:rPr>
              <w:fldChar w:fldCharType="end"/>
            </w:r>
            <w:r>
              <w:rPr>
                <w:rFonts w:hint="default" w:ascii="Times New Roman" w:hAnsi="Times New Roman" w:eastAsia="宋体" w:cs="Times New Roman"/>
                <w:color w:val="auto"/>
                <w:sz w:val="24"/>
                <w:highlight w:val="none"/>
              </w:rPr>
              <w:t>，噪声监测要求详见</w:t>
            </w:r>
            <w:r>
              <w:rPr>
                <w:rFonts w:hint="default" w:ascii="Times New Roman" w:hAnsi="Times New Roman" w:eastAsia="宋体" w:cs="Times New Roman"/>
                <w:color w:val="auto"/>
                <w:sz w:val="24"/>
                <w:highlight w:val="none"/>
                <w:lang w:val="en-US" w:eastAsia="zh-CN"/>
              </w:rPr>
              <w:t>下表</w:t>
            </w:r>
            <w:r>
              <w:rPr>
                <w:rFonts w:hint="default" w:ascii="Times New Roman" w:hAnsi="Times New Roman" w:eastAsia="宋体" w:cs="Times New Roman"/>
                <w:color w:val="auto"/>
                <w:sz w:val="24"/>
                <w:highlight w:val="none"/>
              </w:rPr>
              <w:t>。</w:t>
            </w:r>
          </w:p>
          <w:p w14:paraId="5A883189">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kern w:val="2"/>
                <w:sz w:val="21"/>
                <w:szCs w:val="21"/>
                <w:lang w:val="en-US" w:eastAsia="zh-CN" w:bidi="ar-SA"/>
              </w:rPr>
              <w:t>表4-3</w:t>
            </w:r>
            <w:r>
              <w:rPr>
                <w:rFonts w:hint="eastAsia" w:cs="Times New Roman"/>
                <w:b/>
                <w:bCs/>
                <w:color w:val="auto"/>
                <w:kern w:val="2"/>
                <w:sz w:val="21"/>
                <w:szCs w:val="21"/>
                <w:lang w:val="en-US" w:eastAsia="zh-CN" w:bidi="ar-SA"/>
              </w:rPr>
              <w:t>6</w:t>
            </w:r>
            <w:r>
              <w:rPr>
                <w:rFonts w:hint="default" w:ascii="Times New Roman" w:hAnsi="Times New Roman" w:eastAsia="宋体" w:cs="Times New Roman"/>
                <w:b/>
                <w:bCs/>
                <w:color w:val="auto"/>
                <w:sz w:val="21"/>
                <w:szCs w:val="21"/>
                <w:highlight w:val="none"/>
              </w:rPr>
              <w:t>噪声监测计划一览表</w:t>
            </w:r>
          </w:p>
          <w:tbl>
            <w:tblPr>
              <w:tblStyle w:val="48"/>
              <w:tblW w:w="4998" w:type="pct"/>
              <w:tblInd w:w="-3" w:type="dxa"/>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Layout w:type="fixed"/>
              <w:tblCellMar>
                <w:top w:w="0" w:type="dxa"/>
                <w:left w:w="0" w:type="dxa"/>
                <w:bottom w:w="0" w:type="dxa"/>
                <w:right w:w="0" w:type="dxa"/>
              </w:tblCellMar>
            </w:tblPr>
            <w:tblGrid>
              <w:gridCol w:w="1328"/>
              <w:gridCol w:w="1251"/>
              <w:gridCol w:w="1221"/>
              <w:gridCol w:w="1231"/>
              <w:gridCol w:w="3283"/>
            </w:tblGrid>
            <w:tr w14:paraId="2BEB0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369" w:hRule="atLeast"/>
              </w:trPr>
              <w:tc>
                <w:tcPr>
                  <w:tcW w:w="799" w:type="pct"/>
                  <w:tcBorders>
                    <w:tl2br w:val="nil"/>
                    <w:tr2bl w:val="nil"/>
                  </w:tcBorders>
                  <w:noWrap w:val="0"/>
                  <w:vAlign w:val="center"/>
                </w:tcPr>
                <w:p w14:paraId="5E5FB3BB">
                  <w:pPr>
                    <w:widowControl/>
                    <w:jc w:val="center"/>
                    <w:textAlignment w:val="center"/>
                    <w:rPr>
                      <w:rFonts w:hint="default" w:ascii="Times New Roman" w:hAnsi="Times New Roman" w:eastAsia="宋体" w:cs="Times New Roman"/>
                      <w:b/>
                      <w:bCs/>
                      <w:color w:val="auto"/>
                      <w:kern w:val="0"/>
                      <w:szCs w:val="21"/>
                      <w:highlight w:val="none"/>
                      <w:lang w:bidi="ar"/>
                    </w:rPr>
                  </w:pPr>
                  <w:r>
                    <w:rPr>
                      <w:rFonts w:hint="default" w:ascii="Times New Roman" w:hAnsi="Times New Roman" w:eastAsia="宋体" w:cs="Times New Roman"/>
                      <w:b/>
                      <w:bCs/>
                      <w:color w:val="auto"/>
                      <w:kern w:val="0"/>
                      <w:szCs w:val="21"/>
                      <w:highlight w:val="none"/>
                      <w:lang w:bidi="ar"/>
                    </w:rPr>
                    <w:t>监测点位</w:t>
                  </w:r>
                </w:p>
              </w:tc>
              <w:tc>
                <w:tcPr>
                  <w:tcW w:w="752" w:type="pct"/>
                  <w:tcBorders>
                    <w:tl2br w:val="nil"/>
                    <w:tr2bl w:val="nil"/>
                  </w:tcBorders>
                  <w:noWrap w:val="0"/>
                  <w:vAlign w:val="center"/>
                </w:tcPr>
                <w:p w14:paraId="1BEDC50B">
                  <w:pPr>
                    <w:widowControl/>
                    <w:jc w:val="center"/>
                    <w:textAlignment w:val="center"/>
                    <w:rPr>
                      <w:rFonts w:hint="default" w:ascii="Times New Roman" w:hAnsi="Times New Roman" w:eastAsia="宋体" w:cs="Times New Roman"/>
                      <w:b/>
                      <w:bCs/>
                      <w:color w:val="auto"/>
                      <w:kern w:val="0"/>
                      <w:szCs w:val="21"/>
                      <w:highlight w:val="none"/>
                      <w:lang w:bidi="ar"/>
                    </w:rPr>
                  </w:pPr>
                  <w:r>
                    <w:rPr>
                      <w:rFonts w:hint="default" w:ascii="Times New Roman" w:hAnsi="Times New Roman" w:eastAsia="宋体" w:cs="Times New Roman"/>
                      <w:b/>
                      <w:bCs/>
                      <w:color w:val="auto"/>
                      <w:kern w:val="0"/>
                      <w:szCs w:val="21"/>
                      <w:highlight w:val="none"/>
                      <w:lang w:bidi="ar"/>
                    </w:rPr>
                    <w:t>监测指标</w:t>
                  </w:r>
                </w:p>
              </w:tc>
              <w:tc>
                <w:tcPr>
                  <w:tcW w:w="734" w:type="pct"/>
                  <w:tcBorders>
                    <w:tl2br w:val="nil"/>
                    <w:tr2bl w:val="nil"/>
                  </w:tcBorders>
                  <w:noWrap w:val="0"/>
                  <w:vAlign w:val="center"/>
                </w:tcPr>
                <w:p w14:paraId="64587E77">
                  <w:pPr>
                    <w:widowControl/>
                    <w:jc w:val="center"/>
                    <w:textAlignment w:val="center"/>
                    <w:rPr>
                      <w:rFonts w:hint="default" w:ascii="Times New Roman" w:hAnsi="Times New Roman" w:eastAsia="宋体" w:cs="Times New Roman"/>
                      <w:b/>
                      <w:bCs/>
                      <w:color w:val="auto"/>
                      <w:kern w:val="0"/>
                      <w:szCs w:val="21"/>
                      <w:highlight w:val="none"/>
                      <w:lang w:bidi="ar"/>
                    </w:rPr>
                  </w:pPr>
                  <w:r>
                    <w:rPr>
                      <w:rFonts w:hint="default" w:ascii="Times New Roman" w:hAnsi="Times New Roman" w:eastAsia="宋体" w:cs="Times New Roman"/>
                      <w:b/>
                      <w:bCs/>
                      <w:color w:val="auto"/>
                      <w:kern w:val="0"/>
                      <w:szCs w:val="21"/>
                      <w:highlight w:val="none"/>
                      <w:lang w:bidi="ar"/>
                    </w:rPr>
                    <w:t>监测时段</w:t>
                  </w:r>
                </w:p>
              </w:tc>
              <w:tc>
                <w:tcPr>
                  <w:tcW w:w="740" w:type="pct"/>
                  <w:tcBorders>
                    <w:tl2br w:val="nil"/>
                    <w:tr2bl w:val="nil"/>
                  </w:tcBorders>
                  <w:noWrap w:val="0"/>
                  <w:vAlign w:val="center"/>
                </w:tcPr>
                <w:p w14:paraId="76F2BD55">
                  <w:pPr>
                    <w:widowControl/>
                    <w:jc w:val="center"/>
                    <w:textAlignment w:val="center"/>
                    <w:rPr>
                      <w:rFonts w:hint="default" w:ascii="Times New Roman" w:hAnsi="Times New Roman" w:eastAsia="宋体" w:cs="Times New Roman"/>
                      <w:b/>
                      <w:bCs/>
                      <w:color w:val="auto"/>
                      <w:kern w:val="0"/>
                      <w:szCs w:val="21"/>
                      <w:highlight w:val="none"/>
                      <w:lang w:bidi="ar"/>
                    </w:rPr>
                  </w:pPr>
                  <w:r>
                    <w:rPr>
                      <w:rFonts w:hint="default" w:ascii="Times New Roman" w:hAnsi="Times New Roman" w:eastAsia="宋体" w:cs="Times New Roman"/>
                      <w:b/>
                      <w:bCs/>
                      <w:color w:val="auto"/>
                      <w:kern w:val="0"/>
                      <w:szCs w:val="21"/>
                      <w:highlight w:val="none"/>
                      <w:lang w:bidi="ar"/>
                    </w:rPr>
                    <w:t>监测频次</w:t>
                  </w:r>
                </w:p>
              </w:tc>
              <w:tc>
                <w:tcPr>
                  <w:tcW w:w="1974" w:type="pct"/>
                  <w:tcBorders>
                    <w:tl2br w:val="nil"/>
                    <w:tr2bl w:val="nil"/>
                  </w:tcBorders>
                  <w:noWrap w:val="0"/>
                  <w:vAlign w:val="center"/>
                </w:tcPr>
                <w:p w14:paraId="5F0B7B49">
                  <w:pPr>
                    <w:widowControl/>
                    <w:jc w:val="center"/>
                    <w:textAlignment w:val="center"/>
                    <w:rPr>
                      <w:rFonts w:hint="default" w:ascii="Times New Roman" w:hAnsi="Times New Roman" w:eastAsia="宋体" w:cs="Times New Roman"/>
                      <w:b/>
                      <w:bCs/>
                      <w:color w:val="auto"/>
                      <w:kern w:val="0"/>
                      <w:szCs w:val="21"/>
                      <w:highlight w:val="none"/>
                      <w:lang w:val="en-US" w:eastAsia="zh-CN" w:bidi="ar"/>
                    </w:rPr>
                  </w:pPr>
                  <w:r>
                    <w:rPr>
                      <w:rFonts w:hint="default" w:ascii="Times New Roman" w:hAnsi="Times New Roman" w:cs="Times New Roman"/>
                      <w:b/>
                      <w:bCs/>
                      <w:color w:val="auto"/>
                      <w:kern w:val="0"/>
                      <w:szCs w:val="21"/>
                      <w:highlight w:val="none"/>
                      <w:lang w:val="en-US" w:eastAsia="zh-CN" w:bidi="ar"/>
                    </w:rPr>
                    <w:t>依据</w:t>
                  </w:r>
                </w:p>
              </w:tc>
            </w:tr>
            <w:tr w14:paraId="0B812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PrEx>
              <w:trPr>
                <w:trHeight w:val="369" w:hRule="atLeast"/>
              </w:trPr>
              <w:tc>
                <w:tcPr>
                  <w:tcW w:w="799" w:type="pct"/>
                  <w:tcBorders>
                    <w:tl2br w:val="nil"/>
                    <w:tr2bl w:val="nil"/>
                  </w:tcBorders>
                  <w:noWrap w:val="0"/>
                  <w:vAlign w:val="center"/>
                </w:tcPr>
                <w:p w14:paraId="57B4B323">
                  <w:pPr>
                    <w:widowControl/>
                    <w:jc w:val="center"/>
                    <w:textAlignment w:val="center"/>
                    <w:rPr>
                      <w:rFonts w:hint="default" w:ascii="Times New Roman" w:hAnsi="Times New Roman" w:eastAsia="宋体" w:cs="Times New Roman"/>
                      <w:color w:val="auto"/>
                      <w:kern w:val="0"/>
                      <w:szCs w:val="21"/>
                      <w:highlight w:val="none"/>
                      <w:lang w:val="en-US" w:bidi="ar"/>
                    </w:rPr>
                  </w:pPr>
                  <w:r>
                    <w:rPr>
                      <w:rFonts w:hint="default" w:ascii="Times New Roman" w:hAnsi="Times New Roman" w:cs="Times New Roman"/>
                      <w:color w:val="auto"/>
                      <w:kern w:val="0"/>
                      <w:szCs w:val="21"/>
                      <w:highlight w:val="none"/>
                      <w:lang w:val="en-US" w:eastAsia="zh-CN" w:bidi="ar"/>
                    </w:rPr>
                    <w:t>厂区 各边界外1米</w:t>
                  </w:r>
                </w:p>
              </w:tc>
              <w:tc>
                <w:tcPr>
                  <w:tcW w:w="752" w:type="pct"/>
                  <w:tcBorders>
                    <w:tl2br w:val="nil"/>
                    <w:tr2bl w:val="nil"/>
                  </w:tcBorders>
                  <w:noWrap w:val="0"/>
                  <w:vAlign w:val="center"/>
                </w:tcPr>
                <w:p w14:paraId="02E9AB4C">
                  <w:pPr>
                    <w:widowControl/>
                    <w:jc w:val="center"/>
                    <w:textAlignment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等效连续A声级</w:t>
                  </w:r>
                </w:p>
              </w:tc>
              <w:tc>
                <w:tcPr>
                  <w:tcW w:w="734" w:type="pct"/>
                  <w:tcBorders>
                    <w:tl2br w:val="nil"/>
                    <w:tr2bl w:val="nil"/>
                  </w:tcBorders>
                  <w:noWrap w:val="0"/>
                  <w:vAlign w:val="center"/>
                </w:tcPr>
                <w:p w14:paraId="32B82984">
                  <w:pPr>
                    <w:widowControl/>
                    <w:jc w:val="center"/>
                    <w:textAlignment w:val="center"/>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kern w:val="0"/>
                      <w:szCs w:val="21"/>
                      <w:highlight w:val="none"/>
                      <w:lang w:bidi="ar"/>
                    </w:rPr>
                    <w:t>昼间</w:t>
                  </w:r>
                </w:p>
              </w:tc>
              <w:tc>
                <w:tcPr>
                  <w:tcW w:w="1247" w:type="dxa"/>
                  <w:tcBorders>
                    <w:tl2br w:val="nil"/>
                    <w:tr2bl w:val="nil"/>
                  </w:tcBorders>
                  <w:noWrap w:val="0"/>
                  <w:vAlign w:val="center"/>
                </w:tcPr>
                <w:p w14:paraId="73B52783">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spacing w:val="-2"/>
                      <w:sz w:val="21"/>
                      <w:szCs w:val="21"/>
                      <w:highlight w:val="none"/>
                    </w:rPr>
                    <w:t>1次/季度</w:t>
                  </w:r>
                </w:p>
              </w:tc>
              <w:tc>
                <w:tcPr>
                  <w:tcW w:w="3326" w:type="dxa"/>
                  <w:tcBorders>
                    <w:tl2br w:val="nil"/>
                    <w:tr2bl w:val="nil"/>
                  </w:tcBorders>
                  <w:noWrap w:val="0"/>
                  <w:vAlign w:val="center"/>
                </w:tcPr>
                <w:p w14:paraId="270D14F4">
                  <w:pPr>
                    <w:pStyle w:val="88"/>
                    <w:keepNext w:val="0"/>
                    <w:keepLines w:val="0"/>
                    <w:pageBreakBefore w:val="0"/>
                    <w:suppressLineNumbers w:val="0"/>
                    <w:kinsoku/>
                    <w:wordWrap w:val="0"/>
                    <w:overflowPunct/>
                    <w:topLinePunct/>
                    <w:autoSpaceDE/>
                    <w:autoSpaceDN/>
                    <w:bidi w:val="0"/>
                    <w:spacing w:beforeLines="0" w:beforeAutospacing="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Cs w:val="21"/>
                      <w:highlight w:val="none"/>
                      <w:lang w:bidi="ar"/>
                    </w:rPr>
                  </w:pPr>
                  <w:r>
                    <w:rPr>
                      <w:rFonts w:hint="default" w:ascii="Times New Roman" w:hAnsi="Times New Roman" w:eastAsia="宋体" w:cs="Times New Roman"/>
                      <w:color w:val="auto"/>
                      <w:spacing w:val="-2"/>
                      <w:sz w:val="21"/>
                      <w:szCs w:val="21"/>
                      <w:highlight w:val="none"/>
                    </w:rPr>
                    <w:t>《排污单位自行监测技术指南 涂装》（HJ1086-2020）表4</w:t>
                  </w:r>
                </w:p>
              </w:tc>
            </w:tr>
          </w:tbl>
          <w:p w14:paraId="6AB77A0E">
            <w:pPr>
              <w:pStyle w:val="43"/>
              <w:spacing w:after="0" w:line="120" w:lineRule="auto"/>
              <w:ind w:firstLine="482"/>
              <w:rPr>
                <w:rFonts w:hint="default" w:ascii="Times New Roman" w:hAnsi="Times New Roman" w:eastAsia="宋体" w:cs="Times New Roman"/>
                <w:b/>
                <w:color w:val="auto"/>
                <w:szCs w:val="21"/>
                <w:highlight w:val="none"/>
              </w:rPr>
            </w:pPr>
          </w:p>
          <w:p w14:paraId="5BE33848">
            <w:pPr>
              <w:pStyle w:val="43"/>
              <w:spacing w:after="0" w:line="360" w:lineRule="auto"/>
              <w:ind w:firstLine="480"/>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4、固体废物</w:t>
            </w:r>
          </w:p>
          <w:p w14:paraId="73ADA6F4">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4.1、固体废物产排情况</w:t>
            </w:r>
          </w:p>
          <w:p w14:paraId="33154EF6">
            <w:pPr>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本项目营运期产生的固体废物主要为生活垃圾</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含废油脂</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一般工业固废（边角料</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包装废料、</w:t>
            </w:r>
            <w:r>
              <w:rPr>
                <w:rFonts w:hint="default" w:ascii="Times New Roman" w:hAnsi="Times New Roman" w:cs="Times New Roman"/>
                <w:color w:val="auto"/>
                <w:sz w:val="24"/>
                <w:szCs w:val="24"/>
                <w:highlight w:val="none"/>
                <w:lang w:val="en-US" w:eastAsia="zh-CN"/>
              </w:rPr>
              <w:t>沉降金属粉尘</w:t>
            </w:r>
            <w:r>
              <w:rPr>
                <w:rFonts w:hint="eastAsia" w:cs="Times New Roman"/>
                <w:color w:val="auto"/>
                <w:sz w:val="24"/>
                <w:szCs w:val="24"/>
                <w:highlight w:val="none"/>
                <w:lang w:val="en-US" w:eastAsia="zh-CN"/>
              </w:rPr>
              <w:t>、废催化剂、废滤芯</w:t>
            </w:r>
            <w:r>
              <w:rPr>
                <w:rFonts w:hint="default" w:ascii="Times New Roman" w:hAnsi="Times New Roman" w:cs="Times New Roman"/>
                <w:color w:val="auto"/>
                <w:sz w:val="24"/>
                <w:szCs w:val="24"/>
                <w:highlight w:val="none"/>
              </w:rPr>
              <w:t>）、危险废物（废表面处理剂包装桶</w:t>
            </w:r>
            <w:r>
              <w:rPr>
                <w:rFonts w:hint="eastAsia" w:ascii="Times New Roman" w:hAnsi="Times New Roman" w:cs="Times New Roman"/>
                <w:color w:val="auto"/>
                <w:sz w:val="24"/>
                <w:szCs w:val="24"/>
                <w:highlight w:val="none"/>
                <w:lang w:eastAsia="zh-CN"/>
              </w:rPr>
              <w:t>、</w:t>
            </w:r>
            <w:r>
              <w:rPr>
                <w:rFonts w:hint="eastAsia" w:cs="Times New Roman"/>
                <w:color w:val="auto"/>
                <w:sz w:val="24"/>
                <w:szCs w:val="24"/>
                <w:highlight w:val="none"/>
                <w:lang w:eastAsia="zh-CN"/>
              </w:rPr>
              <w:t>预处理池泥渣及管道循环装置废物</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无铬钝化池废槽液</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废水处理站污泥</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废pH调整剂包装桶</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废机油桶</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废机油</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废含油抹布手套</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废液压油桶</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rPr>
              <w:t>废液压油</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喷淋废液及沉渣</w:t>
            </w:r>
            <w:r>
              <w:rPr>
                <w:rFonts w:hint="eastAsia" w:cs="Times New Roman"/>
                <w:color w:val="auto"/>
                <w:sz w:val="24"/>
                <w:szCs w:val="24"/>
                <w:highlight w:val="none"/>
                <w:lang w:eastAsia="zh-CN"/>
              </w:rPr>
              <w:t>、喷枪清洗废液、废原料桶、废静电喷粉滤芯、废过滤棉、废活性炭、废粉末涂料</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w:t>
            </w:r>
          </w:p>
          <w:p w14:paraId="0C5BE356">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表4-3</w:t>
            </w:r>
            <w:r>
              <w:rPr>
                <w:rFonts w:hint="eastAsia" w:cs="Times New Roman"/>
                <w:b/>
                <w:bCs/>
                <w:color w:val="auto"/>
                <w:kern w:val="2"/>
                <w:sz w:val="21"/>
                <w:szCs w:val="21"/>
                <w:lang w:val="en-US" w:eastAsia="zh-CN" w:bidi="ar-SA"/>
              </w:rPr>
              <w:t>7</w:t>
            </w:r>
            <w:r>
              <w:rPr>
                <w:rFonts w:hint="default" w:ascii="Times New Roman" w:hAnsi="Times New Roman" w:eastAsia="宋体" w:cs="Times New Roman"/>
                <w:b/>
                <w:bCs/>
                <w:color w:val="auto"/>
                <w:sz w:val="21"/>
                <w:szCs w:val="21"/>
                <w:highlight w:val="none"/>
                <w:lang w:val="en-US" w:eastAsia="zh-CN"/>
              </w:rPr>
              <w:t>固废产排污节点、污染物及污染治理设施信息表</w:t>
            </w:r>
          </w:p>
          <w:tbl>
            <w:tblPr>
              <w:tblStyle w:val="48"/>
              <w:tblW w:w="4995"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635"/>
              <w:gridCol w:w="848"/>
              <w:gridCol w:w="358"/>
              <w:gridCol w:w="1404"/>
              <w:gridCol w:w="742"/>
              <w:gridCol w:w="512"/>
              <w:gridCol w:w="566"/>
              <w:gridCol w:w="805"/>
              <w:gridCol w:w="705"/>
              <w:gridCol w:w="918"/>
              <w:gridCol w:w="816"/>
            </w:tblGrid>
            <w:tr w14:paraId="3BA61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top w:val="single" w:color="000000" w:sz="4" w:space="0"/>
                    <w:left w:val="single" w:color="000000" w:sz="4" w:space="0"/>
                    <w:bottom w:val="single" w:color="000000" w:sz="4" w:space="0"/>
                    <w:right w:val="single" w:color="000000" w:sz="4" w:space="0"/>
                  </w:tcBorders>
                  <w:noWrap w:val="0"/>
                  <w:vAlign w:val="center"/>
                </w:tcPr>
                <w:p w14:paraId="7307E8C3">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产生环节</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2393252">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215" w:type="pct"/>
                  <w:tcBorders>
                    <w:top w:val="single" w:color="000000" w:sz="4" w:space="0"/>
                    <w:left w:val="single" w:color="000000" w:sz="4" w:space="0"/>
                    <w:bottom w:val="single" w:color="000000" w:sz="4" w:space="0"/>
                    <w:right w:val="single" w:color="000000" w:sz="4" w:space="0"/>
                  </w:tcBorders>
                  <w:noWrap w:val="0"/>
                  <w:vAlign w:val="center"/>
                </w:tcPr>
                <w:p w14:paraId="54C19F4C">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属性</w:t>
                  </w: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73ABF064">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废物分类代码</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0013C941">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主要有毒有害物质</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681F7754">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物理性状</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044AE37">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环境危险特性</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31798AC1">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年度产生量（t/a）</w:t>
                  </w:r>
                </w:p>
              </w:tc>
              <w:tc>
                <w:tcPr>
                  <w:tcW w:w="424" w:type="pct"/>
                  <w:tcBorders>
                    <w:top w:val="single" w:color="000000" w:sz="4" w:space="0"/>
                    <w:left w:val="single" w:color="000000" w:sz="4" w:space="0"/>
                    <w:bottom w:val="single" w:color="000000" w:sz="4" w:space="0"/>
                    <w:right w:val="single" w:color="000000" w:sz="4" w:space="0"/>
                  </w:tcBorders>
                  <w:noWrap w:val="0"/>
                  <w:vAlign w:val="center"/>
                </w:tcPr>
                <w:p w14:paraId="0222FF7A">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贮存方式</w:t>
                  </w:r>
                </w:p>
              </w:tc>
              <w:tc>
                <w:tcPr>
                  <w:tcW w:w="552" w:type="pct"/>
                  <w:tcBorders>
                    <w:top w:val="single" w:color="000000" w:sz="4" w:space="0"/>
                    <w:left w:val="single" w:color="000000" w:sz="4" w:space="0"/>
                    <w:bottom w:val="single" w:color="000000" w:sz="4" w:space="0"/>
                    <w:right w:val="single" w:color="000000" w:sz="4" w:space="0"/>
                  </w:tcBorders>
                  <w:noWrap w:val="0"/>
                  <w:vAlign w:val="center"/>
                </w:tcPr>
                <w:p w14:paraId="716EF6C5">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利用处置方式和去向</w:t>
                  </w: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70037C23">
                  <w:pPr>
                    <w:widowControl/>
                    <w:spacing w:line="240" w:lineRule="auto"/>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利用或处置量（t/a）</w:t>
                  </w:r>
                </w:p>
              </w:tc>
            </w:tr>
            <w:tr w14:paraId="168D9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000000" w:sz="4" w:space="0"/>
                    <w:left w:val="single" w:color="000000" w:sz="4" w:space="0"/>
                    <w:right w:val="single" w:color="000000" w:sz="4" w:space="0"/>
                  </w:tcBorders>
                  <w:noWrap w:val="0"/>
                  <w:vAlign w:val="center"/>
                </w:tcPr>
                <w:p w14:paraId="3ECFE17E">
                  <w:pPr>
                    <w:widowControl/>
                    <w:spacing w:line="240" w:lineRule="auto"/>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color w:val="auto"/>
                      <w:sz w:val="21"/>
                      <w:szCs w:val="21"/>
                      <w:highlight w:val="none"/>
                      <w:lang w:val="en-US" w:eastAsia="zh-CN"/>
                    </w:rPr>
                    <w:t>员工生活办公</w:t>
                  </w:r>
                </w:p>
              </w:tc>
              <w:tc>
                <w:tcPr>
                  <w:tcW w:w="510" w:type="pct"/>
                  <w:tcBorders>
                    <w:top w:val="single" w:color="000000" w:sz="4" w:space="0"/>
                    <w:left w:val="single" w:color="000000" w:sz="4" w:space="0"/>
                    <w:bottom w:val="single" w:color="auto" w:sz="4" w:space="0"/>
                    <w:right w:val="single" w:color="000000" w:sz="4" w:space="0"/>
                  </w:tcBorders>
                  <w:noWrap w:val="0"/>
                  <w:vAlign w:val="center"/>
                </w:tcPr>
                <w:p w14:paraId="40A7F46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w:t>
                  </w:r>
                </w:p>
              </w:tc>
              <w:tc>
                <w:tcPr>
                  <w:tcW w:w="215" w:type="pct"/>
                  <w:vMerge w:val="restart"/>
                  <w:tcBorders>
                    <w:top w:val="single" w:color="000000" w:sz="4" w:space="0"/>
                    <w:left w:val="single" w:color="000000" w:sz="4" w:space="0"/>
                    <w:right w:val="single" w:color="000000" w:sz="4" w:space="0"/>
                  </w:tcBorders>
                  <w:noWrap w:val="0"/>
                  <w:vAlign w:val="center"/>
                </w:tcPr>
                <w:p w14:paraId="0D5CA0F7">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w:t>
                  </w: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550205E5">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sz w:val="21"/>
                      <w:szCs w:val="21"/>
                      <w:highlight w:val="none"/>
                      <w:u w:val="none"/>
                      <w:lang w:eastAsia="zh-CN"/>
                    </w:rPr>
                    <w:t>900-099-S64</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113F0705">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354975D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A91E280">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331033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36.15</w:t>
                  </w:r>
                </w:p>
              </w:tc>
              <w:tc>
                <w:tcPr>
                  <w:tcW w:w="424" w:type="pct"/>
                  <w:tcBorders>
                    <w:top w:val="single" w:color="000000" w:sz="4" w:space="0"/>
                    <w:left w:val="single" w:color="000000" w:sz="4" w:space="0"/>
                    <w:bottom w:val="single" w:color="auto" w:sz="4" w:space="0"/>
                    <w:right w:val="single" w:color="000000" w:sz="4" w:space="0"/>
                  </w:tcBorders>
                  <w:noWrap w:val="0"/>
                  <w:vAlign w:val="center"/>
                </w:tcPr>
                <w:p w14:paraId="1156537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定点存放</w:t>
                  </w:r>
                </w:p>
              </w:tc>
              <w:tc>
                <w:tcPr>
                  <w:tcW w:w="552" w:type="pct"/>
                  <w:tcBorders>
                    <w:top w:val="single" w:color="000000" w:sz="4" w:space="0"/>
                    <w:left w:val="single" w:color="000000" w:sz="4" w:space="0"/>
                    <w:bottom w:val="single" w:color="auto" w:sz="4" w:space="0"/>
                    <w:right w:val="single" w:color="000000" w:sz="4" w:space="0"/>
                  </w:tcBorders>
                  <w:noWrap w:val="0"/>
                  <w:vAlign w:val="center"/>
                </w:tcPr>
                <w:p w14:paraId="73568124">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环卫部门清运</w:t>
                  </w: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2889D6A6">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36.15</w:t>
                  </w:r>
                </w:p>
              </w:tc>
            </w:tr>
            <w:tr w14:paraId="0C3E1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bottom w:val="single" w:color="000000" w:sz="4" w:space="0"/>
                    <w:right w:val="single" w:color="000000" w:sz="4" w:space="0"/>
                  </w:tcBorders>
                  <w:noWrap w:val="0"/>
                  <w:vAlign w:val="center"/>
                </w:tcPr>
                <w:p w14:paraId="4AEE5F7E">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10" w:type="pct"/>
                  <w:tcBorders>
                    <w:top w:val="single" w:color="000000" w:sz="4" w:space="0"/>
                    <w:left w:val="single" w:color="000000" w:sz="4" w:space="0"/>
                    <w:bottom w:val="single" w:color="auto" w:sz="4" w:space="0"/>
                    <w:right w:val="single" w:color="000000" w:sz="4" w:space="0"/>
                  </w:tcBorders>
                  <w:noWrap w:val="0"/>
                  <w:vAlign w:val="center"/>
                </w:tcPr>
                <w:p w14:paraId="4299DED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废油脂</w:t>
                  </w:r>
                </w:p>
              </w:tc>
              <w:tc>
                <w:tcPr>
                  <w:tcW w:w="215" w:type="pct"/>
                  <w:vMerge w:val="continue"/>
                  <w:tcBorders>
                    <w:left w:val="single" w:color="000000" w:sz="4" w:space="0"/>
                    <w:bottom w:val="single" w:color="auto" w:sz="4" w:space="0"/>
                    <w:right w:val="single" w:color="000000" w:sz="4" w:space="0"/>
                  </w:tcBorders>
                  <w:noWrap w:val="0"/>
                  <w:vAlign w:val="center"/>
                </w:tcPr>
                <w:p w14:paraId="6E525D3C">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4C7FDD54">
                  <w:pPr>
                    <w:widowControl/>
                    <w:spacing w:line="240" w:lineRule="auto"/>
                    <w:jc w:val="center"/>
                    <w:rPr>
                      <w:rFonts w:hint="default" w:ascii="Times New Roman" w:hAnsi="Times New Roman" w:eastAsia="宋体" w:cs="Times New Roman"/>
                      <w:i w:val="0"/>
                      <w:iCs w:val="0"/>
                      <w:color w:val="auto"/>
                      <w:sz w:val="21"/>
                      <w:szCs w:val="21"/>
                      <w:highlight w:val="none"/>
                      <w:u w:val="none"/>
                      <w:lang w:eastAsia="zh-CN"/>
                    </w:rPr>
                  </w:pPr>
                  <w:r>
                    <w:rPr>
                      <w:rFonts w:hint="default" w:ascii="Times New Roman" w:hAnsi="Times New Roman" w:cs="Times New Roman"/>
                      <w:color w:val="auto"/>
                      <w:sz w:val="21"/>
                      <w:szCs w:val="21"/>
                      <w:highlight w:val="none"/>
                      <w:lang w:val="en-US" w:eastAsia="zh-CN"/>
                    </w:rPr>
                    <w:t>900-002-S61</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07060FD5">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30EFF12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液态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04BB68A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706AEE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0.166 </w:t>
                  </w:r>
                </w:p>
              </w:tc>
              <w:tc>
                <w:tcPr>
                  <w:tcW w:w="424" w:type="pct"/>
                  <w:tcBorders>
                    <w:top w:val="single" w:color="000000" w:sz="4" w:space="0"/>
                    <w:left w:val="single" w:color="000000" w:sz="4" w:space="0"/>
                    <w:bottom w:val="single" w:color="auto" w:sz="4" w:space="0"/>
                    <w:right w:val="single" w:color="000000" w:sz="4" w:space="0"/>
                  </w:tcBorders>
                  <w:noWrap w:val="0"/>
                  <w:vAlign w:val="center"/>
                </w:tcPr>
                <w:p w14:paraId="55573DD8">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定点存放</w:t>
                  </w:r>
                </w:p>
              </w:tc>
              <w:tc>
                <w:tcPr>
                  <w:tcW w:w="552" w:type="pct"/>
                  <w:tcBorders>
                    <w:top w:val="single" w:color="000000" w:sz="4" w:space="0"/>
                    <w:left w:val="single" w:color="000000" w:sz="4" w:space="0"/>
                    <w:bottom w:val="single" w:color="auto" w:sz="4" w:space="0"/>
                    <w:right w:val="single" w:color="000000" w:sz="4" w:space="0"/>
                  </w:tcBorders>
                  <w:noWrap w:val="0"/>
                  <w:vAlign w:val="center"/>
                </w:tcPr>
                <w:p w14:paraId="13676C5D">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专业单位进行回收处置</w:t>
                  </w: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38399B7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0.166 </w:t>
                  </w:r>
                </w:p>
              </w:tc>
            </w:tr>
            <w:tr w14:paraId="3641E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top w:val="single" w:color="000000" w:sz="4" w:space="0"/>
                    <w:left w:val="single" w:color="000000" w:sz="4" w:space="0"/>
                    <w:bottom w:val="single" w:color="000000" w:sz="4" w:space="0"/>
                    <w:right w:val="single" w:color="000000" w:sz="4" w:space="0"/>
                  </w:tcBorders>
                  <w:noWrap w:val="0"/>
                  <w:vAlign w:val="center"/>
                </w:tcPr>
                <w:p w14:paraId="5F05D03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highlight w:val="none"/>
                      <w:lang w:val="en-US" w:eastAsia="zh-CN"/>
                    </w:rPr>
                    <w:t>钣金加工</w:t>
                  </w:r>
                </w:p>
              </w:tc>
              <w:tc>
                <w:tcPr>
                  <w:tcW w:w="510" w:type="pct"/>
                  <w:tcBorders>
                    <w:top w:val="single" w:color="auto" w:sz="4" w:space="0"/>
                    <w:left w:val="single" w:color="000000" w:sz="4" w:space="0"/>
                    <w:bottom w:val="single" w:color="000000" w:sz="4" w:space="0"/>
                    <w:right w:val="single" w:color="000000" w:sz="4" w:space="0"/>
                  </w:tcBorders>
                  <w:noWrap w:val="0"/>
                  <w:vAlign w:val="center"/>
                </w:tcPr>
                <w:p w14:paraId="7F1ECF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边角料</w:t>
                  </w:r>
                </w:p>
              </w:tc>
              <w:tc>
                <w:tcPr>
                  <w:tcW w:w="215" w:type="pct"/>
                  <w:vMerge w:val="restart"/>
                  <w:tcBorders>
                    <w:top w:val="single" w:color="auto" w:sz="4" w:space="0"/>
                    <w:left w:val="single" w:color="000000" w:sz="4" w:space="0"/>
                    <w:right w:val="single" w:color="000000" w:sz="4" w:space="0"/>
                  </w:tcBorders>
                  <w:noWrap w:val="0"/>
                  <w:vAlign w:val="center"/>
                </w:tcPr>
                <w:p w14:paraId="6B36FE18">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一般工业固体废物</w:t>
                  </w:r>
                </w:p>
              </w:tc>
              <w:tc>
                <w:tcPr>
                  <w:tcW w:w="844" w:type="pct"/>
                  <w:tcBorders>
                    <w:top w:val="single" w:color="auto" w:sz="4" w:space="0"/>
                    <w:left w:val="single" w:color="000000" w:sz="4" w:space="0"/>
                    <w:bottom w:val="single" w:color="000000" w:sz="4" w:space="0"/>
                    <w:right w:val="single" w:color="000000" w:sz="4" w:space="0"/>
                  </w:tcBorders>
                  <w:noWrap w:val="0"/>
                  <w:vAlign w:val="center"/>
                </w:tcPr>
                <w:p w14:paraId="27A73B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sz w:val="21"/>
                      <w:szCs w:val="21"/>
                      <w:highlight w:val="none"/>
                      <w:u w:val="none"/>
                    </w:rPr>
                    <w:t>900-002-S17</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526A52B9">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CDF21BC">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EACB5DE">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C8957B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45.478</w:t>
                  </w:r>
                </w:p>
              </w:tc>
              <w:tc>
                <w:tcPr>
                  <w:tcW w:w="424" w:type="pct"/>
                  <w:vMerge w:val="restart"/>
                  <w:tcBorders>
                    <w:top w:val="single" w:color="auto" w:sz="4" w:space="0"/>
                    <w:left w:val="single" w:color="000000" w:sz="4" w:space="0"/>
                    <w:right w:val="single" w:color="000000" w:sz="4" w:space="0"/>
                  </w:tcBorders>
                  <w:noWrap w:val="0"/>
                  <w:vAlign w:val="center"/>
                </w:tcPr>
                <w:p w14:paraId="316498B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固废间暂存</w:t>
                  </w:r>
                </w:p>
              </w:tc>
              <w:tc>
                <w:tcPr>
                  <w:tcW w:w="552" w:type="pct"/>
                  <w:vMerge w:val="restart"/>
                  <w:tcBorders>
                    <w:top w:val="single" w:color="auto" w:sz="4" w:space="0"/>
                    <w:left w:val="single" w:color="000000" w:sz="4" w:space="0"/>
                    <w:right w:val="single" w:color="000000" w:sz="4" w:space="0"/>
                  </w:tcBorders>
                  <w:noWrap w:val="0"/>
                  <w:vAlign w:val="center"/>
                </w:tcPr>
                <w:p w14:paraId="6C76BCF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交由资源回收利用单位</w:t>
                  </w:r>
                </w:p>
              </w:tc>
              <w:tc>
                <w:tcPr>
                  <w:tcW w:w="490" w:type="pct"/>
                  <w:tcBorders>
                    <w:top w:val="single" w:color="auto" w:sz="4" w:space="0"/>
                    <w:left w:val="single" w:color="000000" w:sz="4" w:space="0"/>
                    <w:bottom w:val="single" w:color="000000" w:sz="4" w:space="0"/>
                    <w:right w:val="single" w:color="000000" w:sz="4" w:space="0"/>
                  </w:tcBorders>
                  <w:noWrap w:val="0"/>
                  <w:vAlign w:val="center"/>
                </w:tcPr>
                <w:p w14:paraId="7D5FE3A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45.478</w:t>
                  </w:r>
                </w:p>
              </w:tc>
            </w:tr>
            <w:tr w14:paraId="3875F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top w:val="single" w:color="000000" w:sz="4" w:space="0"/>
                    <w:left w:val="single" w:color="000000" w:sz="4" w:space="0"/>
                    <w:bottom w:val="single" w:color="000000" w:sz="4" w:space="0"/>
                    <w:right w:val="single" w:color="000000" w:sz="4" w:space="0"/>
                  </w:tcBorders>
                  <w:noWrap w:val="0"/>
                  <w:vAlign w:val="center"/>
                </w:tcPr>
                <w:p w14:paraId="0E8412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color w:val="auto"/>
                      <w:sz w:val="21"/>
                      <w:szCs w:val="21"/>
                      <w:highlight w:val="none"/>
                      <w:lang w:val="en-US" w:eastAsia="zh-CN"/>
                    </w:rPr>
                    <w:t>辅料拆包</w:t>
                  </w:r>
                </w:p>
              </w:tc>
              <w:tc>
                <w:tcPr>
                  <w:tcW w:w="510" w:type="pct"/>
                  <w:tcBorders>
                    <w:top w:val="single" w:color="auto" w:sz="4" w:space="0"/>
                    <w:left w:val="single" w:color="000000" w:sz="4" w:space="0"/>
                    <w:bottom w:val="single" w:color="000000" w:sz="4" w:space="0"/>
                    <w:right w:val="single" w:color="000000" w:sz="4" w:space="0"/>
                  </w:tcBorders>
                  <w:noWrap w:val="0"/>
                  <w:vAlign w:val="center"/>
                </w:tcPr>
                <w:p w14:paraId="19F983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包装废料</w:t>
                  </w:r>
                </w:p>
              </w:tc>
              <w:tc>
                <w:tcPr>
                  <w:tcW w:w="215" w:type="pct"/>
                  <w:vMerge w:val="continue"/>
                  <w:tcBorders>
                    <w:left w:val="single" w:color="000000" w:sz="4" w:space="0"/>
                    <w:right w:val="single" w:color="000000" w:sz="4" w:space="0"/>
                  </w:tcBorders>
                  <w:noWrap w:val="0"/>
                  <w:vAlign w:val="center"/>
                </w:tcPr>
                <w:p w14:paraId="60E834B3">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auto" w:sz="4" w:space="0"/>
                    <w:left w:val="single" w:color="000000" w:sz="4" w:space="0"/>
                    <w:bottom w:val="single" w:color="000000" w:sz="4" w:space="0"/>
                    <w:right w:val="single" w:color="000000" w:sz="4" w:space="0"/>
                  </w:tcBorders>
                  <w:noWrap w:val="0"/>
                  <w:vAlign w:val="center"/>
                </w:tcPr>
                <w:p w14:paraId="0ECC19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sz w:val="21"/>
                      <w:szCs w:val="21"/>
                      <w:highlight w:val="none"/>
                      <w:u w:val="none"/>
                      <w:lang w:eastAsia="zh-CN"/>
                    </w:rPr>
                    <w:t>900-003-S17、</w:t>
                  </w:r>
                  <w:r>
                    <w:rPr>
                      <w:rFonts w:hint="default" w:ascii="Times New Roman" w:hAnsi="Times New Roman" w:eastAsia="宋体" w:cs="Times New Roman"/>
                      <w:i w:val="0"/>
                      <w:iCs w:val="0"/>
                      <w:color w:val="auto"/>
                      <w:sz w:val="21"/>
                      <w:szCs w:val="21"/>
                      <w:highlight w:val="none"/>
                      <w:u w:val="none"/>
                      <w:lang w:val="en-US" w:eastAsia="zh-CN"/>
                    </w:rPr>
                    <w:t>900-005-S17</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567292D1">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6373989">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4880CD7">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938B30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424" w:type="pct"/>
                  <w:vMerge w:val="continue"/>
                  <w:tcBorders>
                    <w:left w:val="single" w:color="000000" w:sz="4" w:space="0"/>
                    <w:right w:val="single" w:color="000000" w:sz="4" w:space="0"/>
                  </w:tcBorders>
                  <w:noWrap w:val="0"/>
                  <w:vAlign w:val="center"/>
                </w:tcPr>
                <w:p w14:paraId="63F2FD5A">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6AD2245B">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auto" w:sz="4" w:space="0"/>
                    <w:left w:val="single" w:color="000000" w:sz="4" w:space="0"/>
                    <w:bottom w:val="single" w:color="000000" w:sz="4" w:space="0"/>
                    <w:right w:val="single" w:color="000000" w:sz="4" w:space="0"/>
                  </w:tcBorders>
                  <w:noWrap w:val="0"/>
                  <w:vAlign w:val="center"/>
                </w:tcPr>
                <w:p w14:paraId="6722DBC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2</w:t>
                  </w:r>
                </w:p>
              </w:tc>
            </w:tr>
            <w:tr w14:paraId="35FFB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top w:val="single" w:color="000000" w:sz="4" w:space="0"/>
                    <w:left w:val="single" w:color="000000" w:sz="4" w:space="0"/>
                    <w:right w:val="single" w:color="000000" w:sz="4" w:space="0"/>
                  </w:tcBorders>
                  <w:noWrap w:val="0"/>
                  <w:vAlign w:val="center"/>
                </w:tcPr>
                <w:p w14:paraId="6675EB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废气处理</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63B88E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sz w:val="21"/>
                      <w:szCs w:val="21"/>
                      <w:highlight w:val="none"/>
                      <w:u w:val="none"/>
                      <w:lang w:val="en-US" w:eastAsia="zh-CN"/>
                    </w:rPr>
                    <w:t>沉降金属粉尘</w:t>
                  </w:r>
                </w:p>
              </w:tc>
              <w:tc>
                <w:tcPr>
                  <w:tcW w:w="215" w:type="pct"/>
                  <w:vMerge w:val="continue"/>
                  <w:tcBorders>
                    <w:left w:val="single" w:color="000000" w:sz="4" w:space="0"/>
                    <w:right w:val="single" w:color="000000" w:sz="4" w:space="0"/>
                  </w:tcBorders>
                  <w:noWrap w:val="0"/>
                  <w:vAlign w:val="center"/>
                </w:tcPr>
                <w:p w14:paraId="2B56FB5B">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CA1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sz w:val="21"/>
                      <w:szCs w:val="21"/>
                      <w:highlight w:val="none"/>
                      <w:u w:val="none"/>
                    </w:rPr>
                    <w:t>900-002-S17</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6FB3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BDF4A">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D8D57">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A5A6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11.18</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4" w:type="pct"/>
                  <w:vMerge w:val="continue"/>
                  <w:tcBorders>
                    <w:left w:val="single" w:color="000000" w:sz="4" w:space="0"/>
                    <w:right w:val="single" w:color="000000" w:sz="4" w:space="0"/>
                  </w:tcBorders>
                  <w:noWrap w:val="0"/>
                  <w:vAlign w:val="center"/>
                </w:tcPr>
                <w:p w14:paraId="7221AE5B">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552" w:type="pct"/>
                  <w:vMerge w:val="continue"/>
                  <w:tcBorders>
                    <w:left w:val="single" w:color="000000" w:sz="4" w:space="0"/>
                    <w:right w:val="single" w:color="000000" w:sz="4" w:space="0"/>
                  </w:tcBorders>
                  <w:noWrap w:val="0"/>
                  <w:vAlign w:val="center"/>
                </w:tcPr>
                <w:p w14:paraId="6E8F439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254AC314">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11.18</w:t>
                  </w:r>
                </w:p>
              </w:tc>
            </w:tr>
            <w:tr w14:paraId="59A67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noWrap w:val="0"/>
                  <w:vAlign w:val="center"/>
                </w:tcPr>
                <w:p w14:paraId="25C850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废气处理</w:t>
                  </w:r>
                </w:p>
              </w:tc>
              <w:tc>
                <w:tcPr>
                  <w:tcW w:w="510" w:type="pct"/>
                  <w:tcBorders>
                    <w:top w:val="single" w:color="000000" w:sz="4" w:space="0"/>
                    <w:left w:val="single" w:color="000000" w:sz="4" w:space="0"/>
                    <w:bottom w:val="single" w:color="auto" w:sz="4" w:space="0"/>
                    <w:right w:val="single" w:color="000000" w:sz="4" w:space="0"/>
                  </w:tcBorders>
                  <w:noWrap w:val="0"/>
                  <w:vAlign w:val="center"/>
                </w:tcPr>
                <w:p w14:paraId="5FC8B2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废滤芯</w:t>
                  </w:r>
                </w:p>
              </w:tc>
              <w:tc>
                <w:tcPr>
                  <w:tcW w:w="215" w:type="pct"/>
                  <w:vMerge w:val="continue"/>
                  <w:tcBorders>
                    <w:left w:val="single" w:color="000000" w:sz="4" w:space="0"/>
                    <w:right w:val="single" w:color="000000" w:sz="4" w:space="0"/>
                  </w:tcBorders>
                  <w:noWrap w:val="0"/>
                  <w:vAlign w:val="center"/>
                </w:tcPr>
                <w:p w14:paraId="55A42A6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0FEB20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rPr>
                  </w:pPr>
                  <w:r>
                    <w:rPr>
                      <w:color w:val="auto"/>
                    </w:rPr>
                    <w:t>900-099-S59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21DCBD6F">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AC9C3A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433F43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w:t>
                  </w:r>
                </w:p>
              </w:tc>
              <w:tc>
                <w:tcPr>
                  <w:tcW w:w="484" w:type="pct"/>
                  <w:tcBorders>
                    <w:top w:val="single" w:color="000000" w:sz="4" w:space="0"/>
                    <w:left w:val="single" w:color="000000" w:sz="4" w:space="0"/>
                    <w:bottom w:val="single" w:color="auto" w:sz="4" w:space="0"/>
                    <w:right w:val="single" w:color="000000" w:sz="4" w:space="0"/>
                  </w:tcBorders>
                  <w:noWrap w:val="0"/>
                  <w:vAlign w:val="center"/>
                </w:tcPr>
                <w:p w14:paraId="44B1F43D">
                  <w:pPr>
                    <w:keepNext w:val="0"/>
                    <w:keepLines w:val="0"/>
                    <w:widowControl/>
                    <w:suppressLineNumbers w:val="0"/>
                    <w:jc w:val="center"/>
                    <w:textAlignment w:val="center"/>
                    <w:rPr>
                      <w:rFonts w:hint="default"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0.18</w:t>
                  </w:r>
                </w:p>
              </w:tc>
              <w:tc>
                <w:tcPr>
                  <w:tcW w:w="424" w:type="pct"/>
                  <w:vMerge w:val="continue"/>
                  <w:tcBorders>
                    <w:left w:val="single" w:color="000000" w:sz="4" w:space="0"/>
                    <w:right w:val="single" w:color="000000" w:sz="4" w:space="0"/>
                  </w:tcBorders>
                  <w:noWrap w:val="0"/>
                  <w:vAlign w:val="center"/>
                </w:tcPr>
                <w:p w14:paraId="0363F806">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46EF937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30261738">
                  <w:pPr>
                    <w:keepNext w:val="0"/>
                    <w:keepLines w:val="0"/>
                    <w:widowControl/>
                    <w:suppressLineNumbers w:val="0"/>
                    <w:jc w:val="center"/>
                    <w:textAlignment w:val="center"/>
                    <w:rPr>
                      <w:rFonts w:hint="eastAsia" w:ascii="Times New Roman" w:hAnsi="Times New Roman"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0.18</w:t>
                  </w:r>
                </w:p>
              </w:tc>
            </w:tr>
            <w:tr w14:paraId="409BB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000000" w:sz="4" w:space="0"/>
                    <w:left w:val="single" w:color="000000" w:sz="4" w:space="0"/>
                    <w:right w:val="single" w:color="000000" w:sz="4" w:space="0"/>
                  </w:tcBorders>
                  <w:noWrap w:val="0"/>
                  <w:vAlign w:val="center"/>
                </w:tcPr>
                <w:p w14:paraId="7660F9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脱脂、水洗、无铬钝化</w:t>
                  </w:r>
                </w:p>
              </w:tc>
              <w:tc>
                <w:tcPr>
                  <w:tcW w:w="510" w:type="pct"/>
                  <w:tcBorders>
                    <w:top w:val="single" w:color="auto" w:sz="4" w:space="0"/>
                    <w:left w:val="single" w:color="000000" w:sz="4" w:space="0"/>
                    <w:bottom w:val="single" w:color="000000" w:sz="4" w:space="0"/>
                    <w:right w:val="single" w:color="000000" w:sz="4" w:space="0"/>
                  </w:tcBorders>
                  <w:noWrap w:val="0"/>
                  <w:vAlign w:val="center"/>
                </w:tcPr>
                <w:p w14:paraId="1FE3C5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废表面处理剂包装桶</w:t>
                  </w:r>
                </w:p>
              </w:tc>
              <w:tc>
                <w:tcPr>
                  <w:tcW w:w="215" w:type="pct"/>
                  <w:vMerge w:val="restart"/>
                  <w:tcBorders>
                    <w:top w:val="single" w:color="auto" w:sz="4" w:space="0"/>
                    <w:left w:val="single" w:color="000000" w:sz="4" w:space="0"/>
                    <w:right w:val="single" w:color="000000" w:sz="4" w:space="0"/>
                  </w:tcBorders>
                  <w:noWrap w:val="0"/>
                  <w:vAlign w:val="center"/>
                </w:tcPr>
                <w:p w14:paraId="38BF89AF">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危险废物</w:t>
                  </w:r>
                </w:p>
              </w:tc>
              <w:tc>
                <w:tcPr>
                  <w:tcW w:w="844" w:type="pct"/>
                  <w:tcBorders>
                    <w:top w:val="single" w:color="auto" w:sz="4" w:space="0"/>
                    <w:left w:val="single" w:color="000000" w:sz="4" w:space="0"/>
                    <w:bottom w:val="single" w:color="000000" w:sz="4" w:space="0"/>
                    <w:right w:val="single" w:color="000000" w:sz="4" w:space="0"/>
                  </w:tcBorders>
                  <w:noWrap w:val="0"/>
                  <w:vAlign w:val="center"/>
                </w:tcPr>
                <w:p w14:paraId="126AF0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7FC4C8DA">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无机酸</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4645D335">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2FA8ACB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T/In</w:t>
                  </w:r>
                </w:p>
              </w:tc>
              <w:tc>
                <w:tcPr>
                  <w:tcW w:w="484" w:type="pct"/>
                  <w:tcBorders>
                    <w:top w:val="single" w:color="auto" w:sz="4" w:space="0"/>
                    <w:left w:val="single" w:color="000000" w:sz="4" w:space="0"/>
                    <w:bottom w:val="single" w:color="000000" w:sz="4" w:space="0"/>
                    <w:right w:val="single" w:color="000000" w:sz="4" w:space="0"/>
                  </w:tcBorders>
                  <w:noWrap w:val="0"/>
                  <w:vAlign w:val="center"/>
                </w:tcPr>
                <w:p w14:paraId="4F80DAD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0.63</w:t>
                  </w:r>
                </w:p>
              </w:tc>
              <w:tc>
                <w:tcPr>
                  <w:tcW w:w="424" w:type="pct"/>
                  <w:vMerge w:val="restart"/>
                  <w:tcBorders>
                    <w:top w:val="single" w:color="auto" w:sz="4" w:space="0"/>
                    <w:left w:val="single" w:color="000000" w:sz="4" w:space="0"/>
                    <w:right w:val="single" w:color="000000" w:sz="4" w:space="0"/>
                  </w:tcBorders>
                  <w:noWrap w:val="0"/>
                  <w:vAlign w:val="center"/>
                </w:tcPr>
                <w:p w14:paraId="41E06E1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危废间暂存</w:t>
                  </w:r>
                </w:p>
              </w:tc>
              <w:tc>
                <w:tcPr>
                  <w:tcW w:w="552" w:type="pct"/>
                  <w:vMerge w:val="restart"/>
                  <w:tcBorders>
                    <w:top w:val="single" w:color="auto" w:sz="4" w:space="0"/>
                    <w:left w:val="single" w:color="000000" w:sz="4" w:space="0"/>
                    <w:right w:val="single" w:color="000000" w:sz="4" w:space="0"/>
                  </w:tcBorders>
                  <w:noWrap w:val="0"/>
                  <w:vAlign w:val="center"/>
                </w:tcPr>
                <w:p w14:paraId="79CB2ED0">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委托有资质的单位进行回收处理</w:t>
                  </w: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6964F15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0.63</w:t>
                  </w:r>
                </w:p>
              </w:tc>
            </w:tr>
            <w:tr w14:paraId="6B004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46A28D3E">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1E10F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预处理池泥渣及管道循环装置废物</w:t>
                  </w:r>
                </w:p>
              </w:tc>
              <w:tc>
                <w:tcPr>
                  <w:tcW w:w="215" w:type="pct"/>
                  <w:vMerge w:val="continue"/>
                  <w:tcBorders>
                    <w:left w:val="single" w:color="000000" w:sz="4" w:space="0"/>
                    <w:right w:val="single" w:color="000000" w:sz="4" w:space="0"/>
                  </w:tcBorders>
                  <w:noWrap w:val="0"/>
                  <w:vAlign w:val="center"/>
                </w:tcPr>
                <w:p w14:paraId="506D6DF9">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39ABAD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446" w:type="pct"/>
                  <w:tcBorders>
                    <w:top w:val="single" w:color="000000" w:sz="4" w:space="0"/>
                    <w:left w:val="single" w:color="000000" w:sz="4" w:space="0"/>
                    <w:bottom w:val="single" w:color="auto" w:sz="4" w:space="0"/>
                    <w:right w:val="single" w:color="000000" w:sz="4" w:space="0"/>
                  </w:tcBorders>
                  <w:noWrap w:val="0"/>
                  <w:vAlign w:val="center"/>
                </w:tcPr>
                <w:p w14:paraId="48B5BD05">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2"/>
                      <w:sz w:val="21"/>
                      <w:szCs w:val="21"/>
                      <w:highlight w:val="none"/>
                    </w:rPr>
                    <w:t>泥渣</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249DEAC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w:t>
                  </w:r>
                  <w:r>
                    <w:rPr>
                      <w:rFonts w:hint="eastAsia" w:ascii="Times New Roman" w:hAnsi="Times New Roman" w:eastAsia="宋体"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A31633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C</w:t>
                  </w:r>
                </w:p>
              </w:tc>
              <w:tc>
                <w:tcPr>
                  <w:tcW w:w="484" w:type="pct"/>
                  <w:tcBorders>
                    <w:top w:val="single" w:color="auto" w:sz="4" w:space="0"/>
                    <w:left w:val="single" w:color="000000" w:sz="4" w:space="0"/>
                    <w:bottom w:val="single" w:color="auto" w:sz="4" w:space="0"/>
                    <w:right w:val="single" w:color="000000" w:sz="4" w:space="0"/>
                  </w:tcBorders>
                  <w:noWrap w:val="0"/>
                  <w:vAlign w:val="center"/>
                </w:tcPr>
                <w:p w14:paraId="0FE7188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2</w:t>
                  </w:r>
                </w:p>
              </w:tc>
              <w:tc>
                <w:tcPr>
                  <w:tcW w:w="424" w:type="pct"/>
                  <w:vMerge w:val="continue"/>
                  <w:tcBorders>
                    <w:left w:val="single" w:color="000000" w:sz="4" w:space="0"/>
                    <w:right w:val="single" w:color="000000" w:sz="4" w:space="0"/>
                  </w:tcBorders>
                  <w:noWrap w:val="0"/>
                  <w:vAlign w:val="center"/>
                </w:tcPr>
                <w:p w14:paraId="11C7D827">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52DCE4B0">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78A2FF1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2</w:t>
                  </w:r>
                </w:p>
              </w:tc>
            </w:tr>
            <w:tr w14:paraId="1F60E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bottom w:val="single" w:color="auto" w:sz="4" w:space="0"/>
                    <w:right w:val="single" w:color="000000" w:sz="4" w:space="0"/>
                  </w:tcBorders>
                  <w:noWrap w:val="0"/>
                  <w:vAlign w:val="center"/>
                </w:tcPr>
                <w:p w14:paraId="50FCB9A7">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213F90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无铬钝化池废槽液</w:t>
                  </w:r>
                </w:p>
              </w:tc>
              <w:tc>
                <w:tcPr>
                  <w:tcW w:w="215" w:type="pct"/>
                  <w:vMerge w:val="continue"/>
                  <w:tcBorders>
                    <w:left w:val="single" w:color="000000" w:sz="4" w:space="0"/>
                    <w:right w:val="single" w:color="000000" w:sz="4" w:space="0"/>
                  </w:tcBorders>
                  <w:noWrap w:val="0"/>
                  <w:vAlign w:val="center"/>
                </w:tcPr>
                <w:p w14:paraId="0304FF2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53D5B0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446" w:type="pct"/>
                  <w:tcBorders>
                    <w:top w:val="single" w:color="000000" w:sz="4" w:space="0"/>
                    <w:left w:val="single" w:color="000000" w:sz="4" w:space="0"/>
                    <w:bottom w:val="single" w:color="auto" w:sz="4" w:space="0"/>
                    <w:right w:val="single" w:color="000000" w:sz="4" w:space="0"/>
                  </w:tcBorders>
                  <w:noWrap w:val="0"/>
                  <w:vAlign w:val="center"/>
                </w:tcPr>
                <w:p w14:paraId="77C7A92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kern w:val="2"/>
                      <w:position w:val="0"/>
                      <w:sz w:val="21"/>
                      <w:szCs w:val="21"/>
                      <w:highlight w:val="none"/>
                      <w:lang w:val="en-US" w:eastAsia="zh-CN"/>
                    </w:rPr>
                    <w:t>废槽液</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5EE5C406">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液态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6CAD4746">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C</w:t>
                  </w:r>
                </w:p>
              </w:tc>
              <w:tc>
                <w:tcPr>
                  <w:tcW w:w="484" w:type="pct"/>
                  <w:tcBorders>
                    <w:top w:val="single" w:color="auto" w:sz="4" w:space="0"/>
                    <w:left w:val="single" w:color="000000" w:sz="4" w:space="0"/>
                    <w:bottom w:val="single" w:color="auto" w:sz="4" w:space="0"/>
                    <w:right w:val="single" w:color="000000" w:sz="4" w:space="0"/>
                  </w:tcBorders>
                  <w:noWrap w:val="0"/>
                  <w:vAlign w:val="center"/>
                </w:tcPr>
                <w:p w14:paraId="1ECB98F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424" w:type="pct"/>
                  <w:vMerge w:val="continue"/>
                  <w:tcBorders>
                    <w:left w:val="single" w:color="000000" w:sz="4" w:space="0"/>
                    <w:right w:val="single" w:color="000000" w:sz="4" w:space="0"/>
                  </w:tcBorders>
                  <w:noWrap w:val="0"/>
                  <w:vAlign w:val="center"/>
                </w:tcPr>
                <w:p w14:paraId="1F4543D6">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5FEA774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55507EC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44.8</w:t>
                  </w:r>
                </w:p>
              </w:tc>
            </w:tr>
            <w:tr w14:paraId="74BD4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auto" w:sz="4" w:space="0"/>
                    <w:left w:val="single" w:color="000000" w:sz="4" w:space="0"/>
                    <w:right w:val="single" w:color="000000" w:sz="4" w:space="0"/>
                  </w:tcBorders>
                  <w:noWrap w:val="0"/>
                  <w:vAlign w:val="center"/>
                </w:tcPr>
                <w:p w14:paraId="0358AF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废水处理设施</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FF9DF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废水处理站污泥</w:t>
                  </w:r>
                </w:p>
              </w:tc>
              <w:tc>
                <w:tcPr>
                  <w:tcW w:w="215" w:type="pct"/>
                  <w:vMerge w:val="continue"/>
                  <w:tcBorders>
                    <w:left w:val="single" w:color="000000" w:sz="4" w:space="0"/>
                    <w:right w:val="single" w:color="000000" w:sz="4" w:space="0"/>
                  </w:tcBorders>
                  <w:noWrap w:val="0"/>
                  <w:vAlign w:val="center"/>
                </w:tcPr>
                <w:p w14:paraId="6A650AD8">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auto" w:sz="4" w:space="0"/>
                    <w:right w:val="single" w:color="000000" w:sz="4" w:space="0"/>
                  </w:tcBorders>
                  <w:noWrap w:val="0"/>
                  <w:vAlign w:val="center"/>
                </w:tcPr>
                <w:p w14:paraId="66596E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446" w:type="pct"/>
                  <w:tcBorders>
                    <w:top w:val="single" w:color="000000" w:sz="4" w:space="0"/>
                    <w:left w:val="single" w:color="000000" w:sz="4" w:space="0"/>
                    <w:bottom w:val="single" w:color="auto" w:sz="4" w:space="0"/>
                    <w:right w:val="single" w:color="000000" w:sz="4" w:space="0"/>
                  </w:tcBorders>
                  <w:noWrap w:val="0"/>
                  <w:vAlign w:val="center"/>
                </w:tcPr>
                <w:p w14:paraId="35B3C78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污泥</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B27CEE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w:t>
                  </w:r>
                  <w:r>
                    <w:rPr>
                      <w:rFonts w:hint="eastAsia" w:ascii="Times New Roman" w:hAnsi="Times New Roman" w:eastAsia="宋体"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481E3B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C</w:t>
                  </w:r>
                </w:p>
              </w:tc>
              <w:tc>
                <w:tcPr>
                  <w:tcW w:w="484" w:type="pct"/>
                  <w:tcBorders>
                    <w:top w:val="single" w:color="auto" w:sz="4" w:space="0"/>
                    <w:left w:val="single" w:color="000000" w:sz="4" w:space="0"/>
                    <w:bottom w:val="single" w:color="auto" w:sz="4" w:space="0"/>
                    <w:right w:val="single" w:color="000000" w:sz="4" w:space="0"/>
                  </w:tcBorders>
                  <w:noWrap w:val="0"/>
                  <w:vAlign w:val="center"/>
                </w:tcPr>
                <w:p w14:paraId="46971624">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11.051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4" w:type="pct"/>
                  <w:vMerge w:val="continue"/>
                  <w:tcBorders>
                    <w:left w:val="single" w:color="000000" w:sz="4" w:space="0"/>
                    <w:right w:val="single" w:color="000000" w:sz="4" w:space="0"/>
                  </w:tcBorders>
                  <w:noWrap w:val="0"/>
                  <w:vAlign w:val="center"/>
                </w:tcPr>
                <w:p w14:paraId="197FEE14">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1CA54013">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auto" w:sz="4" w:space="0"/>
                    <w:right w:val="single" w:color="000000" w:sz="4" w:space="0"/>
                  </w:tcBorders>
                  <w:noWrap w:val="0"/>
                  <w:vAlign w:val="center"/>
                </w:tcPr>
                <w:p w14:paraId="5ACAFB6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11.051</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36C02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bottom w:val="single" w:color="000000" w:sz="4" w:space="0"/>
                    <w:right w:val="single" w:color="000000" w:sz="4" w:space="0"/>
                  </w:tcBorders>
                  <w:noWrap w:val="0"/>
                  <w:vAlign w:val="center"/>
                </w:tcPr>
                <w:p w14:paraId="7A9DBB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439413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废pH调整剂包装桶</w:t>
                  </w:r>
                </w:p>
              </w:tc>
              <w:tc>
                <w:tcPr>
                  <w:tcW w:w="215" w:type="pct"/>
                  <w:vMerge w:val="continue"/>
                  <w:tcBorders>
                    <w:left w:val="single" w:color="000000" w:sz="4" w:space="0"/>
                    <w:right w:val="single" w:color="000000" w:sz="4" w:space="0"/>
                  </w:tcBorders>
                  <w:noWrap w:val="0"/>
                  <w:vAlign w:val="center"/>
                </w:tcPr>
                <w:p w14:paraId="6C3BA612">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5A0DE4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654833E6">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硫酸</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4A524A3F">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28BD8BF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2313838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0.008</w:t>
                  </w:r>
                </w:p>
              </w:tc>
              <w:tc>
                <w:tcPr>
                  <w:tcW w:w="424" w:type="pct"/>
                  <w:vMerge w:val="continue"/>
                  <w:tcBorders>
                    <w:left w:val="single" w:color="000000" w:sz="4" w:space="0"/>
                    <w:right w:val="single" w:color="000000" w:sz="4" w:space="0"/>
                  </w:tcBorders>
                  <w:noWrap w:val="0"/>
                  <w:vAlign w:val="center"/>
                </w:tcPr>
                <w:p w14:paraId="7B2435EA">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0EF60CA5">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3B27327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0.008</w:t>
                  </w:r>
                </w:p>
              </w:tc>
            </w:tr>
            <w:tr w14:paraId="6A0B7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000000" w:sz="4" w:space="0"/>
                    <w:left w:val="single" w:color="000000" w:sz="4" w:space="0"/>
                    <w:right w:val="single" w:color="000000" w:sz="4" w:space="0"/>
                  </w:tcBorders>
                  <w:noWrap w:val="0"/>
                  <w:vAlign w:val="center"/>
                </w:tcPr>
                <w:p w14:paraId="393F09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设备维护保养</w:t>
                  </w:r>
                  <w:r>
                    <w:rPr>
                      <w:rFonts w:hint="default" w:ascii="Times New Roman" w:hAnsi="Times New Roman" w:eastAsia="宋体" w:cs="Times New Roman"/>
                      <w:i w:val="0"/>
                      <w:iCs w:val="0"/>
                      <w:color w:val="auto"/>
                      <w:kern w:val="0"/>
                      <w:sz w:val="21"/>
                      <w:szCs w:val="21"/>
                      <w:highlight w:val="none"/>
                      <w:u w:val="none"/>
                      <w:lang w:val="en-US" w:eastAsia="zh-CN" w:bidi="ar"/>
                    </w:rPr>
                    <w:t>设备保养</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B061B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废机油桶</w:t>
                  </w:r>
                </w:p>
              </w:tc>
              <w:tc>
                <w:tcPr>
                  <w:tcW w:w="215" w:type="pct"/>
                  <w:vMerge w:val="continue"/>
                  <w:tcBorders>
                    <w:left w:val="single" w:color="000000" w:sz="4" w:space="0"/>
                    <w:right w:val="single" w:color="000000" w:sz="4" w:space="0"/>
                  </w:tcBorders>
                  <w:noWrap w:val="0"/>
                  <w:vAlign w:val="center"/>
                </w:tcPr>
                <w:p w14:paraId="0CAA7F49">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266C4A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1A2EC20D">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41656B1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9A6C53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I</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2D5EFEC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424" w:type="pct"/>
                  <w:vMerge w:val="continue"/>
                  <w:tcBorders>
                    <w:left w:val="single" w:color="000000" w:sz="4" w:space="0"/>
                    <w:right w:val="single" w:color="000000" w:sz="4" w:space="0"/>
                  </w:tcBorders>
                  <w:noWrap w:val="0"/>
                  <w:vAlign w:val="center"/>
                </w:tcPr>
                <w:p w14:paraId="02E49335">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41FDF442">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5FC4861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0.02</w:t>
                  </w:r>
                </w:p>
              </w:tc>
            </w:tr>
            <w:tr w14:paraId="450C8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46D4E5D3">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7FCFEF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废机油</w:t>
                  </w:r>
                </w:p>
              </w:tc>
              <w:tc>
                <w:tcPr>
                  <w:tcW w:w="215" w:type="pct"/>
                  <w:vMerge w:val="continue"/>
                  <w:tcBorders>
                    <w:left w:val="single" w:color="000000" w:sz="4" w:space="0"/>
                    <w:right w:val="single" w:color="000000" w:sz="4" w:space="0"/>
                  </w:tcBorders>
                  <w:noWrap w:val="0"/>
                  <w:vAlign w:val="center"/>
                </w:tcPr>
                <w:p w14:paraId="544EF84A">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187D07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w:t>
                  </w:r>
                  <w:r>
                    <w:rPr>
                      <w:rFonts w:hint="eastAsia" w:cs="Times New Roman"/>
                      <w:i w:val="0"/>
                      <w:iCs w:val="0"/>
                      <w:color w:val="auto"/>
                      <w:kern w:val="0"/>
                      <w:sz w:val="21"/>
                      <w:szCs w:val="21"/>
                      <w:highlight w:val="none"/>
                      <w:u w:val="none"/>
                      <w:lang w:val="en-US" w:eastAsia="zh-CN" w:bidi="ar"/>
                    </w:rPr>
                    <w:t>18</w:t>
                  </w:r>
                  <w:r>
                    <w:rPr>
                      <w:rFonts w:hint="default" w:ascii="Times New Roman" w:hAnsi="Times New Roman" w:eastAsia="宋体" w:cs="Times New Roman"/>
                      <w:i w:val="0"/>
                      <w:iCs w:val="0"/>
                      <w:color w:val="auto"/>
                      <w:kern w:val="0"/>
                      <w:sz w:val="21"/>
                      <w:szCs w:val="21"/>
                      <w:highlight w:val="none"/>
                      <w:u w:val="none"/>
                      <w:lang w:val="en-US" w:eastAsia="zh-CN" w:bidi="ar"/>
                    </w:rPr>
                    <w:t>-08</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2BE241AD">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AE5B72F">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液态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66C48ACD">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T，I</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F715B6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0.8</w:t>
                  </w:r>
                </w:p>
              </w:tc>
              <w:tc>
                <w:tcPr>
                  <w:tcW w:w="424" w:type="pct"/>
                  <w:vMerge w:val="continue"/>
                  <w:tcBorders>
                    <w:left w:val="single" w:color="000000" w:sz="4" w:space="0"/>
                    <w:right w:val="single" w:color="000000" w:sz="4" w:space="0"/>
                  </w:tcBorders>
                  <w:noWrap w:val="0"/>
                  <w:vAlign w:val="center"/>
                </w:tcPr>
                <w:p w14:paraId="5CE8860A">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4679819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1774EC3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0.8</w:t>
                  </w:r>
                </w:p>
              </w:tc>
            </w:tr>
            <w:tr w14:paraId="3187C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55AA06D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0EEBB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废含油抹布手套</w:t>
                  </w:r>
                </w:p>
              </w:tc>
              <w:tc>
                <w:tcPr>
                  <w:tcW w:w="215" w:type="pct"/>
                  <w:vMerge w:val="continue"/>
                  <w:tcBorders>
                    <w:left w:val="single" w:color="000000" w:sz="4" w:space="0"/>
                    <w:right w:val="single" w:color="000000" w:sz="4" w:space="0"/>
                  </w:tcBorders>
                  <w:noWrap w:val="0"/>
                  <w:vAlign w:val="center"/>
                </w:tcPr>
                <w:p w14:paraId="39779CA6">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556435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5DCFB69D">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33D931EE">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23C7AFB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6377C8B">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424" w:type="pct"/>
                  <w:vMerge w:val="continue"/>
                  <w:tcBorders>
                    <w:left w:val="single" w:color="000000" w:sz="4" w:space="0"/>
                    <w:right w:val="single" w:color="000000" w:sz="4" w:space="0"/>
                  </w:tcBorders>
                  <w:noWrap w:val="0"/>
                  <w:vAlign w:val="center"/>
                </w:tcPr>
                <w:p w14:paraId="51A4D61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3366269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1A77E39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0.05</w:t>
                  </w:r>
                </w:p>
              </w:tc>
            </w:tr>
            <w:tr w14:paraId="5809D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top w:val="single" w:color="000000" w:sz="4" w:space="0"/>
                    <w:left w:val="single" w:color="000000" w:sz="4" w:space="0"/>
                    <w:right w:val="single" w:color="000000" w:sz="4" w:space="0"/>
                  </w:tcBorders>
                  <w:noWrap w:val="0"/>
                  <w:vAlign w:val="center"/>
                </w:tcPr>
                <w:p w14:paraId="1078D0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钣金成型</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24BC73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废液压油桶</w:t>
                  </w:r>
                </w:p>
              </w:tc>
              <w:tc>
                <w:tcPr>
                  <w:tcW w:w="215" w:type="pct"/>
                  <w:vMerge w:val="continue"/>
                  <w:tcBorders>
                    <w:left w:val="single" w:color="000000" w:sz="4" w:space="0"/>
                    <w:right w:val="single" w:color="000000" w:sz="4" w:space="0"/>
                  </w:tcBorders>
                  <w:noWrap w:val="0"/>
                  <w:vAlign w:val="center"/>
                </w:tcPr>
                <w:p w14:paraId="38F50BD3">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321F5F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3C9DC96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67CE894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76D1FD6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T，I</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3C689FDC">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0.015</w:t>
                  </w:r>
                </w:p>
              </w:tc>
              <w:tc>
                <w:tcPr>
                  <w:tcW w:w="424" w:type="pct"/>
                  <w:vMerge w:val="continue"/>
                  <w:tcBorders>
                    <w:left w:val="single" w:color="000000" w:sz="4" w:space="0"/>
                    <w:right w:val="single" w:color="000000" w:sz="4" w:space="0"/>
                  </w:tcBorders>
                  <w:noWrap w:val="0"/>
                  <w:vAlign w:val="center"/>
                </w:tcPr>
                <w:p w14:paraId="4C047119">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5C2AD4D6">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68BA804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0.015</w:t>
                  </w:r>
                </w:p>
              </w:tc>
            </w:tr>
            <w:tr w14:paraId="2CC29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611DC2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398990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废液压油</w:t>
                  </w:r>
                </w:p>
              </w:tc>
              <w:tc>
                <w:tcPr>
                  <w:tcW w:w="215" w:type="pct"/>
                  <w:vMerge w:val="continue"/>
                  <w:tcBorders>
                    <w:left w:val="single" w:color="000000" w:sz="4" w:space="0"/>
                    <w:right w:val="single" w:color="000000" w:sz="4" w:space="0"/>
                  </w:tcBorders>
                  <w:noWrap w:val="0"/>
                  <w:vAlign w:val="center"/>
                </w:tcPr>
                <w:p w14:paraId="0C0A41B7">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2CB3DE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w:t>
                  </w:r>
                  <w:r>
                    <w:rPr>
                      <w:rFonts w:hint="eastAsia" w:cs="Times New Roman"/>
                      <w:i w:val="0"/>
                      <w:iCs w:val="0"/>
                      <w:color w:val="auto"/>
                      <w:kern w:val="0"/>
                      <w:sz w:val="21"/>
                      <w:szCs w:val="21"/>
                      <w:highlight w:val="none"/>
                      <w:u w:val="none"/>
                      <w:lang w:val="en-US" w:eastAsia="zh-CN" w:bidi="ar"/>
                    </w:rPr>
                    <w:t>18</w:t>
                  </w:r>
                  <w:r>
                    <w:rPr>
                      <w:rFonts w:hint="default" w:ascii="Times New Roman" w:hAnsi="Times New Roman" w:eastAsia="宋体" w:cs="Times New Roman"/>
                      <w:i w:val="0"/>
                      <w:iCs w:val="0"/>
                      <w:color w:val="auto"/>
                      <w:kern w:val="0"/>
                      <w:sz w:val="21"/>
                      <w:szCs w:val="21"/>
                      <w:highlight w:val="none"/>
                      <w:u w:val="none"/>
                      <w:lang w:val="en-US" w:eastAsia="zh-CN" w:bidi="ar"/>
                    </w:rPr>
                    <w:t>-08</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3DA473E8">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矿物油</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25EF07DF">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液态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5A90EE89">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698F16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0.6</w:t>
                  </w:r>
                </w:p>
              </w:tc>
              <w:tc>
                <w:tcPr>
                  <w:tcW w:w="424" w:type="pct"/>
                  <w:vMerge w:val="continue"/>
                  <w:tcBorders>
                    <w:left w:val="single" w:color="000000" w:sz="4" w:space="0"/>
                    <w:right w:val="single" w:color="000000" w:sz="4" w:space="0"/>
                  </w:tcBorders>
                  <w:noWrap w:val="0"/>
                  <w:vAlign w:val="center"/>
                </w:tcPr>
                <w:p w14:paraId="5AF3147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61D0EAA5">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noWrap w:val="0"/>
                  <w:vAlign w:val="center"/>
                </w:tcPr>
                <w:p w14:paraId="5A5BD953">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0.6</w:t>
                  </w:r>
                </w:p>
              </w:tc>
            </w:tr>
            <w:tr w14:paraId="594E9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noWrap w:val="0"/>
                  <w:vAlign w:val="center"/>
                </w:tcPr>
                <w:p w14:paraId="6114BD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生产过程</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4E77DE9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废原料桶</w:t>
                  </w:r>
                </w:p>
              </w:tc>
              <w:tc>
                <w:tcPr>
                  <w:tcW w:w="215" w:type="pct"/>
                  <w:vMerge w:val="continue"/>
                  <w:tcBorders>
                    <w:left w:val="single" w:color="000000" w:sz="4" w:space="0"/>
                    <w:right w:val="single" w:color="000000" w:sz="4" w:space="0"/>
                  </w:tcBorders>
                  <w:noWrap w:val="0"/>
                  <w:vAlign w:val="center"/>
                </w:tcPr>
                <w:p w14:paraId="0BA0E8EC">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09FAB39B">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kern w:val="0"/>
                      <w:szCs w:val="21"/>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204841D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有机树脂、有机溶剂</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5A065138">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D9018A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0E0EA9B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0.199</w:t>
                  </w:r>
                </w:p>
              </w:tc>
              <w:tc>
                <w:tcPr>
                  <w:tcW w:w="424" w:type="pct"/>
                  <w:vMerge w:val="continue"/>
                  <w:tcBorders>
                    <w:left w:val="single" w:color="000000" w:sz="4" w:space="0"/>
                    <w:right w:val="single" w:color="000000" w:sz="4" w:space="0"/>
                  </w:tcBorders>
                  <w:noWrap w:val="0"/>
                  <w:vAlign w:val="center"/>
                </w:tcPr>
                <w:p w14:paraId="64B1455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3D7918D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0334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0.199</w:t>
                  </w:r>
                </w:p>
              </w:tc>
            </w:tr>
            <w:tr w14:paraId="61C5A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noWrap w:val="0"/>
                  <w:vAlign w:val="center"/>
                </w:tcPr>
                <w:p w14:paraId="753844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喷漆工序</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3219F">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喷枪清洗液</w:t>
                  </w:r>
                </w:p>
              </w:tc>
              <w:tc>
                <w:tcPr>
                  <w:tcW w:w="215" w:type="pct"/>
                  <w:vMerge w:val="continue"/>
                  <w:tcBorders>
                    <w:left w:val="single" w:color="000000" w:sz="4" w:space="0"/>
                    <w:right w:val="single" w:color="000000" w:sz="4" w:space="0"/>
                  </w:tcBorders>
                  <w:shd w:val="clear" w:color="auto" w:fill="auto"/>
                  <w:noWrap w:val="0"/>
                  <w:vAlign w:val="center"/>
                </w:tcPr>
                <w:p w14:paraId="734C6A4A">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B2372">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900-402-06</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49301">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清洗剂</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749B0">
                  <w:pPr>
                    <w:widowControl/>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4822E">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T、I</w:t>
                  </w:r>
                  <w:r>
                    <w:rPr>
                      <w:rFonts w:hint="eastAsia"/>
                      <w:color w:val="auto"/>
                      <w:szCs w:val="21"/>
                      <w:lang w:eastAsia="zh-CN"/>
                    </w:rPr>
                    <w:t>、</w:t>
                  </w:r>
                  <w:r>
                    <w:rPr>
                      <w:rFonts w:hint="eastAsia"/>
                      <w:color w:val="auto"/>
                      <w:szCs w:val="21"/>
                      <w:lang w:val="en-US" w:eastAsia="zh-CN"/>
                    </w:rPr>
                    <w:t>R</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2B32C">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0.042</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4" w:type="pct"/>
                  <w:vMerge w:val="continue"/>
                  <w:tcBorders>
                    <w:left w:val="single" w:color="000000" w:sz="4" w:space="0"/>
                    <w:right w:val="single" w:color="000000" w:sz="4" w:space="0"/>
                  </w:tcBorders>
                  <w:shd w:val="clear" w:color="auto" w:fill="auto"/>
                  <w:noWrap w:val="0"/>
                  <w:vAlign w:val="center"/>
                </w:tcPr>
                <w:p w14:paraId="1B4F2CFC">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552" w:type="pct"/>
                  <w:vMerge w:val="continue"/>
                  <w:tcBorders>
                    <w:left w:val="single" w:color="000000" w:sz="4" w:space="0"/>
                    <w:right w:val="single" w:color="000000" w:sz="4" w:space="0"/>
                  </w:tcBorders>
                  <w:shd w:val="clear" w:color="auto" w:fill="auto"/>
                  <w:noWrap w:val="0"/>
                  <w:vAlign w:val="center"/>
                </w:tcPr>
                <w:p w14:paraId="1B02C122">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EF29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0.042</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3977D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noWrap w:val="0"/>
                  <w:vAlign w:val="center"/>
                </w:tcPr>
                <w:p w14:paraId="69DF39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喷粉工序</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05851617">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lang w:val="en-US" w:eastAsia="zh-CN"/>
                    </w:rPr>
                    <w:t>废静电喷粉滤芯</w:t>
                  </w:r>
                </w:p>
              </w:tc>
              <w:tc>
                <w:tcPr>
                  <w:tcW w:w="215" w:type="pct"/>
                  <w:vMerge w:val="continue"/>
                  <w:tcBorders>
                    <w:left w:val="single" w:color="000000" w:sz="4" w:space="0"/>
                    <w:right w:val="single" w:color="000000" w:sz="4" w:space="0"/>
                  </w:tcBorders>
                  <w:noWrap w:val="0"/>
                  <w:vAlign w:val="center"/>
                </w:tcPr>
                <w:p w14:paraId="3F35D944">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69A06D98">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193C0286">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有机树脂</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E6BA3F2">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386153B4">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color w:val="auto"/>
                      <w:szCs w:val="21"/>
                    </w:rPr>
                    <w:t>T</w:t>
                  </w:r>
                  <w:r>
                    <w:rPr>
                      <w:rFonts w:hint="eastAsia"/>
                      <w:color w:val="auto"/>
                      <w:szCs w:val="21"/>
                      <w:lang w:val="en-US" w:eastAsia="zh-CN"/>
                    </w:rPr>
                    <w: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F887E7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0.096</w:t>
                  </w:r>
                </w:p>
              </w:tc>
              <w:tc>
                <w:tcPr>
                  <w:tcW w:w="424" w:type="pct"/>
                  <w:vMerge w:val="continue"/>
                  <w:tcBorders>
                    <w:left w:val="single" w:color="000000" w:sz="4" w:space="0"/>
                    <w:right w:val="single" w:color="000000" w:sz="4" w:space="0"/>
                  </w:tcBorders>
                  <w:noWrap w:val="0"/>
                  <w:vAlign w:val="center"/>
                </w:tcPr>
                <w:p w14:paraId="3F06129A">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1999CB59">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65287">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0.096</w:t>
                  </w:r>
                </w:p>
              </w:tc>
            </w:tr>
            <w:tr w14:paraId="6729F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left w:val="single" w:color="000000" w:sz="4" w:space="0"/>
                    <w:right w:val="single" w:color="000000" w:sz="4" w:space="0"/>
                  </w:tcBorders>
                  <w:noWrap w:val="0"/>
                  <w:vAlign w:val="center"/>
                </w:tcPr>
                <w:p w14:paraId="49EE49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废气处理</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66C2515B">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废过滤棉</w:t>
                  </w:r>
                </w:p>
              </w:tc>
              <w:tc>
                <w:tcPr>
                  <w:tcW w:w="215" w:type="pct"/>
                  <w:vMerge w:val="continue"/>
                  <w:tcBorders>
                    <w:left w:val="single" w:color="000000" w:sz="4" w:space="0"/>
                    <w:right w:val="single" w:color="000000" w:sz="4" w:space="0"/>
                  </w:tcBorders>
                  <w:noWrap w:val="0"/>
                  <w:vAlign w:val="center"/>
                </w:tcPr>
                <w:p w14:paraId="25F113C8">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35D93A70">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900-041-49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6B4C342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有机物</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3770198">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77FE0D2">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color w:val="auto"/>
                      <w:szCs w:val="21"/>
                    </w:rPr>
                    <w:t>T</w:t>
                  </w:r>
                  <w:r>
                    <w:rPr>
                      <w:rFonts w:hint="eastAsia"/>
                      <w:color w:val="auto"/>
                      <w:szCs w:val="21"/>
                      <w:lang w:val="en-US" w:eastAsia="zh-CN"/>
                    </w:rPr>
                    <w:t>/In</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AE829AE">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0.12</w:t>
                  </w:r>
                </w:p>
              </w:tc>
              <w:tc>
                <w:tcPr>
                  <w:tcW w:w="424" w:type="pct"/>
                  <w:vMerge w:val="continue"/>
                  <w:tcBorders>
                    <w:left w:val="single" w:color="000000" w:sz="4" w:space="0"/>
                    <w:right w:val="single" w:color="000000" w:sz="4" w:space="0"/>
                  </w:tcBorders>
                  <w:noWrap w:val="0"/>
                  <w:vAlign w:val="center"/>
                </w:tcPr>
                <w:p w14:paraId="1C8F95F2">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24D707F7">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1E8E3">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0.12</w:t>
                  </w:r>
                </w:p>
              </w:tc>
            </w:tr>
            <w:tr w14:paraId="06492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004751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B2A142D">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废活性炭</w:t>
                  </w:r>
                </w:p>
              </w:tc>
              <w:tc>
                <w:tcPr>
                  <w:tcW w:w="215" w:type="pct"/>
                  <w:vMerge w:val="continue"/>
                  <w:tcBorders>
                    <w:left w:val="single" w:color="000000" w:sz="4" w:space="0"/>
                    <w:right w:val="single" w:color="000000" w:sz="4" w:space="0"/>
                  </w:tcBorders>
                  <w:noWrap w:val="0"/>
                  <w:vAlign w:val="center"/>
                </w:tcPr>
                <w:p w14:paraId="1BB4D3D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50FC1609">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Cs/>
                      <w:color w:val="auto"/>
                      <w:szCs w:val="21"/>
                    </w:rPr>
                    <w:t>900-039-49</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5000CDBA">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活性炭</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1413B31B">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4909C69">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color w:val="auto"/>
                      <w:szCs w:val="21"/>
                    </w:rPr>
                    <w:t>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6F294FB9">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29.028</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4" w:type="pct"/>
                  <w:vMerge w:val="continue"/>
                  <w:tcBorders>
                    <w:left w:val="single" w:color="000000" w:sz="4" w:space="0"/>
                    <w:right w:val="single" w:color="000000" w:sz="4" w:space="0"/>
                  </w:tcBorders>
                  <w:noWrap w:val="0"/>
                  <w:vAlign w:val="center"/>
                </w:tcPr>
                <w:p w14:paraId="2EA4CF10">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68349A9C">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BFA3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29.028</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0356A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tcBorders>
                    <w:left w:val="single" w:color="000000" w:sz="4" w:space="0"/>
                    <w:right w:val="single" w:color="000000" w:sz="4" w:space="0"/>
                  </w:tcBorders>
                  <w:shd w:val="clear" w:color="auto" w:fill="auto"/>
                  <w:noWrap w:val="0"/>
                  <w:vAlign w:val="center"/>
                </w:tcPr>
                <w:p w14:paraId="33BD52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喷粉工序</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A3E9B">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color w:val="auto"/>
                      <w:szCs w:val="21"/>
                      <w:lang w:val="en-US" w:eastAsia="zh-CN"/>
                    </w:rPr>
                    <w:t>废粉末涂料</w:t>
                  </w:r>
                </w:p>
              </w:tc>
              <w:tc>
                <w:tcPr>
                  <w:tcW w:w="215" w:type="pct"/>
                  <w:vMerge w:val="continue"/>
                  <w:tcBorders>
                    <w:left w:val="single" w:color="000000" w:sz="4" w:space="0"/>
                    <w:right w:val="single" w:color="000000" w:sz="4" w:space="0"/>
                  </w:tcBorders>
                  <w:noWrap w:val="0"/>
                  <w:vAlign w:val="center"/>
                </w:tcPr>
                <w:p w14:paraId="1B526447">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53F4C">
                  <w:pPr>
                    <w:pStyle w:val="109"/>
                    <w:pageBreakBefore w:val="0"/>
                    <w:tabs>
                      <w:tab w:val="left" w:pos="-2848"/>
                    </w:tabs>
                    <w:wordWrap w:val="0"/>
                    <w:topLinePunct/>
                    <w:bidi w:val="0"/>
                    <w:spacing w:beforeAutospacing="0" w:afterAutospacing="0"/>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color w:val="auto"/>
                      <w:szCs w:val="21"/>
                      <w:lang w:val="en-US" w:eastAsia="zh-CN"/>
                    </w:rPr>
                    <w:t>待鉴定</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7258F">
                  <w:pPr>
                    <w:widowControl/>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有机树脂</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85272">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FC2D7">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4AC83">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3.465</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4" w:type="pct"/>
                  <w:vMerge w:val="continue"/>
                  <w:tcBorders>
                    <w:left w:val="single" w:color="000000" w:sz="4" w:space="0"/>
                    <w:right w:val="single" w:color="000000" w:sz="4" w:space="0"/>
                  </w:tcBorders>
                  <w:noWrap w:val="0"/>
                  <w:vAlign w:val="center"/>
                </w:tcPr>
                <w:p w14:paraId="30108725">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087609A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49FB6">
                  <w:pPr>
                    <w:keepNext w:val="0"/>
                    <w:keepLines w:val="0"/>
                    <w:widowControl/>
                    <w:suppressLineNumbers w:val="0"/>
                    <w:jc w:val="center"/>
                    <w:textAlignment w:val="center"/>
                    <w:rPr>
                      <w:rFonts w:hint="eastAsia"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3.465</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1C493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restart"/>
                  <w:tcBorders>
                    <w:left w:val="single" w:color="000000" w:sz="4" w:space="0"/>
                    <w:right w:val="single" w:color="000000" w:sz="4" w:space="0"/>
                  </w:tcBorders>
                  <w:noWrap w:val="0"/>
                  <w:vAlign w:val="center"/>
                </w:tcPr>
                <w:p w14:paraId="03E1AC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废气处理</w:t>
                  </w: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5F9BB4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u w:val="none"/>
                      <w:lang w:val="en-US" w:eastAsia="zh-CN" w:bidi="ar"/>
                    </w:rPr>
                    <w:t>废催化剂</w:t>
                  </w:r>
                </w:p>
              </w:tc>
              <w:tc>
                <w:tcPr>
                  <w:tcW w:w="215" w:type="pct"/>
                  <w:vMerge w:val="continue"/>
                  <w:tcBorders>
                    <w:left w:val="single" w:color="000000" w:sz="4" w:space="0"/>
                    <w:right w:val="single" w:color="000000" w:sz="4" w:space="0"/>
                  </w:tcBorders>
                  <w:noWrap w:val="0"/>
                  <w:vAlign w:val="center"/>
                </w:tcPr>
                <w:p w14:paraId="293F2E06">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157A58BD">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900-049-50</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051E99C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有机物</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791150A">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31BB037E">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color w:val="auto"/>
                      <w:szCs w:val="21"/>
                    </w:rPr>
                    <w:t>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5B9469A8">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0.16</w:t>
                  </w:r>
                </w:p>
              </w:tc>
              <w:tc>
                <w:tcPr>
                  <w:tcW w:w="424" w:type="pct"/>
                  <w:vMerge w:val="continue"/>
                  <w:tcBorders>
                    <w:left w:val="single" w:color="000000" w:sz="4" w:space="0"/>
                    <w:right w:val="single" w:color="000000" w:sz="4" w:space="0"/>
                  </w:tcBorders>
                  <w:noWrap w:val="0"/>
                  <w:vAlign w:val="center"/>
                </w:tcPr>
                <w:p w14:paraId="637DA294">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228C6E26">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EAF5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0.16</w:t>
                  </w:r>
                </w:p>
              </w:tc>
            </w:tr>
            <w:tr w14:paraId="31FA7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69" w:hRule="atLeast"/>
                <w:jc w:val="center"/>
              </w:trPr>
              <w:tc>
                <w:tcPr>
                  <w:tcW w:w="382" w:type="pct"/>
                  <w:vMerge w:val="continue"/>
                  <w:tcBorders>
                    <w:left w:val="single" w:color="000000" w:sz="4" w:space="0"/>
                    <w:right w:val="single" w:color="000000" w:sz="4" w:space="0"/>
                  </w:tcBorders>
                  <w:noWrap w:val="0"/>
                  <w:vAlign w:val="center"/>
                </w:tcPr>
                <w:p w14:paraId="07111FBF">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510" w:type="pct"/>
                  <w:tcBorders>
                    <w:top w:val="single" w:color="000000" w:sz="4" w:space="0"/>
                    <w:left w:val="single" w:color="000000" w:sz="4" w:space="0"/>
                    <w:bottom w:val="single" w:color="000000" w:sz="4" w:space="0"/>
                    <w:right w:val="single" w:color="000000" w:sz="4" w:space="0"/>
                  </w:tcBorders>
                  <w:noWrap w:val="0"/>
                  <w:vAlign w:val="center"/>
                </w:tcPr>
                <w:p w14:paraId="1796823A">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cs="宋体"/>
                      <w:i w:val="0"/>
                      <w:iCs w:val="0"/>
                      <w:color w:val="auto"/>
                      <w:kern w:val="0"/>
                      <w:sz w:val="21"/>
                      <w:szCs w:val="21"/>
                      <w:u w:val="none"/>
                      <w:lang w:val="en-US" w:eastAsia="zh-CN" w:bidi="ar"/>
                    </w:rPr>
                    <w:t>喷淋废液及沉渣</w:t>
                  </w:r>
                </w:p>
              </w:tc>
              <w:tc>
                <w:tcPr>
                  <w:tcW w:w="215" w:type="pct"/>
                  <w:vMerge w:val="continue"/>
                  <w:tcBorders>
                    <w:left w:val="single" w:color="000000" w:sz="4" w:space="0"/>
                    <w:right w:val="single" w:color="000000" w:sz="4" w:space="0"/>
                  </w:tcBorders>
                  <w:noWrap w:val="0"/>
                  <w:vAlign w:val="center"/>
                </w:tcPr>
                <w:p w14:paraId="206707F8">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44" w:type="pct"/>
                  <w:tcBorders>
                    <w:top w:val="single" w:color="000000" w:sz="4" w:space="0"/>
                    <w:left w:val="single" w:color="000000" w:sz="4" w:space="0"/>
                    <w:bottom w:val="single" w:color="000000" w:sz="4" w:space="0"/>
                    <w:right w:val="single" w:color="000000" w:sz="4" w:space="0"/>
                  </w:tcBorders>
                  <w:noWrap w:val="0"/>
                  <w:vAlign w:val="center"/>
                </w:tcPr>
                <w:p w14:paraId="25B5D2D1">
                  <w:pPr>
                    <w:pStyle w:val="109"/>
                    <w:pageBreakBefore w:val="0"/>
                    <w:tabs>
                      <w:tab w:val="left" w:pos="-2848"/>
                    </w:tabs>
                    <w:wordWrap w:val="0"/>
                    <w:topLinePunct/>
                    <w:bidi w:val="0"/>
                    <w:spacing w:beforeAutospacing="0" w:afterAutospacing="0"/>
                    <w:rPr>
                      <w:rFonts w:hint="default" w:ascii="Times New Roman" w:hAnsi="Times New Roman"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900-252-12</w:t>
                  </w:r>
                </w:p>
              </w:tc>
              <w:tc>
                <w:tcPr>
                  <w:tcW w:w="446" w:type="pct"/>
                  <w:tcBorders>
                    <w:top w:val="single" w:color="000000" w:sz="4" w:space="0"/>
                    <w:left w:val="single" w:color="000000" w:sz="4" w:space="0"/>
                    <w:bottom w:val="single" w:color="000000" w:sz="4" w:space="0"/>
                    <w:right w:val="single" w:color="000000" w:sz="4" w:space="0"/>
                  </w:tcBorders>
                  <w:noWrap w:val="0"/>
                  <w:vAlign w:val="center"/>
                </w:tcPr>
                <w:p w14:paraId="7AA1DDB9">
                  <w:pPr>
                    <w:widowControl/>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有机物</w:t>
                  </w:r>
                </w:p>
              </w:tc>
              <w:tc>
                <w:tcPr>
                  <w:tcW w:w="308" w:type="pct"/>
                  <w:tcBorders>
                    <w:top w:val="single" w:color="000000" w:sz="4" w:space="0"/>
                    <w:left w:val="single" w:color="000000" w:sz="4" w:space="0"/>
                    <w:bottom w:val="single" w:color="000000" w:sz="4" w:space="0"/>
                    <w:right w:val="single" w:color="000000" w:sz="4" w:space="0"/>
                  </w:tcBorders>
                  <w:noWrap w:val="0"/>
                  <w:vAlign w:val="center"/>
                </w:tcPr>
                <w:p w14:paraId="7377721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w:t>
                  </w:r>
                  <w:r>
                    <w:rPr>
                      <w:rFonts w:hint="eastAsia"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0DCF5CE">
                  <w:pPr>
                    <w:widowControl/>
                    <w:spacing w:line="240" w:lineRule="auto"/>
                    <w:jc w:val="center"/>
                    <w:rPr>
                      <w:color w:val="auto"/>
                      <w:szCs w:val="21"/>
                    </w:rPr>
                  </w:pPr>
                  <w:r>
                    <w:rPr>
                      <w:color w:val="auto"/>
                      <w:szCs w:val="21"/>
                    </w:rPr>
                    <w:t>T</w:t>
                  </w:r>
                </w:p>
              </w:tc>
              <w:tc>
                <w:tcPr>
                  <w:tcW w:w="484" w:type="pct"/>
                  <w:tcBorders>
                    <w:top w:val="single" w:color="000000" w:sz="4" w:space="0"/>
                    <w:left w:val="single" w:color="000000" w:sz="4" w:space="0"/>
                    <w:bottom w:val="single" w:color="000000" w:sz="4" w:space="0"/>
                    <w:right w:val="single" w:color="000000" w:sz="4" w:space="0"/>
                  </w:tcBorders>
                  <w:noWrap w:val="0"/>
                  <w:vAlign w:val="center"/>
                </w:tcPr>
                <w:p w14:paraId="0B5481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262.726</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24" w:type="pct"/>
                  <w:vMerge w:val="continue"/>
                  <w:tcBorders>
                    <w:left w:val="single" w:color="000000" w:sz="4" w:space="0"/>
                    <w:right w:val="single" w:color="000000" w:sz="4" w:space="0"/>
                  </w:tcBorders>
                  <w:noWrap w:val="0"/>
                  <w:vAlign w:val="center"/>
                </w:tcPr>
                <w:p w14:paraId="586974B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552" w:type="pct"/>
                  <w:vMerge w:val="continue"/>
                  <w:tcBorders>
                    <w:left w:val="single" w:color="000000" w:sz="4" w:space="0"/>
                    <w:right w:val="single" w:color="000000" w:sz="4" w:space="0"/>
                  </w:tcBorders>
                  <w:noWrap w:val="0"/>
                  <w:vAlign w:val="center"/>
                </w:tcPr>
                <w:p w14:paraId="6C455011">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656D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262.726</w:t>
                  </w:r>
                  <w:r>
                    <w:rPr>
                      <w:rFonts w:hint="default" w:ascii="Times New Roman" w:hAnsi="Times New Roman" w:eastAsia="宋体" w:cs="Times New Roman"/>
                      <w:i w:val="0"/>
                      <w:iCs w:val="0"/>
                      <w:color w:val="auto"/>
                      <w:kern w:val="0"/>
                      <w:sz w:val="21"/>
                      <w:szCs w:val="21"/>
                      <w:u w:val="none"/>
                      <w:lang w:val="en-US" w:eastAsia="zh-CN" w:bidi="ar"/>
                    </w:rPr>
                    <w:t xml:space="preserve"> </w:t>
                  </w:r>
                </w:p>
              </w:tc>
            </w:tr>
          </w:tbl>
          <w:p w14:paraId="77941C0C">
            <w:pPr>
              <w:pStyle w:val="43"/>
              <w:spacing w:after="0" w:line="120" w:lineRule="auto"/>
              <w:ind w:firstLine="482"/>
              <w:rPr>
                <w:rFonts w:hint="default" w:ascii="Times New Roman" w:hAnsi="Times New Roman" w:eastAsia="宋体" w:cs="Times New Roman"/>
                <w:b/>
                <w:color w:val="auto"/>
                <w:szCs w:val="21"/>
                <w:highlight w:val="none"/>
              </w:rPr>
            </w:pPr>
          </w:p>
          <w:p w14:paraId="248A027A">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表4-3</w:t>
            </w:r>
            <w:r>
              <w:rPr>
                <w:rFonts w:hint="eastAsia" w:cs="Times New Roman"/>
                <w:b/>
                <w:bCs/>
                <w:color w:val="auto"/>
                <w:kern w:val="2"/>
                <w:sz w:val="21"/>
                <w:szCs w:val="21"/>
                <w:lang w:val="en-US" w:eastAsia="zh-CN" w:bidi="ar-SA"/>
              </w:rPr>
              <w:t xml:space="preserve">8 </w:t>
            </w:r>
            <w:r>
              <w:rPr>
                <w:rFonts w:hint="default" w:ascii="Times New Roman" w:hAnsi="Times New Roman" w:eastAsia="宋体" w:cs="Times New Roman"/>
                <w:b/>
                <w:bCs/>
                <w:color w:val="auto"/>
                <w:sz w:val="21"/>
                <w:szCs w:val="21"/>
                <w:highlight w:val="none"/>
                <w:lang w:val="en-US" w:eastAsia="zh-CN"/>
              </w:rPr>
              <w:t>危险废物汇总表</w:t>
            </w:r>
          </w:p>
          <w:tbl>
            <w:tblPr>
              <w:tblStyle w:val="4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848"/>
              <w:gridCol w:w="902"/>
              <w:gridCol w:w="710"/>
              <w:gridCol w:w="735"/>
              <w:gridCol w:w="660"/>
              <w:gridCol w:w="770"/>
              <w:gridCol w:w="637"/>
              <w:gridCol w:w="558"/>
              <w:gridCol w:w="616"/>
              <w:gridCol w:w="653"/>
            </w:tblGrid>
            <w:tr w14:paraId="41BE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5938EBB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危险废物名称</w:t>
                  </w:r>
                </w:p>
              </w:tc>
              <w:tc>
                <w:tcPr>
                  <w:tcW w:w="510" w:type="pct"/>
                  <w:noWrap w:val="0"/>
                  <w:vAlign w:val="center"/>
                </w:tcPr>
                <w:p w14:paraId="5F6AC92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危险废物类别</w:t>
                  </w:r>
                </w:p>
              </w:tc>
              <w:tc>
                <w:tcPr>
                  <w:tcW w:w="542" w:type="pct"/>
                  <w:noWrap w:val="0"/>
                  <w:vAlign w:val="center"/>
                </w:tcPr>
                <w:p w14:paraId="4AEC846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危险废物代码</w:t>
                  </w:r>
                </w:p>
              </w:tc>
              <w:tc>
                <w:tcPr>
                  <w:tcW w:w="427" w:type="pct"/>
                  <w:noWrap w:val="0"/>
                  <w:vAlign w:val="center"/>
                </w:tcPr>
                <w:p w14:paraId="01728D0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产生量t/a</w:t>
                  </w:r>
                </w:p>
              </w:tc>
              <w:tc>
                <w:tcPr>
                  <w:tcW w:w="442" w:type="pct"/>
                  <w:noWrap w:val="0"/>
                  <w:vAlign w:val="center"/>
                </w:tcPr>
                <w:p w14:paraId="6254471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产生工序及装置</w:t>
                  </w:r>
                </w:p>
              </w:tc>
              <w:tc>
                <w:tcPr>
                  <w:tcW w:w="397" w:type="pct"/>
                  <w:noWrap w:val="0"/>
                  <w:vAlign w:val="center"/>
                </w:tcPr>
                <w:p w14:paraId="1AD1E58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形态</w:t>
                  </w:r>
                </w:p>
              </w:tc>
              <w:tc>
                <w:tcPr>
                  <w:tcW w:w="463" w:type="pct"/>
                  <w:noWrap w:val="0"/>
                  <w:vAlign w:val="center"/>
                </w:tcPr>
                <w:p w14:paraId="7F47745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主要成分</w:t>
                  </w:r>
                </w:p>
              </w:tc>
              <w:tc>
                <w:tcPr>
                  <w:tcW w:w="383" w:type="pct"/>
                  <w:noWrap w:val="0"/>
                  <w:vAlign w:val="center"/>
                </w:tcPr>
                <w:p w14:paraId="4ABFB74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有害成分</w:t>
                  </w:r>
                </w:p>
              </w:tc>
              <w:tc>
                <w:tcPr>
                  <w:tcW w:w="335" w:type="pct"/>
                  <w:noWrap w:val="0"/>
                  <w:vAlign w:val="center"/>
                </w:tcPr>
                <w:p w14:paraId="72EBDA5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产废周期</w:t>
                  </w:r>
                </w:p>
              </w:tc>
              <w:tc>
                <w:tcPr>
                  <w:tcW w:w="370" w:type="pct"/>
                  <w:noWrap w:val="0"/>
                  <w:vAlign w:val="center"/>
                </w:tcPr>
                <w:p w14:paraId="6A31725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危险特性</w:t>
                  </w:r>
                </w:p>
              </w:tc>
              <w:tc>
                <w:tcPr>
                  <w:tcW w:w="392" w:type="pct"/>
                  <w:noWrap w:val="0"/>
                  <w:vAlign w:val="center"/>
                </w:tcPr>
                <w:p w14:paraId="37CE12F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r>
                    <w:rPr>
                      <w:rFonts w:hint="default" w:ascii="Times New Roman" w:hAnsi="Times New Roman" w:cs="Times New Roman"/>
                      <w:b/>
                      <w:bCs/>
                      <w:color w:val="auto"/>
                      <w:kern w:val="2"/>
                      <w:sz w:val="21"/>
                      <w:szCs w:val="21"/>
                      <w:highlight w:val="none"/>
                    </w:rPr>
                    <w:t>污染防治措施</w:t>
                  </w:r>
                </w:p>
              </w:tc>
            </w:tr>
            <w:tr w14:paraId="484B8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3096E9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废表面处理剂包装桶</w:t>
                  </w:r>
                </w:p>
              </w:tc>
              <w:tc>
                <w:tcPr>
                  <w:tcW w:w="510" w:type="pct"/>
                  <w:noWrap w:val="0"/>
                  <w:vAlign w:val="center"/>
                </w:tcPr>
                <w:p w14:paraId="3966D6C4">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542" w:type="pct"/>
                  <w:noWrap w:val="0"/>
                  <w:vAlign w:val="center"/>
                </w:tcPr>
                <w:p w14:paraId="4226946B">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bCs/>
                      <w:color w:val="auto"/>
                      <w:kern w:val="2"/>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27" w:type="pct"/>
                  <w:noWrap w:val="0"/>
                  <w:vAlign w:val="center"/>
                </w:tcPr>
                <w:p w14:paraId="5340661A">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0.63</w:t>
                  </w:r>
                </w:p>
              </w:tc>
              <w:tc>
                <w:tcPr>
                  <w:tcW w:w="442" w:type="pct"/>
                  <w:noWrap w:val="0"/>
                  <w:vAlign w:val="center"/>
                </w:tcPr>
                <w:p w14:paraId="6F2A4BF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lang w:val="en-US" w:eastAsia="zh-CN"/>
                    </w:rPr>
                  </w:pPr>
                  <w:r>
                    <w:rPr>
                      <w:rFonts w:hint="eastAsia" w:ascii="Times New Roman" w:hAnsi="Times New Roman" w:cs="Times New Roman"/>
                      <w:color w:val="auto"/>
                      <w:kern w:val="2"/>
                      <w:position w:val="0"/>
                      <w:sz w:val="21"/>
                      <w:szCs w:val="21"/>
                      <w:highlight w:val="none"/>
                      <w:lang w:val="en-US" w:eastAsia="zh-CN"/>
                    </w:rPr>
                    <w:t>前处理</w:t>
                  </w:r>
                </w:p>
              </w:tc>
              <w:tc>
                <w:tcPr>
                  <w:tcW w:w="397" w:type="pct"/>
                  <w:noWrap w:val="0"/>
                  <w:vAlign w:val="center"/>
                </w:tcPr>
                <w:p w14:paraId="4FE2A92B">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625E1171">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无机酸</w:t>
                  </w:r>
                </w:p>
              </w:tc>
              <w:tc>
                <w:tcPr>
                  <w:tcW w:w="383" w:type="pct"/>
                  <w:noWrap w:val="0"/>
                  <w:vAlign w:val="center"/>
                </w:tcPr>
                <w:p w14:paraId="52DE7AC1">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无机酸</w:t>
                  </w:r>
                </w:p>
              </w:tc>
              <w:tc>
                <w:tcPr>
                  <w:tcW w:w="335" w:type="pct"/>
                  <w:noWrap w:val="0"/>
                  <w:vAlign w:val="center"/>
                </w:tcPr>
                <w:p w14:paraId="37011FC1">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每周</w:t>
                  </w:r>
                </w:p>
              </w:tc>
              <w:tc>
                <w:tcPr>
                  <w:tcW w:w="370" w:type="pct"/>
                  <w:noWrap w:val="0"/>
                  <w:vAlign w:val="center"/>
                </w:tcPr>
                <w:p w14:paraId="07B3CB3A">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T/In</w:t>
                  </w:r>
                </w:p>
              </w:tc>
              <w:tc>
                <w:tcPr>
                  <w:tcW w:w="392" w:type="pct"/>
                  <w:vMerge w:val="restart"/>
                  <w:noWrap w:val="0"/>
                  <w:vAlign w:val="center"/>
                </w:tcPr>
                <w:p w14:paraId="11C2C2C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暂存在</w:t>
                  </w:r>
                  <w:r>
                    <w:rPr>
                      <w:rFonts w:hint="eastAsia" w:ascii="Times New Roman" w:hAnsi="Times New Roman" w:cs="Times New Roman"/>
                      <w:color w:val="auto"/>
                      <w:kern w:val="2"/>
                      <w:sz w:val="21"/>
                      <w:szCs w:val="21"/>
                      <w:highlight w:val="none"/>
                      <w:lang w:eastAsia="zh-CN"/>
                    </w:rPr>
                    <w:t>危险废物贮存间</w:t>
                  </w:r>
                  <w:r>
                    <w:rPr>
                      <w:rFonts w:hint="default" w:ascii="Times New Roman" w:hAnsi="Times New Roman" w:cs="Times New Roman"/>
                      <w:color w:val="auto"/>
                      <w:kern w:val="2"/>
                      <w:sz w:val="21"/>
                      <w:szCs w:val="21"/>
                      <w:highlight w:val="none"/>
                    </w:rPr>
                    <w:t>，定期由危废资质单位处理。</w:t>
                  </w:r>
                </w:p>
              </w:tc>
            </w:tr>
            <w:tr w14:paraId="5EDFF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367E88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预处理池泥渣及管道循环装置废物</w:t>
                  </w:r>
                </w:p>
              </w:tc>
              <w:tc>
                <w:tcPr>
                  <w:tcW w:w="510" w:type="pct"/>
                  <w:noWrap w:val="0"/>
                  <w:vAlign w:val="center"/>
                </w:tcPr>
                <w:p w14:paraId="498E8C4B">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HW17</w:t>
                  </w:r>
                </w:p>
              </w:tc>
              <w:tc>
                <w:tcPr>
                  <w:tcW w:w="542" w:type="pct"/>
                  <w:noWrap w:val="0"/>
                  <w:vAlign w:val="center"/>
                </w:tcPr>
                <w:p w14:paraId="60970DE9">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427" w:type="pct"/>
                  <w:noWrap w:val="0"/>
                  <w:vAlign w:val="center"/>
                </w:tcPr>
                <w:p w14:paraId="00A9295F">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2</w:t>
                  </w:r>
                </w:p>
              </w:tc>
              <w:tc>
                <w:tcPr>
                  <w:tcW w:w="442" w:type="pct"/>
                  <w:noWrap w:val="0"/>
                  <w:vAlign w:val="center"/>
                </w:tcPr>
                <w:p w14:paraId="00CA5D9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前处理</w:t>
                  </w:r>
                </w:p>
              </w:tc>
              <w:tc>
                <w:tcPr>
                  <w:tcW w:w="397" w:type="pct"/>
                  <w:noWrap w:val="0"/>
                  <w:vAlign w:val="center"/>
                </w:tcPr>
                <w:p w14:paraId="23CAA022">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w:t>
                  </w:r>
                  <w:r>
                    <w:rPr>
                      <w:rFonts w:hint="eastAsia" w:ascii="Times New Roman" w:hAnsi="Times New Roman" w:eastAsia="宋体"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463" w:type="pct"/>
                  <w:noWrap w:val="0"/>
                  <w:vAlign w:val="center"/>
                </w:tcPr>
                <w:p w14:paraId="26E068BD">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2"/>
                      <w:position w:val="0"/>
                      <w:sz w:val="21"/>
                      <w:szCs w:val="21"/>
                      <w:highlight w:val="none"/>
                      <w:lang w:val="en-US" w:eastAsia="zh-CN"/>
                    </w:rPr>
                  </w:pPr>
                  <w:r>
                    <w:rPr>
                      <w:rFonts w:hint="default" w:ascii="Times New Roman" w:hAnsi="Times New Roman" w:cs="Times New Roman"/>
                      <w:color w:val="auto"/>
                      <w:kern w:val="2"/>
                      <w:sz w:val="21"/>
                      <w:szCs w:val="21"/>
                      <w:highlight w:val="none"/>
                    </w:rPr>
                    <w:t>泥渣</w:t>
                  </w:r>
                </w:p>
              </w:tc>
              <w:tc>
                <w:tcPr>
                  <w:tcW w:w="383" w:type="pct"/>
                  <w:noWrap w:val="0"/>
                  <w:vAlign w:val="center"/>
                </w:tcPr>
                <w:p w14:paraId="7327EC7B">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firstLine="0" w:firstLine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sz w:val="21"/>
                      <w:szCs w:val="21"/>
                      <w:highlight w:val="none"/>
                    </w:rPr>
                    <w:t>泥渣</w:t>
                  </w:r>
                </w:p>
              </w:tc>
              <w:tc>
                <w:tcPr>
                  <w:tcW w:w="335" w:type="pct"/>
                  <w:noWrap w:val="0"/>
                  <w:vAlign w:val="center"/>
                </w:tcPr>
                <w:p w14:paraId="6747785A">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1个月</w:t>
                  </w:r>
                </w:p>
              </w:tc>
              <w:tc>
                <w:tcPr>
                  <w:tcW w:w="370" w:type="pct"/>
                  <w:noWrap w:val="0"/>
                  <w:vAlign w:val="center"/>
                </w:tcPr>
                <w:p w14:paraId="590960A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C</w:t>
                  </w:r>
                </w:p>
              </w:tc>
              <w:tc>
                <w:tcPr>
                  <w:tcW w:w="392" w:type="pct"/>
                  <w:vMerge w:val="continue"/>
                  <w:noWrap w:val="0"/>
                  <w:vAlign w:val="center"/>
                </w:tcPr>
                <w:p w14:paraId="76F8DFD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537C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ECB98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无铬钝化池废槽液</w:t>
                  </w:r>
                </w:p>
              </w:tc>
              <w:tc>
                <w:tcPr>
                  <w:tcW w:w="510" w:type="pct"/>
                  <w:noWrap w:val="0"/>
                  <w:vAlign w:val="center"/>
                </w:tcPr>
                <w:p w14:paraId="2A617618">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HW17</w:t>
                  </w:r>
                </w:p>
              </w:tc>
              <w:tc>
                <w:tcPr>
                  <w:tcW w:w="542" w:type="pct"/>
                  <w:noWrap w:val="0"/>
                  <w:vAlign w:val="center"/>
                </w:tcPr>
                <w:p w14:paraId="6E9D70C0">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427" w:type="pct"/>
                  <w:noWrap w:val="0"/>
                  <w:vAlign w:val="center"/>
                </w:tcPr>
                <w:p w14:paraId="30502F6E">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44.8</w:t>
                  </w:r>
                </w:p>
              </w:tc>
              <w:tc>
                <w:tcPr>
                  <w:tcW w:w="442" w:type="pct"/>
                  <w:noWrap w:val="0"/>
                  <w:vAlign w:val="center"/>
                </w:tcPr>
                <w:p w14:paraId="63B3189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无铬钝化</w:t>
                  </w:r>
                </w:p>
              </w:tc>
              <w:tc>
                <w:tcPr>
                  <w:tcW w:w="397" w:type="pct"/>
                  <w:noWrap w:val="0"/>
                  <w:vAlign w:val="center"/>
                </w:tcPr>
                <w:p w14:paraId="6253B94E">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液态</w:t>
                  </w:r>
                </w:p>
              </w:tc>
              <w:tc>
                <w:tcPr>
                  <w:tcW w:w="463" w:type="pct"/>
                  <w:noWrap w:val="0"/>
                  <w:vAlign w:val="center"/>
                </w:tcPr>
                <w:p w14:paraId="6735B77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lang w:val="en-US" w:eastAsia="zh-CN"/>
                    </w:rPr>
                  </w:pPr>
                  <w:r>
                    <w:rPr>
                      <w:rFonts w:hint="default" w:ascii="Times New Roman" w:hAnsi="Times New Roman" w:cs="Times New Roman"/>
                      <w:color w:val="auto"/>
                      <w:kern w:val="2"/>
                      <w:position w:val="0"/>
                      <w:sz w:val="21"/>
                      <w:szCs w:val="21"/>
                      <w:highlight w:val="none"/>
                      <w:lang w:val="en-US" w:eastAsia="zh-CN"/>
                    </w:rPr>
                    <w:t>废槽液</w:t>
                  </w:r>
                </w:p>
              </w:tc>
              <w:tc>
                <w:tcPr>
                  <w:tcW w:w="383" w:type="pct"/>
                  <w:noWrap w:val="0"/>
                  <w:vAlign w:val="center"/>
                </w:tcPr>
                <w:p w14:paraId="4A6A9FD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lang w:val="en-US" w:eastAsia="zh-CN"/>
                    </w:rPr>
                  </w:pPr>
                  <w:r>
                    <w:rPr>
                      <w:rFonts w:hint="default" w:ascii="Times New Roman" w:hAnsi="Times New Roman" w:cs="Times New Roman"/>
                      <w:color w:val="auto"/>
                      <w:kern w:val="2"/>
                      <w:position w:val="0"/>
                      <w:sz w:val="21"/>
                      <w:szCs w:val="21"/>
                      <w:highlight w:val="none"/>
                      <w:lang w:val="en-US" w:eastAsia="zh-CN"/>
                    </w:rPr>
                    <w:t>废槽液</w:t>
                  </w:r>
                </w:p>
              </w:tc>
              <w:tc>
                <w:tcPr>
                  <w:tcW w:w="335" w:type="pct"/>
                  <w:noWrap w:val="0"/>
                  <w:vAlign w:val="center"/>
                </w:tcPr>
                <w:p w14:paraId="0A17DAD5">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3个月</w:t>
                  </w:r>
                </w:p>
              </w:tc>
              <w:tc>
                <w:tcPr>
                  <w:tcW w:w="370" w:type="pct"/>
                  <w:noWrap w:val="0"/>
                  <w:vAlign w:val="center"/>
                </w:tcPr>
                <w:p w14:paraId="183B3545">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C</w:t>
                  </w:r>
                </w:p>
              </w:tc>
              <w:tc>
                <w:tcPr>
                  <w:tcW w:w="392" w:type="pct"/>
                  <w:vMerge w:val="continue"/>
                  <w:noWrap w:val="0"/>
                  <w:vAlign w:val="center"/>
                </w:tcPr>
                <w:p w14:paraId="48FEB15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3C10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34" w:type="pct"/>
                  <w:noWrap w:val="0"/>
                  <w:vAlign w:val="center"/>
                </w:tcPr>
                <w:p w14:paraId="2C68C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废水处理站污泥</w:t>
                  </w:r>
                </w:p>
              </w:tc>
              <w:tc>
                <w:tcPr>
                  <w:tcW w:w="510" w:type="pct"/>
                  <w:noWrap w:val="0"/>
                  <w:vAlign w:val="center"/>
                </w:tcPr>
                <w:p w14:paraId="02475E3A">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HW17</w:t>
                  </w:r>
                </w:p>
              </w:tc>
              <w:tc>
                <w:tcPr>
                  <w:tcW w:w="542" w:type="pct"/>
                  <w:noWrap w:val="0"/>
                  <w:vAlign w:val="center"/>
                </w:tcPr>
                <w:p w14:paraId="6D50A5AC">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427" w:type="pct"/>
                  <w:noWrap w:val="0"/>
                  <w:vAlign w:val="center"/>
                </w:tcPr>
                <w:p w14:paraId="41F2178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11.051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42" w:type="pct"/>
                  <w:noWrap w:val="0"/>
                  <w:vAlign w:val="center"/>
                </w:tcPr>
                <w:p w14:paraId="6AA6F55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rPr>
                    <w:t>废</w:t>
                  </w:r>
                  <w:r>
                    <w:rPr>
                      <w:rFonts w:hint="default" w:ascii="Times New Roman" w:hAnsi="Times New Roman" w:cs="Times New Roman"/>
                      <w:color w:val="auto"/>
                      <w:kern w:val="2"/>
                      <w:position w:val="0"/>
                      <w:sz w:val="21"/>
                      <w:szCs w:val="21"/>
                      <w:highlight w:val="none"/>
                      <w:lang w:eastAsia="zh-CN"/>
                    </w:rPr>
                    <w:t>水</w:t>
                  </w:r>
                  <w:r>
                    <w:rPr>
                      <w:rFonts w:hint="default" w:ascii="Times New Roman" w:hAnsi="Times New Roman" w:cs="Times New Roman"/>
                      <w:color w:val="auto"/>
                      <w:kern w:val="2"/>
                      <w:position w:val="0"/>
                      <w:sz w:val="21"/>
                      <w:szCs w:val="21"/>
                      <w:highlight w:val="none"/>
                    </w:rPr>
                    <w:t>处理</w:t>
                  </w:r>
                </w:p>
              </w:tc>
              <w:tc>
                <w:tcPr>
                  <w:tcW w:w="397" w:type="pct"/>
                  <w:noWrap w:val="0"/>
                  <w:vAlign w:val="center"/>
                </w:tcPr>
                <w:p w14:paraId="73E6ED26">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w:t>
                  </w:r>
                  <w:r>
                    <w:rPr>
                      <w:rFonts w:hint="eastAsia" w:ascii="Times New Roman" w:hAnsi="Times New Roman" w:eastAsia="宋体"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463" w:type="pct"/>
                  <w:noWrap w:val="0"/>
                  <w:vAlign w:val="center"/>
                </w:tcPr>
                <w:p w14:paraId="6D773FC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eastAsia" w:ascii="Times New Roman" w:hAnsi="Times New Roman" w:eastAsia="宋体" w:cs="Times New Roman"/>
                      <w:color w:val="auto"/>
                      <w:kern w:val="2"/>
                      <w:position w:val="0"/>
                      <w:sz w:val="21"/>
                      <w:szCs w:val="21"/>
                      <w:highlight w:val="none"/>
                      <w:lang w:val="en-US" w:eastAsia="zh-CN"/>
                    </w:rPr>
                  </w:pPr>
                  <w:r>
                    <w:rPr>
                      <w:rFonts w:hint="eastAsia" w:ascii="Times New Roman" w:hAnsi="Times New Roman" w:cs="Times New Roman"/>
                      <w:color w:val="auto"/>
                      <w:kern w:val="2"/>
                      <w:position w:val="0"/>
                      <w:sz w:val="21"/>
                      <w:szCs w:val="21"/>
                      <w:highlight w:val="none"/>
                      <w:lang w:val="en-US" w:eastAsia="zh-CN"/>
                    </w:rPr>
                    <w:t>污泥</w:t>
                  </w:r>
                </w:p>
              </w:tc>
              <w:tc>
                <w:tcPr>
                  <w:tcW w:w="383" w:type="pct"/>
                  <w:noWrap w:val="0"/>
                  <w:vAlign w:val="center"/>
                </w:tcPr>
                <w:p w14:paraId="5368F2B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position w:val="0"/>
                      <w:sz w:val="21"/>
                      <w:szCs w:val="21"/>
                      <w:highlight w:val="none"/>
                      <w:lang w:val="en-US" w:eastAsia="zh-CN"/>
                    </w:rPr>
                  </w:pPr>
                  <w:r>
                    <w:rPr>
                      <w:rFonts w:hint="eastAsia" w:ascii="Times New Roman" w:hAnsi="Times New Roman" w:cs="Times New Roman"/>
                      <w:color w:val="auto"/>
                      <w:kern w:val="2"/>
                      <w:position w:val="0"/>
                      <w:sz w:val="21"/>
                      <w:szCs w:val="21"/>
                      <w:highlight w:val="none"/>
                      <w:lang w:val="en-US" w:eastAsia="zh-CN"/>
                    </w:rPr>
                    <w:t>污泥</w:t>
                  </w:r>
                </w:p>
              </w:tc>
              <w:tc>
                <w:tcPr>
                  <w:tcW w:w="335" w:type="pct"/>
                  <w:noWrap w:val="0"/>
                  <w:vAlign w:val="center"/>
                </w:tcPr>
                <w:p w14:paraId="3C36FE26">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1个月</w:t>
                  </w:r>
                </w:p>
              </w:tc>
              <w:tc>
                <w:tcPr>
                  <w:tcW w:w="370" w:type="pct"/>
                  <w:noWrap w:val="0"/>
                  <w:vAlign w:val="center"/>
                </w:tcPr>
                <w:p w14:paraId="502D56BF">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C</w:t>
                  </w:r>
                </w:p>
              </w:tc>
              <w:tc>
                <w:tcPr>
                  <w:tcW w:w="392" w:type="pct"/>
                  <w:vMerge w:val="continue"/>
                  <w:noWrap w:val="0"/>
                  <w:vAlign w:val="center"/>
                </w:tcPr>
                <w:p w14:paraId="143B53B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30F1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34" w:type="pct"/>
                  <w:noWrap w:val="0"/>
                  <w:vAlign w:val="center"/>
                </w:tcPr>
                <w:p w14:paraId="3156DD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废pH调整剂包装桶</w:t>
                  </w:r>
                </w:p>
              </w:tc>
              <w:tc>
                <w:tcPr>
                  <w:tcW w:w="510" w:type="pct"/>
                  <w:noWrap w:val="0"/>
                  <w:vAlign w:val="center"/>
                </w:tcPr>
                <w:p w14:paraId="1FA7A999">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542" w:type="pct"/>
                  <w:noWrap w:val="0"/>
                  <w:vAlign w:val="center"/>
                </w:tcPr>
                <w:p w14:paraId="14BDE496">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27" w:type="pct"/>
                  <w:noWrap w:val="0"/>
                  <w:vAlign w:val="center"/>
                </w:tcPr>
                <w:p w14:paraId="274A6F8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0.008</w:t>
                  </w:r>
                </w:p>
              </w:tc>
              <w:tc>
                <w:tcPr>
                  <w:tcW w:w="442" w:type="pct"/>
                  <w:noWrap w:val="0"/>
                  <w:vAlign w:val="center"/>
                </w:tcPr>
                <w:p w14:paraId="6B7E0B5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rPr>
                    <w:t>废</w:t>
                  </w:r>
                  <w:r>
                    <w:rPr>
                      <w:rFonts w:hint="default" w:ascii="Times New Roman" w:hAnsi="Times New Roman" w:cs="Times New Roman"/>
                      <w:color w:val="auto"/>
                      <w:kern w:val="2"/>
                      <w:position w:val="0"/>
                      <w:sz w:val="21"/>
                      <w:szCs w:val="21"/>
                      <w:highlight w:val="none"/>
                      <w:lang w:eastAsia="zh-CN"/>
                    </w:rPr>
                    <w:t>水</w:t>
                  </w:r>
                  <w:r>
                    <w:rPr>
                      <w:rFonts w:hint="default" w:ascii="Times New Roman" w:hAnsi="Times New Roman" w:cs="Times New Roman"/>
                      <w:color w:val="auto"/>
                      <w:kern w:val="2"/>
                      <w:position w:val="0"/>
                      <w:sz w:val="21"/>
                      <w:szCs w:val="21"/>
                      <w:highlight w:val="none"/>
                    </w:rPr>
                    <w:t>处理</w:t>
                  </w:r>
                </w:p>
              </w:tc>
              <w:tc>
                <w:tcPr>
                  <w:tcW w:w="397" w:type="pct"/>
                  <w:noWrap w:val="0"/>
                  <w:vAlign w:val="center"/>
                </w:tcPr>
                <w:p w14:paraId="74DF4D0D">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3440D7D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eastAsia="zh-CN"/>
                    </w:rPr>
                    <w:t>硫酸</w:t>
                  </w:r>
                </w:p>
              </w:tc>
              <w:tc>
                <w:tcPr>
                  <w:tcW w:w="383" w:type="pct"/>
                  <w:noWrap w:val="0"/>
                  <w:vAlign w:val="center"/>
                </w:tcPr>
                <w:p w14:paraId="150F901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eastAsia="zh-CN"/>
                    </w:rPr>
                    <w:t>硫酸</w:t>
                  </w:r>
                </w:p>
              </w:tc>
              <w:tc>
                <w:tcPr>
                  <w:tcW w:w="335" w:type="pct"/>
                  <w:noWrap w:val="0"/>
                  <w:vAlign w:val="center"/>
                </w:tcPr>
                <w:p w14:paraId="1726BCD5">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sz w:val="21"/>
                      <w:szCs w:val="21"/>
                      <w:highlight w:val="none"/>
                    </w:rPr>
                    <w:t>1个月</w:t>
                  </w:r>
                </w:p>
              </w:tc>
              <w:tc>
                <w:tcPr>
                  <w:tcW w:w="370" w:type="pct"/>
                  <w:noWrap w:val="0"/>
                  <w:vAlign w:val="center"/>
                </w:tcPr>
                <w:p w14:paraId="2E71F55C">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T/In</w:t>
                  </w:r>
                </w:p>
              </w:tc>
              <w:tc>
                <w:tcPr>
                  <w:tcW w:w="392" w:type="pct"/>
                  <w:vMerge w:val="continue"/>
                  <w:noWrap w:val="0"/>
                  <w:vAlign w:val="center"/>
                </w:tcPr>
                <w:p w14:paraId="385684A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p>
              </w:tc>
            </w:tr>
            <w:tr w14:paraId="75E9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2F3E25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废机油桶</w:t>
                  </w:r>
                </w:p>
              </w:tc>
              <w:tc>
                <w:tcPr>
                  <w:tcW w:w="510" w:type="pct"/>
                  <w:noWrap w:val="0"/>
                  <w:vAlign w:val="center"/>
                </w:tcPr>
                <w:p w14:paraId="3EFD3DE1">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542" w:type="pct"/>
                  <w:noWrap w:val="0"/>
                  <w:vAlign w:val="center"/>
                </w:tcPr>
                <w:p w14:paraId="166488E6">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27" w:type="pct"/>
                  <w:noWrap w:val="0"/>
                  <w:vAlign w:val="center"/>
                </w:tcPr>
                <w:p w14:paraId="7F7AEE4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0.02</w:t>
                  </w:r>
                </w:p>
              </w:tc>
              <w:tc>
                <w:tcPr>
                  <w:tcW w:w="442" w:type="pct"/>
                  <w:noWrap w:val="0"/>
                  <w:vAlign w:val="center"/>
                </w:tcPr>
                <w:p w14:paraId="3330C1A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rPr>
                    <w:t>设备保养</w:t>
                  </w:r>
                </w:p>
              </w:tc>
              <w:tc>
                <w:tcPr>
                  <w:tcW w:w="397" w:type="pct"/>
                  <w:noWrap w:val="0"/>
                  <w:vAlign w:val="center"/>
                </w:tcPr>
                <w:p w14:paraId="6ACE2719">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107C454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auto"/>
                      <w:kern w:val="2"/>
                      <w:position w:val="0"/>
                      <w:sz w:val="21"/>
                      <w:szCs w:val="21"/>
                      <w:highlight w:val="none"/>
                      <w:lang w:val="en-US" w:eastAsia="zh-CN"/>
                    </w:rPr>
                  </w:pPr>
                  <w:r>
                    <w:rPr>
                      <w:rFonts w:hint="default" w:ascii="Times New Roman" w:hAnsi="Times New Roman" w:cs="Times New Roman"/>
                      <w:color w:val="auto"/>
                      <w:kern w:val="2"/>
                      <w:position w:val="0"/>
                      <w:sz w:val="21"/>
                      <w:szCs w:val="21"/>
                      <w:highlight w:val="none"/>
                      <w:lang w:val="en-US" w:eastAsia="zh-CN"/>
                    </w:rPr>
                    <w:t>矿物油</w:t>
                  </w:r>
                </w:p>
              </w:tc>
              <w:tc>
                <w:tcPr>
                  <w:tcW w:w="383" w:type="pct"/>
                  <w:noWrap w:val="0"/>
                  <w:vAlign w:val="center"/>
                </w:tcPr>
                <w:p w14:paraId="69CB06C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eastAsia="宋体" w:cs="Times New Roman"/>
                      <w:color w:val="auto"/>
                      <w:kern w:val="2"/>
                      <w:position w:val="0"/>
                      <w:sz w:val="21"/>
                      <w:szCs w:val="21"/>
                      <w:highlight w:val="none"/>
                      <w:lang w:eastAsia="zh-CN"/>
                    </w:rPr>
                  </w:pPr>
                  <w:r>
                    <w:rPr>
                      <w:rFonts w:hint="default" w:ascii="Times New Roman" w:hAnsi="Times New Roman" w:cs="Times New Roman"/>
                      <w:color w:val="auto"/>
                      <w:kern w:val="2"/>
                      <w:position w:val="0"/>
                      <w:sz w:val="21"/>
                      <w:szCs w:val="21"/>
                      <w:highlight w:val="none"/>
                      <w:lang w:val="en-US" w:eastAsia="zh-CN"/>
                    </w:rPr>
                    <w:t>矿物油</w:t>
                  </w:r>
                </w:p>
              </w:tc>
              <w:tc>
                <w:tcPr>
                  <w:tcW w:w="335" w:type="pct"/>
                  <w:noWrap w:val="0"/>
                  <w:vAlign w:val="center"/>
                </w:tcPr>
                <w:p w14:paraId="02D5CDB7">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半</w:t>
                  </w:r>
                  <w:r>
                    <w:rPr>
                      <w:rFonts w:hint="default" w:ascii="Times New Roman" w:hAnsi="Times New Roman" w:cs="Times New Roman"/>
                      <w:color w:val="auto"/>
                      <w:sz w:val="21"/>
                      <w:szCs w:val="21"/>
                      <w:highlight w:val="none"/>
                    </w:rPr>
                    <w:t>年</w:t>
                  </w:r>
                </w:p>
              </w:tc>
              <w:tc>
                <w:tcPr>
                  <w:tcW w:w="370" w:type="pct"/>
                  <w:noWrap w:val="0"/>
                  <w:vAlign w:val="center"/>
                </w:tcPr>
                <w:p w14:paraId="3F017CFB">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I</w:t>
                  </w:r>
                </w:p>
              </w:tc>
              <w:tc>
                <w:tcPr>
                  <w:tcW w:w="392" w:type="pct"/>
                  <w:vMerge w:val="continue"/>
                  <w:noWrap w:val="0"/>
                  <w:vAlign w:val="center"/>
                </w:tcPr>
                <w:p w14:paraId="2A92368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6CC9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4A472C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废机油</w:t>
                  </w:r>
                </w:p>
              </w:tc>
              <w:tc>
                <w:tcPr>
                  <w:tcW w:w="510" w:type="pct"/>
                  <w:noWrap w:val="0"/>
                  <w:vAlign w:val="center"/>
                </w:tcPr>
                <w:p w14:paraId="6315AB0F">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542" w:type="pct"/>
                  <w:noWrap w:val="0"/>
                  <w:vAlign w:val="center"/>
                </w:tcPr>
                <w:p w14:paraId="01BD6D15">
                  <w:pPr>
                    <w:keepNext w:val="0"/>
                    <w:keepLines w:val="0"/>
                    <w:pageBreakBefore w:val="0"/>
                    <w:widowControl/>
                    <w:suppressLineNumbers w:val="0"/>
                    <w:kinsoku/>
                    <w:overflowPunct/>
                    <w:topLinePunct w:val="0"/>
                    <w:bidi w:val="0"/>
                    <w:snapToGrid/>
                    <w:spacing w:before="0" w:beforeAutospacing="0" w:after="0" w:afterAutospacing="0" w:line="240" w:lineRule="auto"/>
                    <w:ind w:left="0" w:right="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27" w:type="pct"/>
                  <w:noWrap w:val="0"/>
                  <w:vAlign w:val="center"/>
                </w:tcPr>
                <w:p w14:paraId="0C13B42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0.8</w:t>
                  </w:r>
                </w:p>
              </w:tc>
              <w:tc>
                <w:tcPr>
                  <w:tcW w:w="442" w:type="pct"/>
                  <w:noWrap w:val="0"/>
                  <w:vAlign w:val="center"/>
                </w:tcPr>
                <w:p w14:paraId="015FD702">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rPr>
                    <w:t>设备保养</w:t>
                  </w:r>
                </w:p>
              </w:tc>
              <w:tc>
                <w:tcPr>
                  <w:tcW w:w="397" w:type="pct"/>
                  <w:noWrap w:val="0"/>
                  <w:vAlign w:val="center"/>
                </w:tcPr>
                <w:p w14:paraId="1C13AC07">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液态</w:t>
                  </w:r>
                </w:p>
              </w:tc>
              <w:tc>
                <w:tcPr>
                  <w:tcW w:w="463" w:type="pct"/>
                  <w:noWrap w:val="0"/>
                  <w:vAlign w:val="center"/>
                </w:tcPr>
                <w:p w14:paraId="74D180E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83" w:type="pct"/>
                  <w:noWrap w:val="0"/>
                  <w:vAlign w:val="center"/>
                </w:tcPr>
                <w:p w14:paraId="45E9848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35" w:type="pct"/>
                  <w:noWrap w:val="0"/>
                  <w:vAlign w:val="center"/>
                </w:tcPr>
                <w:p w14:paraId="3FCDC471">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半</w:t>
                  </w:r>
                  <w:r>
                    <w:rPr>
                      <w:rFonts w:hint="default" w:ascii="Times New Roman" w:hAnsi="Times New Roman" w:cs="Times New Roman"/>
                      <w:color w:val="auto"/>
                      <w:sz w:val="21"/>
                      <w:szCs w:val="21"/>
                      <w:highlight w:val="none"/>
                    </w:rPr>
                    <w:t>年</w:t>
                  </w:r>
                </w:p>
              </w:tc>
              <w:tc>
                <w:tcPr>
                  <w:tcW w:w="370" w:type="pct"/>
                  <w:noWrap w:val="0"/>
                  <w:vAlign w:val="center"/>
                </w:tcPr>
                <w:p w14:paraId="51FAC08D">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w:t>
                  </w:r>
                </w:p>
              </w:tc>
              <w:tc>
                <w:tcPr>
                  <w:tcW w:w="392" w:type="pct"/>
                  <w:vMerge w:val="continue"/>
                  <w:noWrap w:val="0"/>
                  <w:vAlign w:val="center"/>
                </w:tcPr>
                <w:p w14:paraId="22F6B89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4C614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6EC933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废含油抹布手套</w:t>
                  </w:r>
                </w:p>
              </w:tc>
              <w:tc>
                <w:tcPr>
                  <w:tcW w:w="510" w:type="pct"/>
                  <w:noWrap w:val="0"/>
                  <w:vAlign w:val="center"/>
                </w:tcPr>
                <w:p w14:paraId="3DD11139">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542" w:type="pct"/>
                  <w:noWrap w:val="0"/>
                  <w:vAlign w:val="center"/>
                </w:tcPr>
                <w:p w14:paraId="23A5EF4E">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427" w:type="pct"/>
                  <w:noWrap w:val="0"/>
                  <w:vAlign w:val="center"/>
                </w:tcPr>
                <w:p w14:paraId="006B5FA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442" w:type="pct"/>
                  <w:noWrap w:val="0"/>
                  <w:vAlign w:val="center"/>
                </w:tcPr>
                <w:p w14:paraId="7595B65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rPr>
                    <w:t>设备保养</w:t>
                  </w:r>
                </w:p>
              </w:tc>
              <w:tc>
                <w:tcPr>
                  <w:tcW w:w="397" w:type="pct"/>
                  <w:noWrap w:val="0"/>
                  <w:vAlign w:val="center"/>
                </w:tcPr>
                <w:p w14:paraId="280BC0B2">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7E29163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83" w:type="pct"/>
                  <w:noWrap w:val="0"/>
                  <w:vAlign w:val="center"/>
                </w:tcPr>
                <w:p w14:paraId="78DF0C9B">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35" w:type="pct"/>
                  <w:noWrap w:val="0"/>
                  <w:vAlign w:val="center"/>
                </w:tcPr>
                <w:p w14:paraId="31DAE464">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半</w:t>
                  </w:r>
                  <w:r>
                    <w:rPr>
                      <w:rFonts w:hint="default" w:ascii="Times New Roman" w:hAnsi="Times New Roman" w:cs="Times New Roman"/>
                      <w:color w:val="auto"/>
                      <w:sz w:val="21"/>
                      <w:szCs w:val="21"/>
                      <w:highlight w:val="none"/>
                    </w:rPr>
                    <w:t>年</w:t>
                  </w:r>
                </w:p>
              </w:tc>
              <w:tc>
                <w:tcPr>
                  <w:tcW w:w="370" w:type="pct"/>
                  <w:noWrap w:val="0"/>
                  <w:vAlign w:val="center"/>
                </w:tcPr>
                <w:p w14:paraId="5CDAA9A3">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T/In</w:t>
                  </w:r>
                </w:p>
              </w:tc>
              <w:tc>
                <w:tcPr>
                  <w:tcW w:w="392" w:type="pct"/>
                  <w:vMerge w:val="continue"/>
                  <w:noWrap w:val="0"/>
                  <w:vAlign w:val="center"/>
                </w:tcPr>
                <w:p w14:paraId="2E0697D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2FD3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67CE8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废液压油桶</w:t>
                  </w:r>
                </w:p>
              </w:tc>
              <w:tc>
                <w:tcPr>
                  <w:tcW w:w="510" w:type="pct"/>
                  <w:noWrap w:val="0"/>
                  <w:vAlign w:val="center"/>
                </w:tcPr>
                <w:p w14:paraId="7FFBB674">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542" w:type="pct"/>
                  <w:noWrap w:val="0"/>
                  <w:vAlign w:val="center"/>
                </w:tcPr>
                <w:p w14:paraId="200ECF4F">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427" w:type="pct"/>
                  <w:noWrap w:val="0"/>
                  <w:vAlign w:val="center"/>
                </w:tcPr>
                <w:p w14:paraId="05074D0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0.015</w:t>
                  </w:r>
                </w:p>
              </w:tc>
              <w:tc>
                <w:tcPr>
                  <w:tcW w:w="442" w:type="pct"/>
                  <w:noWrap w:val="0"/>
                  <w:vAlign w:val="center"/>
                </w:tcPr>
                <w:p w14:paraId="24F7E8F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eastAsia" w:ascii="Times New Roman" w:hAnsi="Times New Roman" w:eastAsia="宋体" w:cs="Times New Roman"/>
                      <w:color w:val="auto"/>
                      <w:kern w:val="2"/>
                      <w:position w:val="0"/>
                      <w:sz w:val="21"/>
                      <w:szCs w:val="21"/>
                      <w:highlight w:val="none"/>
                      <w:lang w:eastAsia="zh-CN"/>
                    </w:rPr>
                  </w:pPr>
                  <w:r>
                    <w:rPr>
                      <w:rFonts w:hint="eastAsia" w:ascii="Times New Roman" w:hAnsi="Times New Roman" w:cs="Times New Roman"/>
                      <w:color w:val="auto"/>
                      <w:kern w:val="2"/>
                      <w:position w:val="0"/>
                      <w:sz w:val="21"/>
                      <w:szCs w:val="21"/>
                      <w:highlight w:val="none"/>
                      <w:lang w:val="en-US" w:eastAsia="zh-CN"/>
                    </w:rPr>
                    <w:t>钣金成型</w:t>
                  </w:r>
                </w:p>
              </w:tc>
              <w:tc>
                <w:tcPr>
                  <w:tcW w:w="397" w:type="pct"/>
                  <w:noWrap w:val="0"/>
                  <w:vAlign w:val="center"/>
                </w:tcPr>
                <w:p w14:paraId="1380E728">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60681B9A">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83" w:type="pct"/>
                  <w:noWrap w:val="0"/>
                  <w:vAlign w:val="center"/>
                </w:tcPr>
                <w:p w14:paraId="48E68FE1">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35" w:type="pct"/>
                  <w:noWrap w:val="0"/>
                  <w:vAlign w:val="center"/>
                </w:tcPr>
                <w:p w14:paraId="333243C5">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半</w:t>
                  </w:r>
                  <w:r>
                    <w:rPr>
                      <w:rFonts w:hint="default" w:ascii="Times New Roman" w:hAnsi="Times New Roman" w:cs="Times New Roman"/>
                      <w:color w:val="auto"/>
                      <w:sz w:val="21"/>
                      <w:szCs w:val="21"/>
                      <w:highlight w:val="none"/>
                    </w:rPr>
                    <w:t>年</w:t>
                  </w:r>
                </w:p>
              </w:tc>
              <w:tc>
                <w:tcPr>
                  <w:tcW w:w="370" w:type="pct"/>
                  <w:noWrap w:val="0"/>
                  <w:vAlign w:val="center"/>
                </w:tcPr>
                <w:p w14:paraId="13E5B663">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w:t>
                  </w:r>
                </w:p>
              </w:tc>
              <w:tc>
                <w:tcPr>
                  <w:tcW w:w="392" w:type="pct"/>
                  <w:vMerge w:val="continue"/>
                  <w:noWrap w:val="0"/>
                  <w:vAlign w:val="center"/>
                </w:tcPr>
                <w:p w14:paraId="4BBB4BB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3B30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2B022C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废液压油</w:t>
                  </w:r>
                </w:p>
              </w:tc>
              <w:tc>
                <w:tcPr>
                  <w:tcW w:w="510" w:type="pct"/>
                  <w:noWrap w:val="0"/>
                  <w:vAlign w:val="center"/>
                </w:tcPr>
                <w:p w14:paraId="0EBAA9A5">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542" w:type="pct"/>
                  <w:noWrap w:val="0"/>
                  <w:vAlign w:val="center"/>
                </w:tcPr>
                <w:p w14:paraId="2BCA1548">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w:t>
                  </w:r>
                  <w:r>
                    <w:rPr>
                      <w:rFonts w:hint="eastAsia" w:cs="Times New Roman"/>
                      <w:i w:val="0"/>
                      <w:iCs w:val="0"/>
                      <w:color w:val="auto"/>
                      <w:kern w:val="0"/>
                      <w:sz w:val="21"/>
                      <w:szCs w:val="21"/>
                      <w:highlight w:val="none"/>
                      <w:u w:val="none"/>
                      <w:lang w:val="en-US" w:eastAsia="zh-CN" w:bidi="ar"/>
                    </w:rPr>
                    <w:t>18</w:t>
                  </w:r>
                  <w:r>
                    <w:rPr>
                      <w:rFonts w:hint="default" w:ascii="Times New Roman" w:hAnsi="Times New Roman" w:eastAsia="宋体" w:cs="Times New Roman"/>
                      <w:i w:val="0"/>
                      <w:iCs w:val="0"/>
                      <w:color w:val="auto"/>
                      <w:kern w:val="0"/>
                      <w:sz w:val="21"/>
                      <w:szCs w:val="21"/>
                      <w:highlight w:val="none"/>
                      <w:u w:val="none"/>
                      <w:lang w:val="en-US" w:eastAsia="zh-CN" w:bidi="ar"/>
                    </w:rPr>
                    <w:t>-08</w:t>
                  </w:r>
                </w:p>
              </w:tc>
              <w:tc>
                <w:tcPr>
                  <w:tcW w:w="427" w:type="pct"/>
                  <w:noWrap w:val="0"/>
                  <w:vAlign w:val="center"/>
                </w:tcPr>
                <w:p w14:paraId="40C3F7C4">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0.6</w:t>
                  </w:r>
                </w:p>
              </w:tc>
              <w:tc>
                <w:tcPr>
                  <w:tcW w:w="442" w:type="pct"/>
                  <w:noWrap w:val="0"/>
                  <w:vAlign w:val="center"/>
                </w:tcPr>
                <w:p w14:paraId="41215C18">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color w:val="auto"/>
                      <w:kern w:val="2"/>
                      <w:position w:val="0"/>
                      <w:sz w:val="21"/>
                      <w:szCs w:val="21"/>
                      <w:highlight w:val="none"/>
                    </w:rPr>
                  </w:pPr>
                  <w:r>
                    <w:rPr>
                      <w:rFonts w:hint="eastAsia" w:ascii="Times New Roman" w:hAnsi="Times New Roman" w:cs="Times New Roman"/>
                      <w:color w:val="auto"/>
                      <w:kern w:val="2"/>
                      <w:position w:val="0"/>
                      <w:sz w:val="21"/>
                      <w:szCs w:val="21"/>
                      <w:highlight w:val="none"/>
                      <w:lang w:val="en-US" w:eastAsia="zh-CN"/>
                    </w:rPr>
                    <w:t>钣金成型</w:t>
                  </w:r>
                </w:p>
              </w:tc>
              <w:tc>
                <w:tcPr>
                  <w:tcW w:w="397" w:type="pct"/>
                  <w:noWrap w:val="0"/>
                  <w:vAlign w:val="center"/>
                </w:tcPr>
                <w:p w14:paraId="58DC92C2">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液态</w:t>
                  </w:r>
                </w:p>
              </w:tc>
              <w:tc>
                <w:tcPr>
                  <w:tcW w:w="463" w:type="pct"/>
                  <w:noWrap w:val="0"/>
                  <w:vAlign w:val="center"/>
                </w:tcPr>
                <w:p w14:paraId="148CFD5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83" w:type="pct"/>
                  <w:noWrap w:val="0"/>
                  <w:vAlign w:val="center"/>
                </w:tcPr>
                <w:p w14:paraId="1FF3323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cs="Times New Roman"/>
                      <w:color w:val="auto"/>
                      <w:kern w:val="2"/>
                      <w:position w:val="0"/>
                      <w:sz w:val="21"/>
                      <w:szCs w:val="21"/>
                      <w:highlight w:val="none"/>
                    </w:rPr>
                  </w:pPr>
                  <w:r>
                    <w:rPr>
                      <w:rFonts w:hint="default" w:ascii="Times New Roman" w:hAnsi="Times New Roman" w:cs="Times New Roman"/>
                      <w:color w:val="auto"/>
                      <w:kern w:val="2"/>
                      <w:position w:val="0"/>
                      <w:sz w:val="21"/>
                      <w:szCs w:val="21"/>
                      <w:highlight w:val="none"/>
                      <w:lang w:val="en-US" w:eastAsia="zh-CN"/>
                    </w:rPr>
                    <w:t>矿物油</w:t>
                  </w:r>
                </w:p>
              </w:tc>
              <w:tc>
                <w:tcPr>
                  <w:tcW w:w="335" w:type="pct"/>
                  <w:noWrap w:val="0"/>
                  <w:vAlign w:val="center"/>
                </w:tcPr>
                <w:p w14:paraId="741FC37C">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半</w:t>
                  </w:r>
                  <w:r>
                    <w:rPr>
                      <w:rFonts w:hint="default" w:ascii="Times New Roman" w:hAnsi="Times New Roman" w:cs="Times New Roman"/>
                      <w:color w:val="auto"/>
                      <w:sz w:val="21"/>
                      <w:szCs w:val="21"/>
                      <w:highlight w:val="none"/>
                    </w:rPr>
                    <w:t>年</w:t>
                  </w:r>
                </w:p>
              </w:tc>
              <w:tc>
                <w:tcPr>
                  <w:tcW w:w="370" w:type="pct"/>
                  <w:noWrap w:val="0"/>
                  <w:vAlign w:val="center"/>
                </w:tcPr>
                <w:p w14:paraId="27CF8711">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w:t>
                  </w:r>
                </w:p>
              </w:tc>
              <w:tc>
                <w:tcPr>
                  <w:tcW w:w="392" w:type="pct"/>
                  <w:vMerge w:val="continue"/>
                  <w:noWrap w:val="0"/>
                  <w:vAlign w:val="center"/>
                </w:tcPr>
                <w:p w14:paraId="31B035D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73DF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5430E9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废原料桶</w:t>
                  </w:r>
                </w:p>
              </w:tc>
              <w:tc>
                <w:tcPr>
                  <w:tcW w:w="510" w:type="pct"/>
                  <w:noWrap w:val="0"/>
                  <w:vAlign w:val="center"/>
                </w:tcPr>
                <w:p w14:paraId="45B243F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HW49</w:t>
                  </w:r>
                </w:p>
              </w:tc>
              <w:tc>
                <w:tcPr>
                  <w:tcW w:w="542" w:type="pct"/>
                  <w:noWrap w:val="0"/>
                  <w:vAlign w:val="center"/>
                </w:tcPr>
                <w:p w14:paraId="3B1A2A34">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kern w:val="0"/>
                      <w:szCs w:val="21"/>
                    </w:rPr>
                    <w:t>900-041-49</w:t>
                  </w:r>
                </w:p>
              </w:tc>
              <w:tc>
                <w:tcPr>
                  <w:tcW w:w="427" w:type="pct"/>
                  <w:shd w:val="clear" w:color="auto" w:fill="auto"/>
                  <w:noWrap w:val="0"/>
                  <w:vAlign w:val="center"/>
                </w:tcPr>
                <w:p w14:paraId="5D11FB5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0.199</w:t>
                  </w:r>
                </w:p>
              </w:tc>
              <w:tc>
                <w:tcPr>
                  <w:tcW w:w="442" w:type="pct"/>
                  <w:noWrap w:val="0"/>
                  <w:vAlign w:val="center"/>
                </w:tcPr>
                <w:p w14:paraId="0B7A6E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auto"/>
                      <w:kern w:val="2"/>
                      <w:position w:val="0"/>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喷漆工序</w:t>
                  </w:r>
                </w:p>
              </w:tc>
              <w:tc>
                <w:tcPr>
                  <w:tcW w:w="397" w:type="pct"/>
                  <w:noWrap w:val="0"/>
                  <w:vAlign w:val="center"/>
                </w:tcPr>
                <w:p w14:paraId="3DF54C46">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3001732F">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有机树脂、有机溶剂</w:t>
                  </w:r>
                </w:p>
              </w:tc>
              <w:tc>
                <w:tcPr>
                  <w:tcW w:w="383" w:type="pct"/>
                  <w:noWrap w:val="0"/>
                  <w:vAlign w:val="center"/>
                </w:tcPr>
                <w:p w14:paraId="6D964DAD">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有机树脂、有机溶剂</w:t>
                  </w:r>
                </w:p>
              </w:tc>
              <w:tc>
                <w:tcPr>
                  <w:tcW w:w="335" w:type="pct"/>
                  <w:noWrap w:val="0"/>
                  <w:vAlign w:val="center"/>
                </w:tcPr>
                <w:p w14:paraId="05653BDE">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每周</w:t>
                  </w:r>
                </w:p>
              </w:tc>
              <w:tc>
                <w:tcPr>
                  <w:tcW w:w="370" w:type="pct"/>
                  <w:shd w:val="clear" w:color="auto" w:fill="auto"/>
                  <w:noWrap w:val="0"/>
                  <w:vAlign w:val="center"/>
                </w:tcPr>
                <w:p w14:paraId="5A4FD04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T/In</w:t>
                  </w:r>
                </w:p>
              </w:tc>
              <w:tc>
                <w:tcPr>
                  <w:tcW w:w="392" w:type="pct"/>
                  <w:vMerge w:val="continue"/>
                  <w:noWrap w:val="0"/>
                  <w:vAlign w:val="center"/>
                </w:tcPr>
                <w:p w14:paraId="76B171E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2040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7C5C366A">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喷枪清洗液</w:t>
                  </w:r>
                </w:p>
              </w:tc>
              <w:tc>
                <w:tcPr>
                  <w:tcW w:w="510" w:type="pct"/>
                  <w:noWrap w:val="0"/>
                  <w:vAlign w:val="center"/>
                </w:tcPr>
                <w:p w14:paraId="53A29705">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HW06</w:t>
                  </w:r>
                </w:p>
              </w:tc>
              <w:tc>
                <w:tcPr>
                  <w:tcW w:w="542" w:type="pct"/>
                  <w:noWrap w:val="0"/>
                  <w:vAlign w:val="center"/>
                </w:tcPr>
                <w:p w14:paraId="48EA27A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900-402-06</w:t>
                  </w:r>
                </w:p>
              </w:tc>
              <w:tc>
                <w:tcPr>
                  <w:tcW w:w="427" w:type="pct"/>
                  <w:shd w:val="clear" w:color="auto" w:fill="auto"/>
                  <w:noWrap w:val="0"/>
                  <w:vAlign w:val="center"/>
                </w:tcPr>
                <w:p w14:paraId="0129189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0.042</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42" w:type="pct"/>
                  <w:noWrap w:val="0"/>
                  <w:vAlign w:val="center"/>
                </w:tcPr>
                <w:p w14:paraId="0441E1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auto"/>
                      <w:kern w:val="2"/>
                      <w:position w:val="0"/>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喷漆工序</w:t>
                  </w:r>
                </w:p>
              </w:tc>
              <w:tc>
                <w:tcPr>
                  <w:tcW w:w="397" w:type="pct"/>
                  <w:noWrap w:val="0"/>
                  <w:vAlign w:val="center"/>
                </w:tcPr>
                <w:p w14:paraId="3BCAD1F1">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液</w:t>
                  </w:r>
                  <w:r>
                    <w:rPr>
                      <w:rFonts w:hint="default" w:ascii="Times New Roman" w:hAnsi="Times New Roman" w:eastAsia="宋体" w:cs="Times New Roman"/>
                      <w:color w:val="auto"/>
                      <w:sz w:val="21"/>
                      <w:szCs w:val="21"/>
                      <w:highlight w:val="none"/>
                      <w:lang w:val="en-US" w:eastAsia="zh-CN"/>
                    </w:rPr>
                    <w:t>态</w:t>
                  </w:r>
                </w:p>
              </w:tc>
              <w:tc>
                <w:tcPr>
                  <w:tcW w:w="463" w:type="pct"/>
                  <w:noWrap w:val="0"/>
                  <w:vAlign w:val="center"/>
                </w:tcPr>
                <w:p w14:paraId="49103A98">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清洗剂</w:t>
                  </w:r>
                </w:p>
              </w:tc>
              <w:tc>
                <w:tcPr>
                  <w:tcW w:w="383" w:type="pct"/>
                  <w:noWrap w:val="0"/>
                  <w:vAlign w:val="center"/>
                </w:tcPr>
                <w:p w14:paraId="12651C64">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清洗剂</w:t>
                  </w:r>
                </w:p>
              </w:tc>
              <w:tc>
                <w:tcPr>
                  <w:tcW w:w="335" w:type="pct"/>
                  <w:noWrap w:val="0"/>
                  <w:vAlign w:val="center"/>
                </w:tcPr>
                <w:p w14:paraId="1E41331B">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每月</w:t>
                  </w:r>
                </w:p>
              </w:tc>
              <w:tc>
                <w:tcPr>
                  <w:tcW w:w="370" w:type="pct"/>
                  <w:shd w:val="clear" w:color="auto" w:fill="auto"/>
                  <w:noWrap w:val="0"/>
                  <w:vAlign w:val="center"/>
                </w:tcPr>
                <w:p w14:paraId="24539E94">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T、I</w:t>
                  </w:r>
                  <w:r>
                    <w:rPr>
                      <w:rFonts w:hint="eastAsia"/>
                      <w:color w:val="auto"/>
                      <w:szCs w:val="21"/>
                      <w:lang w:eastAsia="zh-CN"/>
                    </w:rPr>
                    <w:t>、</w:t>
                  </w:r>
                  <w:r>
                    <w:rPr>
                      <w:rFonts w:hint="eastAsia"/>
                      <w:color w:val="auto"/>
                      <w:szCs w:val="21"/>
                      <w:lang w:val="en-US" w:eastAsia="zh-CN"/>
                    </w:rPr>
                    <w:t>R</w:t>
                  </w:r>
                </w:p>
              </w:tc>
              <w:tc>
                <w:tcPr>
                  <w:tcW w:w="392" w:type="pct"/>
                  <w:vMerge w:val="continue"/>
                  <w:noWrap w:val="0"/>
                  <w:vAlign w:val="center"/>
                </w:tcPr>
                <w:p w14:paraId="20CDC7E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6321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64BC38C4">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lang w:val="en-US" w:eastAsia="zh-CN"/>
                    </w:rPr>
                    <w:t>废静电喷粉滤芯</w:t>
                  </w:r>
                </w:p>
              </w:tc>
              <w:tc>
                <w:tcPr>
                  <w:tcW w:w="510" w:type="pct"/>
                  <w:noWrap w:val="0"/>
                  <w:vAlign w:val="center"/>
                </w:tcPr>
                <w:p w14:paraId="234536A4">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HW49</w:t>
                  </w:r>
                </w:p>
              </w:tc>
              <w:tc>
                <w:tcPr>
                  <w:tcW w:w="542" w:type="pct"/>
                  <w:noWrap w:val="0"/>
                  <w:vAlign w:val="center"/>
                </w:tcPr>
                <w:p w14:paraId="4ED4DC47">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900-041-49</w:t>
                  </w:r>
                </w:p>
              </w:tc>
              <w:tc>
                <w:tcPr>
                  <w:tcW w:w="427" w:type="pct"/>
                  <w:shd w:val="clear" w:color="auto" w:fill="auto"/>
                  <w:noWrap w:val="0"/>
                  <w:vAlign w:val="center"/>
                </w:tcPr>
                <w:p w14:paraId="74B459E6">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0.096</w:t>
                  </w:r>
                </w:p>
              </w:tc>
              <w:tc>
                <w:tcPr>
                  <w:tcW w:w="442" w:type="pct"/>
                  <w:noWrap w:val="0"/>
                  <w:vAlign w:val="center"/>
                </w:tcPr>
                <w:p w14:paraId="61D70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auto"/>
                      <w:kern w:val="2"/>
                      <w:position w:val="0"/>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喷粉工序</w:t>
                  </w:r>
                </w:p>
              </w:tc>
              <w:tc>
                <w:tcPr>
                  <w:tcW w:w="397" w:type="pct"/>
                  <w:noWrap w:val="0"/>
                  <w:vAlign w:val="center"/>
                </w:tcPr>
                <w:p w14:paraId="3FF831B8">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6D3E062D">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有机树脂</w:t>
                  </w:r>
                </w:p>
              </w:tc>
              <w:tc>
                <w:tcPr>
                  <w:tcW w:w="383" w:type="pct"/>
                  <w:noWrap w:val="0"/>
                  <w:vAlign w:val="center"/>
                </w:tcPr>
                <w:p w14:paraId="4CB913CA">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有机树脂</w:t>
                  </w:r>
                </w:p>
              </w:tc>
              <w:tc>
                <w:tcPr>
                  <w:tcW w:w="335" w:type="pct"/>
                  <w:noWrap w:val="0"/>
                  <w:vAlign w:val="center"/>
                </w:tcPr>
                <w:p w14:paraId="536A060B">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每月</w:t>
                  </w:r>
                </w:p>
              </w:tc>
              <w:tc>
                <w:tcPr>
                  <w:tcW w:w="370" w:type="pct"/>
                  <w:shd w:val="clear" w:color="auto" w:fill="auto"/>
                  <w:noWrap w:val="0"/>
                  <w:vAlign w:val="center"/>
                </w:tcPr>
                <w:p w14:paraId="58D24FFA">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w:t>
                  </w:r>
                  <w:r>
                    <w:rPr>
                      <w:rFonts w:hint="eastAsia"/>
                      <w:color w:val="auto"/>
                      <w:szCs w:val="21"/>
                      <w:lang w:val="en-US" w:eastAsia="zh-CN"/>
                    </w:rPr>
                    <w:t>/In</w:t>
                  </w:r>
                </w:p>
              </w:tc>
              <w:tc>
                <w:tcPr>
                  <w:tcW w:w="392" w:type="pct"/>
                  <w:vMerge w:val="continue"/>
                  <w:noWrap w:val="0"/>
                  <w:vAlign w:val="center"/>
                </w:tcPr>
                <w:p w14:paraId="2CE5B3B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36FAA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65EB057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废过滤棉</w:t>
                  </w:r>
                </w:p>
              </w:tc>
              <w:tc>
                <w:tcPr>
                  <w:tcW w:w="510" w:type="pct"/>
                  <w:noWrap w:val="0"/>
                  <w:vAlign w:val="center"/>
                </w:tcPr>
                <w:p w14:paraId="76A33082">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HW49</w:t>
                  </w:r>
                </w:p>
              </w:tc>
              <w:tc>
                <w:tcPr>
                  <w:tcW w:w="542" w:type="pct"/>
                  <w:noWrap w:val="0"/>
                  <w:vAlign w:val="center"/>
                </w:tcPr>
                <w:p w14:paraId="2E4CDDD5">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900-041-49</w:t>
                  </w:r>
                </w:p>
              </w:tc>
              <w:tc>
                <w:tcPr>
                  <w:tcW w:w="427" w:type="pct"/>
                  <w:shd w:val="clear" w:color="auto" w:fill="auto"/>
                  <w:noWrap w:val="0"/>
                  <w:vAlign w:val="center"/>
                </w:tcPr>
                <w:p w14:paraId="36538614">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0.12</w:t>
                  </w:r>
                </w:p>
              </w:tc>
              <w:tc>
                <w:tcPr>
                  <w:tcW w:w="442" w:type="pct"/>
                  <w:vMerge w:val="restart"/>
                  <w:noWrap w:val="0"/>
                  <w:vAlign w:val="center"/>
                </w:tcPr>
                <w:p w14:paraId="04BAB8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auto"/>
                      <w:kern w:val="2"/>
                      <w:position w:val="0"/>
                      <w:sz w:val="21"/>
                      <w:szCs w:val="21"/>
                      <w:highlight w:val="none"/>
                      <w:lang w:val="en-US" w:eastAsia="zh-CN"/>
                    </w:rPr>
                  </w:pPr>
                  <w:r>
                    <w:rPr>
                      <w:rFonts w:hint="eastAsia" w:cs="Times New Roman"/>
                      <w:i w:val="0"/>
                      <w:iCs w:val="0"/>
                      <w:color w:val="auto"/>
                      <w:kern w:val="0"/>
                      <w:sz w:val="21"/>
                      <w:szCs w:val="21"/>
                      <w:highlight w:val="none"/>
                      <w:u w:val="none"/>
                      <w:lang w:val="en-US" w:eastAsia="zh-CN" w:bidi="ar"/>
                    </w:rPr>
                    <w:t>废气处理</w:t>
                  </w:r>
                </w:p>
              </w:tc>
              <w:tc>
                <w:tcPr>
                  <w:tcW w:w="397" w:type="pct"/>
                  <w:noWrap w:val="0"/>
                  <w:vAlign w:val="center"/>
                </w:tcPr>
                <w:p w14:paraId="60FF032D">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6D2F55A3">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有机物</w:t>
                  </w:r>
                </w:p>
              </w:tc>
              <w:tc>
                <w:tcPr>
                  <w:tcW w:w="383" w:type="pct"/>
                  <w:noWrap w:val="0"/>
                  <w:vAlign w:val="center"/>
                </w:tcPr>
                <w:p w14:paraId="402B385D">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有机物</w:t>
                  </w:r>
                </w:p>
              </w:tc>
              <w:tc>
                <w:tcPr>
                  <w:tcW w:w="335" w:type="pct"/>
                  <w:noWrap w:val="0"/>
                  <w:vAlign w:val="center"/>
                </w:tcPr>
                <w:p w14:paraId="33B2AAF7">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每月</w:t>
                  </w:r>
                </w:p>
              </w:tc>
              <w:tc>
                <w:tcPr>
                  <w:tcW w:w="370" w:type="pct"/>
                  <w:shd w:val="clear" w:color="auto" w:fill="auto"/>
                  <w:noWrap w:val="0"/>
                  <w:vAlign w:val="center"/>
                </w:tcPr>
                <w:p w14:paraId="7E7F822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w:t>
                  </w:r>
                  <w:r>
                    <w:rPr>
                      <w:rFonts w:hint="eastAsia"/>
                      <w:color w:val="auto"/>
                      <w:szCs w:val="21"/>
                      <w:lang w:val="en-US" w:eastAsia="zh-CN"/>
                    </w:rPr>
                    <w:t>/In</w:t>
                  </w:r>
                </w:p>
              </w:tc>
              <w:tc>
                <w:tcPr>
                  <w:tcW w:w="392" w:type="pct"/>
                  <w:vMerge w:val="continue"/>
                  <w:noWrap w:val="0"/>
                  <w:vAlign w:val="center"/>
                </w:tcPr>
                <w:p w14:paraId="1828013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012F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D522D63">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废活性炭</w:t>
                  </w:r>
                </w:p>
              </w:tc>
              <w:tc>
                <w:tcPr>
                  <w:tcW w:w="510" w:type="pct"/>
                  <w:noWrap w:val="0"/>
                  <w:vAlign w:val="center"/>
                </w:tcPr>
                <w:p w14:paraId="0376D37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Cs w:val="21"/>
                    </w:rPr>
                    <w:t>HW49</w:t>
                  </w:r>
                </w:p>
              </w:tc>
              <w:tc>
                <w:tcPr>
                  <w:tcW w:w="542" w:type="pct"/>
                  <w:noWrap w:val="0"/>
                  <w:vAlign w:val="center"/>
                </w:tcPr>
                <w:p w14:paraId="474B2106">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Cs/>
                      <w:color w:val="auto"/>
                      <w:szCs w:val="21"/>
                    </w:rPr>
                    <w:t>900-039-49</w:t>
                  </w:r>
                </w:p>
              </w:tc>
              <w:tc>
                <w:tcPr>
                  <w:tcW w:w="427" w:type="pct"/>
                  <w:shd w:val="clear" w:color="auto" w:fill="auto"/>
                  <w:noWrap w:val="0"/>
                  <w:vAlign w:val="center"/>
                </w:tcPr>
                <w:p w14:paraId="5D3F3A08">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29.028</w:t>
                  </w:r>
                </w:p>
              </w:tc>
              <w:tc>
                <w:tcPr>
                  <w:tcW w:w="442" w:type="pct"/>
                  <w:vMerge w:val="continue"/>
                  <w:noWrap w:val="0"/>
                  <w:vAlign w:val="center"/>
                </w:tcPr>
                <w:p w14:paraId="082937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cs="Times New Roman"/>
                      <w:color w:val="auto"/>
                      <w:kern w:val="2"/>
                      <w:position w:val="0"/>
                      <w:sz w:val="21"/>
                      <w:szCs w:val="21"/>
                      <w:highlight w:val="none"/>
                      <w:lang w:val="en-US" w:eastAsia="zh-CN"/>
                    </w:rPr>
                  </w:pPr>
                </w:p>
              </w:tc>
              <w:tc>
                <w:tcPr>
                  <w:tcW w:w="397" w:type="pct"/>
                  <w:noWrap w:val="0"/>
                  <w:vAlign w:val="center"/>
                </w:tcPr>
                <w:p w14:paraId="78AAE520">
                  <w:pPr>
                    <w:widowControl/>
                    <w:spacing w:line="240" w:lineRule="auto"/>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固态</w:t>
                  </w:r>
                </w:p>
              </w:tc>
              <w:tc>
                <w:tcPr>
                  <w:tcW w:w="463" w:type="pct"/>
                  <w:noWrap w:val="0"/>
                  <w:vAlign w:val="center"/>
                </w:tcPr>
                <w:p w14:paraId="030FB811">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活性炭</w:t>
                  </w:r>
                </w:p>
              </w:tc>
              <w:tc>
                <w:tcPr>
                  <w:tcW w:w="383" w:type="pct"/>
                  <w:noWrap w:val="0"/>
                  <w:vAlign w:val="center"/>
                </w:tcPr>
                <w:p w14:paraId="33E875BA">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sz w:val="21"/>
                      <w:szCs w:val="21"/>
                      <w:highlight w:val="none"/>
                      <w:lang w:val="en-US" w:eastAsia="zh-CN"/>
                    </w:rPr>
                    <w:t>活性炭</w:t>
                  </w:r>
                </w:p>
              </w:tc>
              <w:tc>
                <w:tcPr>
                  <w:tcW w:w="335" w:type="pct"/>
                  <w:noWrap w:val="0"/>
                  <w:vAlign w:val="center"/>
                </w:tcPr>
                <w:p w14:paraId="04004874">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每年</w:t>
                  </w:r>
                </w:p>
              </w:tc>
              <w:tc>
                <w:tcPr>
                  <w:tcW w:w="370" w:type="pct"/>
                  <w:shd w:val="clear" w:color="auto" w:fill="auto"/>
                  <w:noWrap w:val="0"/>
                  <w:vAlign w:val="center"/>
                </w:tcPr>
                <w:p w14:paraId="234FE681">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w:t>
                  </w:r>
                </w:p>
              </w:tc>
              <w:tc>
                <w:tcPr>
                  <w:tcW w:w="392" w:type="pct"/>
                  <w:vMerge w:val="continue"/>
                  <w:noWrap w:val="0"/>
                  <w:vAlign w:val="center"/>
                </w:tcPr>
                <w:p w14:paraId="5E6A844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7A16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shd w:val="clear" w:color="auto" w:fill="auto"/>
                  <w:noWrap w:val="0"/>
                  <w:vAlign w:val="center"/>
                </w:tcPr>
                <w:p w14:paraId="13FBACF9">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color w:val="auto"/>
                      <w:szCs w:val="21"/>
                      <w:lang w:val="en-US" w:eastAsia="zh-CN"/>
                    </w:rPr>
                    <w:t>废粉末涂料</w:t>
                  </w:r>
                </w:p>
              </w:tc>
              <w:tc>
                <w:tcPr>
                  <w:tcW w:w="510" w:type="pct"/>
                  <w:shd w:val="clear" w:color="auto" w:fill="auto"/>
                  <w:noWrap w:val="0"/>
                  <w:vAlign w:val="center"/>
                </w:tcPr>
                <w:p w14:paraId="046F1EC9">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待鉴定</w:t>
                  </w:r>
                </w:p>
              </w:tc>
              <w:tc>
                <w:tcPr>
                  <w:tcW w:w="542" w:type="pct"/>
                  <w:shd w:val="clear" w:color="auto" w:fill="auto"/>
                  <w:noWrap w:val="0"/>
                  <w:vAlign w:val="center"/>
                </w:tcPr>
                <w:p w14:paraId="35620218">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待鉴定</w:t>
                  </w:r>
                </w:p>
              </w:tc>
              <w:tc>
                <w:tcPr>
                  <w:tcW w:w="427" w:type="pct"/>
                  <w:shd w:val="clear" w:color="auto" w:fill="auto"/>
                  <w:noWrap w:val="0"/>
                  <w:vAlign w:val="center"/>
                </w:tcPr>
                <w:p w14:paraId="5B0A684D">
                  <w:pPr>
                    <w:keepNext w:val="0"/>
                    <w:keepLines w:val="0"/>
                    <w:widowControl/>
                    <w:suppressLineNumbers w:val="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3.465</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442" w:type="pct"/>
                  <w:shd w:val="clear" w:color="auto" w:fill="auto"/>
                  <w:noWrap w:val="0"/>
                  <w:vAlign w:val="center"/>
                </w:tcPr>
                <w:p w14:paraId="40E8E0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ascii="Times New Roman" w:hAnsi="Times New Roman" w:eastAsia="宋体" w:cs="Times New Roman"/>
                      <w:color w:val="auto"/>
                      <w:kern w:val="2"/>
                      <w:position w:val="0"/>
                      <w:sz w:val="21"/>
                      <w:szCs w:val="21"/>
                      <w:highlight w:val="none"/>
                      <w:lang w:val="en-US" w:eastAsia="zh-CN" w:bidi="ar-SA"/>
                    </w:rPr>
                  </w:pPr>
                  <w:r>
                    <w:rPr>
                      <w:rFonts w:hint="eastAsia" w:cs="Times New Roman"/>
                      <w:i w:val="0"/>
                      <w:iCs w:val="0"/>
                      <w:color w:val="auto"/>
                      <w:kern w:val="0"/>
                      <w:sz w:val="21"/>
                      <w:szCs w:val="21"/>
                      <w:highlight w:val="none"/>
                      <w:u w:val="none"/>
                      <w:lang w:val="en-US" w:eastAsia="zh-CN" w:bidi="ar"/>
                    </w:rPr>
                    <w:t>喷粉工序</w:t>
                  </w:r>
                </w:p>
              </w:tc>
              <w:tc>
                <w:tcPr>
                  <w:tcW w:w="397" w:type="pct"/>
                  <w:shd w:val="clear" w:color="auto" w:fill="auto"/>
                  <w:noWrap w:val="0"/>
                  <w:vAlign w:val="center"/>
                </w:tcPr>
                <w:p w14:paraId="758A6BA8">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固态</w:t>
                  </w:r>
                </w:p>
              </w:tc>
              <w:tc>
                <w:tcPr>
                  <w:tcW w:w="463" w:type="pct"/>
                  <w:shd w:val="clear" w:color="auto" w:fill="auto"/>
                  <w:noWrap w:val="0"/>
                  <w:vAlign w:val="center"/>
                </w:tcPr>
                <w:p w14:paraId="1D7D2C37">
                  <w:pPr>
                    <w:widowControl/>
                    <w:spacing w:line="240" w:lineRule="auto"/>
                    <w:jc w:val="center"/>
                    <w:rPr>
                      <w:rFonts w:hint="eastAsia" w:ascii="Times New Roman" w:hAnsi="Times New Roman" w:eastAsia="宋体" w:cs="Times New Roman"/>
                      <w:color w:val="auto"/>
                      <w:kern w:val="2"/>
                      <w:position w:val="0"/>
                      <w:sz w:val="21"/>
                      <w:szCs w:val="21"/>
                      <w:highlight w:val="none"/>
                      <w:lang w:val="en-US" w:eastAsia="zh-CN" w:bidi="ar-SA"/>
                    </w:rPr>
                  </w:pPr>
                  <w:r>
                    <w:rPr>
                      <w:rFonts w:hint="eastAsia" w:cs="Times New Roman"/>
                      <w:color w:val="auto"/>
                      <w:sz w:val="21"/>
                      <w:szCs w:val="21"/>
                      <w:highlight w:val="none"/>
                      <w:lang w:val="en-US" w:eastAsia="zh-CN"/>
                    </w:rPr>
                    <w:t>有机树脂</w:t>
                  </w:r>
                </w:p>
              </w:tc>
              <w:tc>
                <w:tcPr>
                  <w:tcW w:w="383" w:type="pct"/>
                  <w:shd w:val="clear" w:color="auto" w:fill="auto"/>
                  <w:noWrap w:val="0"/>
                  <w:vAlign w:val="center"/>
                </w:tcPr>
                <w:p w14:paraId="2E2699CF">
                  <w:pPr>
                    <w:widowControl/>
                    <w:spacing w:line="240" w:lineRule="auto"/>
                    <w:jc w:val="center"/>
                    <w:rPr>
                      <w:rFonts w:hint="eastAsia" w:ascii="Times New Roman" w:hAnsi="Times New Roman" w:eastAsia="宋体" w:cs="Times New Roman"/>
                      <w:color w:val="auto"/>
                      <w:kern w:val="2"/>
                      <w:position w:val="0"/>
                      <w:sz w:val="21"/>
                      <w:szCs w:val="21"/>
                      <w:highlight w:val="none"/>
                      <w:lang w:val="en-US" w:eastAsia="zh-CN" w:bidi="ar-SA"/>
                    </w:rPr>
                  </w:pPr>
                  <w:r>
                    <w:rPr>
                      <w:rFonts w:hint="eastAsia" w:cs="Times New Roman"/>
                      <w:color w:val="auto"/>
                      <w:sz w:val="21"/>
                      <w:szCs w:val="21"/>
                      <w:highlight w:val="none"/>
                      <w:lang w:val="en-US" w:eastAsia="zh-CN"/>
                    </w:rPr>
                    <w:t>有机树脂</w:t>
                  </w:r>
                </w:p>
              </w:tc>
              <w:tc>
                <w:tcPr>
                  <w:tcW w:w="335" w:type="pct"/>
                  <w:shd w:val="clear" w:color="auto" w:fill="auto"/>
                  <w:noWrap w:val="0"/>
                  <w:vAlign w:val="center"/>
                </w:tcPr>
                <w:p w14:paraId="3F03C199">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每月</w:t>
                  </w:r>
                </w:p>
              </w:tc>
              <w:tc>
                <w:tcPr>
                  <w:tcW w:w="370" w:type="pct"/>
                  <w:shd w:val="clear" w:color="auto" w:fill="auto"/>
                  <w:noWrap w:val="0"/>
                  <w:vAlign w:val="center"/>
                </w:tcPr>
                <w:p w14:paraId="02663230">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rPr>
                    <w:t>T</w:t>
                  </w:r>
                </w:p>
              </w:tc>
              <w:tc>
                <w:tcPr>
                  <w:tcW w:w="392" w:type="pct"/>
                  <w:vMerge w:val="continue"/>
                  <w:noWrap w:val="0"/>
                  <w:vAlign w:val="center"/>
                </w:tcPr>
                <w:p w14:paraId="5A26E25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6C06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1EB53B64">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废催化剂</w:t>
                  </w:r>
                </w:p>
              </w:tc>
              <w:tc>
                <w:tcPr>
                  <w:tcW w:w="510" w:type="pct"/>
                  <w:noWrap w:val="0"/>
                  <w:vAlign w:val="center"/>
                </w:tcPr>
                <w:p w14:paraId="4D6C2F26">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HW50</w:t>
                  </w:r>
                </w:p>
              </w:tc>
              <w:tc>
                <w:tcPr>
                  <w:tcW w:w="542" w:type="pct"/>
                  <w:noWrap w:val="0"/>
                  <w:vAlign w:val="center"/>
                </w:tcPr>
                <w:p w14:paraId="5F221448">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900-049-50</w:t>
                  </w:r>
                </w:p>
              </w:tc>
              <w:tc>
                <w:tcPr>
                  <w:tcW w:w="427" w:type="pct"/>
                  <w:shd w:val="clear" w:color="auto" w:fill="auto"/>
                  <w:noWrap w:val="0"/>
                  <w:vAlign w:val="center"/>
                </w:tcPr>
                <w:p w14:paraId="7C72666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0.16</w:t>
                  </w:r>
                </w:p>
              </w:tc>
              <w:tc>
                <w:tcPr>
                  <w:tcW w:w="442" w:type="pct"/>
                  <w:noWrap w:val="0"/>
                  <w:vAlign w:val="center"/>
                </w:tcPr>
                <w:p w14:paraId="6F2078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kern w:val="2"/>
                      <w:position w:val="0"/>
                      <w:sz w:val="21"/>
                      <w:szCs w:val="21"/>
                      <w:highlight w:val="none"/>
                      <w:lang w:val="en-US" w:eastAsia="zh-CN"/>
                    </w:rPr>
                    <w:t>废气处理</w:t>
                  </w:r>
                </w:p>
              </w:tc>
              <w:tc>
                <w:tcPr>
                  <w:tcW w:w="397" w:type="pct"/>
                  <w:noWrap w:val="0"/>
                  <w:vAlign w:val="center"/>
                </w:tcPr>
                <w:p w14:paraId="08929B11">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固体</w:t>
                  </w:r>
                </w:p>
              </w:tc>
              <w:tc>
                <w:tcPr>
                  <w:tcW w:w="463" w:type="pct"/>
                  <w:noWrap w:val="0"/>
                  <w:vAlign w:val="center"/>
                </w:tcPr>
                <w:p w14:paraId="36028E85">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kern w:val="2"/>
                      <w:position w:val="0"/>
                      <w:sz w:val="21"/>
                      <w:szCs w:val="21"/>
                      <w:highlight w:val="none"/>
                      <w:lang w:val="en-US" w:eastAsia="zh-CN"/>
                    </w:rPr>
                    <w:t>有机物</w:t>
                  </w:r>
                </w:p>
              </w:tc>
              <w:tc>
                <w:tcPr>
                  <w:tcW w:w="383" w:type="pct"/>
                  <w:noWrap w:val="0"/>
                  <w:vAlign w:val="center"/>
                </w:tcPr>
                <w:p w14:paraId="744261CA">
                  <w:pPr>
                    <w:widowControl/>
                    <w:spacing w:line="240" w:lineRule="auto"/>
                    <w:jc w:val="center"/>
                    <w:rPr>
                      <w:rFonts w:hint="default" w:ascii="Times New Roman" w:hAnsi="Times New Roman" w:cs="Times New Roman"/>
                      <w:color w:val="auto"/>
                      <w:kern w:val="2"/>
                      <w:position w:val="0"/>
                      <w:sz w:val="21"/>
                      <w:szCs w:val="21"/>
                      <w:highlight w:val="none"/>
                      <w:lang w:val="en-US" w:eastAsia="zh-CN"/>
                    </w:rPr>
                  </w:pPr>
                  <w:r>
                    <w:rPr>
                      <w:rFonts w:hint="eastAsia" w:cs="Times New Roman"/>
                      <w:color w:val="auto"/>
                      <w:kern w:val="2"/>
                      <w:position w:val="0"/>
                      <w:sz w:val="21"/>
                      <w:szCs w:val="21"/>
                      <w:highlight w:val="none"/>
                      <w:lang w:val="en-US" w:eastAsia="zh-CN"/>
                    </w:rPr>
                    <w:t>有机物</w:t>
                  </w:r>
                </w:p>
              </w:tc>
              <w:tc>
                <w:tcPr>
                  <w:tcW w:w="335" w:type="pct"/>
                  <w:noWrap w:val="0"/>
                  <w:vAlign w:val="center"/>
                </w:tcPr>
                <w:p w14:paraId="227D50E2">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每年</w:t>
                  </w:r>
                </w:p>
              </w:tc>
              <w:tc>
                <w:tcPr>
                  <w:tcW w:w="370" w:type="pct"/>
                  <w:shd w:val="clear" w:color="auto" w:fill="auto"/>
                  <w:noWrap w:val="0"/>
                  <w:vAlign w:val="center"/>
                </w:tcPr>
                <w:p w14:paraId="56D6F38F">
                  <w:pPr>
                    <w:widowControl/>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T</w:t>
                  </w:r>
                </w:p>
              </w:tc>
              <w:tc>
                <w:tcPr>
                  <w:tcW w:w="392" w:type="pct"/>
                  <w:vMerge w:val="continue"/>
                  <w:noWrap w:val="0"/>
                  <w:vAlign w:val="center"/>
                </w:tcPr>
                <w:p w14:paraId="35C6DF7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r w14:paraId="78143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4" w:type="pct"/>
                  <w:noWrap w:val="0"/>
                  <w:vAlign w:val="center"/>
                </w:tcPr>
                <w:p w14:paraId="5953E1E1">
                  <w:pPr>
                    <w:pStyle w:val="109"/>
                    <w:pageBreakBefore w:val="0"/>
                    <w:tabs>
                      <w:tab w:val="left" w:pos="-2848"/>
                    </w:tabs>
                    <w:wordWrap w:val="0"/>
                    <w:topLinePunct/>
                    <w:bidi w:val="0"/>
                    <w:spacing w:beforeAutospacing="0" w:afterAutospacing="0"/>
                    <w:rPr>
                      <w:rFonts w:hint="default" w:ascii="Times New Roman" w:hAnsi="Times New Roman"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喷淋废液及沉渣</w:t>
                  </w:r>
                </w:p>
              </w:tc>
              <w:tc>
                <w:tcPr>
                  <w:tcW w:w="510" w:type="pct"/>
                  <w:noWrap w:val="0"/>
                  <w:vAlign w:val="center"/>
                </w:tcPr>
                <w:p w14:paraId="1B5CFD1C">
                  <w:pPr>
                    <w:pStyle w:val="109"/>
                    <w:pageBreakBefore w:val="0"/>
                    <w:tabs>
                      <w:tab w:val="left" w:pos="-2848"/>
                    </w:tabs>
                    <w:wordWrap w:val="0"/>
                    <w:topLinePunct/>
                    <w:bidi w:val="0"/>
                    <w:spacing w:beforeAutospacing="0" w:afterAutospacing="0"/>
                    <w:rPr>
                      <w:rFonts w:hint="default" w:ascii="Times New Roman" w:hAnsi="Times New Roman"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HW12</w:t>
                  </w:r>
                </w:p>
              </w:tc>
              <w:tc>
                <w:tcPr>
                  <w:tcW w:w="542" w:type="pct"/>
                  <w:noWrap w:val="0"/>
                  <w:vAlign w:val="center"/>
                </w:tcPr>
                <w:p w14:paraId="0FFB74C1">
                  <w:pPr>
                    <w:pStyle w:val="109"/>
                    <w:pageBreakBefore w:val="0"/>
                    <w:tabs>
                      <w:tab w:val="left" w:pos="-2848"/>
                    </w:tabs>
                    <w:wordWrap w:val="0"/>
                    <w:topLinePunct/>
                    <w:bidi w:val="0"/>
                    <w:spacing w:beforeAutospacing="0" w:afterAutospacing="0"/>
                    <w:rPr>
                      <w:rFonts w:hint="default" w:ascii="Times New Roman" w:hAnsi="Times New Roman" w:cs="Times New Roman"/>
                      <w:i w:val="0"/>
                      <w:iCs w:val="0"/>
                      <w:color w:val="auto"/>
                      <w:kern w:val="0"/>
                      <w:sz w:val="21"/>
                      <w:szCs w:val="21"/>
                      <w:highlight w:val="none"/>
                      <w:u w:val="none"/>
                      <w:lang w:val="en-US" w:eastAsia="zh-CN" w:bidi="ar"/>
                    </w:rPr>
                  </w:pPr>
                  <w:r>
                    <w:rPr>
                      <w:rFonts w:hint="eastAsia" w:ascii="Times New Roman" w:hAnsi="Times New Roman" w:cs="Times New Roman"/>
                      <w:i w:val="0"/>
                      <w:iCs w:val="0"/>
                      <w:color w:val="auto"/>
                      <w:kern w:val="0"/>
                      <w:sz w:val="21"/>
                      <w:szCs w:val="21"/>
                      <w:highlight w:val="none"/>
                      <w:u w:val="none"/>
                      <w:lang w:val="en-US" w:eastAsia="zh-CN" w:bidi="ar"/>
                    </w:rPr>
                    <w:t>900-252-12</w:t>
                  </w:r>
                </w:p>
              </w:tc>
              <w:tc>
                <w:tcPr>
                  <w:tcW w:w="427" w:type="pct"/>
                  <w:shd w:val="clear" w:color="auto" w:fill="auto"/>
                  <w:noWrap w:val="0"/>
                  <w:vAlign w:val="center"/>
                </w:tcPr>
                <w:p w14:paraId="26ADD1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262.726</w:t>
                  </w:r>
                </w:p>
              </w:tc>
              <w:tc>
                <w:tcPr>
                  <w:tcW w:w="442" w:type="pct"/>
                  <w:noWrap w:val="0"/>
                  <w:vAlign w:val="center"/>
                </w:tcPr>
                <w:p w14:paraId="4D2527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eastAsia" w:cs="Times New Roman"/>
                      <w:color w:val="auto"/>
                      <w:kern w:val="2"/>
                      <w:position w:val="0"/>
                      <w:sz w:val="21"/>
                      <w:szCs w:val="21"/>
                      <w:highlight w:val="none"/>
                      <w:lang w:val="en-US" w:eastAsia="zh-CN"/>
                    </w:rPr>
                  </w:pPr>
                  <w:r>
                    <w:rPr>
                      <w:rFonts w:hint="eastAsia" w:cs="Times New Roman"/>
                      <w:color w:val="auto"/>
                      <w:kern w:val="2"/>
                      <w:position w:val="0"/>
                      <w:sz w:val="21"/>
                      <w:szCs w:val="21"/>
                      <w:highlight w:val="none"/>
                      <w:lang w:val="en-US" w:eastAsia="zh-CN"/>
                    </w:rPr>
                    <w:t>废气处理</w:t>
                  </w:r>
                </w:p>
              </w:tc>
              <w:tc>
                <w:tcPr>
                  <w:tcW w:w="397" w:type="pct"/>
                  <w:noWrap w:val="0"/>
                  <w:vAlign w:val="center"/>
                </w:tcPr>
                <w:p w14:paraId="1474E471">
                  <w:pPr>
                    <w:widowControl/>
                    <w:spacing w:line="240" w:lineRule="auto"/>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固体</w:t>
                  </w:r>
                </w:p>
              </w:tc>
              <w:tc>
                <w:tcPr>
                  <w:tcW w:w="463" w:type="pct"/>
                  <w:noWrap w:val="0"/>
                  <w:vAlign w:val="center"/>
                </w:tcPr>
                <w:p w14:paraId="1D9C2C2C">
                  <w:pPr>
                    <w:widowControl/>
                    <w:spacing w:line="240" w:lineRule="auto"/>
                    <w:jc w:val="center"/>
                    <w:rPr>
                      <w:rFonts w:hint="eastAsia" w:cs="Times New Roman"/>
                      <w:color w:val="auto"/>
                      <w:kern w:val="2"/>
                      <w:position w:val="0"/>
                      <w:sz w:val="21"/>
                      <w:szCs w:val="21"/>
                      <w:highlight w:val="none"/>
                      <w:lang w:val="en-US" w:eastAsia="zh-CN"/>
                    </w:rPr>
                  </w:pPr>
                  <w:r>
                    <w:rPr>
                      <w:rFonts w:hint="eastAsia" w:cs="Times New Roman"/>
                      <w:color w:val="auto"/>
                      <w:kern w:val="2"/>
                      <w:position w:val="0"/>
                      <w:sz w:val="21"/>
                      <w:szCs w:val="21"/>
                      <w:highlight w:val="none"/>
                      <w:lang w:val="en-US" w:eastAsia="zh-CN"/>
                    </w:rPr>
                    <w:t>有机物</w:t>
                  </w:r>
                </w:p>
              </w:tc>
              <w:tc>
                <w:tcPr>
                  <w:tcW w:w="383" w:type="pct"/>
                  <w:noWrap w:val="0"/>
                  <w:vAlign w:val="center"/>
                </w:tcPr>
                <w:p w14:paraId="300ED2A4">
                  <w:pPr>
                    <w:widowControl/>
                    <w:spacing w:line="240" w:lineRule="auto"/>
                    <w:jc w:val="center"/>
                    <w:rPr>
                      <w:rFonts w:hint="eastAsia" w:cs="Times New Roman"/>
                      <w:color w:val="auto"/>
                      <w:kern w:val="2"/>
                      <w:position w:val="0"/>
                      <w:sz w:val="21"/>
                      <w:szCs w:val="21"/>
                      <w:highlight w:val="none"/>
                      <w:lang w:val="en-US" w:eastAsia="zh-CN"/>
                    </w:rPr>
                  </w:pPr>
                  <w:r>
                    <w:rPr>
                      <w:rFonts w:hint="eastAsia" w:cs="Times New Roman"/>
                      <w:color w:val="auto"/>
                      <w:kern w:val="2"/>
                      <w:position w:val="0"/>
                      <w:sz w:val="21"/>
                      <w:szCs w:val="21"/>
                      <w:highlight w:val="none"/>
                      <w:lang w:val="en-US" w:eastAsia="zh-CN"/>
                    </w:rPr>
                    <w:t>有机物</w:t>
                  </w:r>
                </w:p>
              </w:tc>
              <w:tc>
                <w:tcPr>
                  <w:tcW w:w="335" w:type="pct"/>
                  <w:noWrap w:val="0"/>
                  <w:vAlign w:val="center"/>
                </w:tcPr>
                <w:p w14:paraId="6F82A715">
                  <w:pPr>
                    <w:keepNext w:val="0"/>
                    <w:keepLines w:val="0"/>
                    <w:pageBreakBefore w:val="0"/>
                    <w:suppressLineNumbers w:val="0"/>
                    <w:kinsoku/>
                    <w:overflowPunct/>
                    <w:topLinePunct w:val="0"/>
                    <w:bidi w:val="0"/>
                    <w:adjustRightInd w:val="0"/>
                    <w:snapToGrid/>
                    <w:spacing w:before="0" w:beforeAutospacing="0" w:after="0" w:afterAutospacing="0" w:line="240" w:lineRule="auto"/>
                    <w:ind w:left="0" w:leftChars="0" w:right="0" w:right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每月</w:t>
                  </w:r>
                </w:p>
              </w:tc>
              <w:tc>
                <w:tcPr>
                  <w:tcW w:w="370" w:type="pct"/>
                  <w:shd w:val="clear" w:color="auto" w:fill="auto"/>
                  <w:noWrap w:val="0"/>
                  <w:vAlign w:val="center"/>
                </w:tcPr>
                <w:p w14:paraId="4F650726">
                  <w:pPr>
                    <w:widowControl/>
                    <w:spacing w:line="240" w:lineRule="auto"/>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T</w:t>
                  </w:r>
                </w:p>
              </w:tc>
              <w:tc>
                <w:tcPr>
                  <w:tcW w:w="392" w:type="pct"/>
                  <w:vMerge w:val="continue"/>
                  <w:noWrap w:val="0"/>
                  <w:vAlign w:val="center"/>
                </w:tcPr>
                <w:p w14:paraId="7AE7AD6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right="0"/>
                    <w:jc w:val="center"/>
                    <w:rPr>
                      <w:rFonts w:hint="default" w:ascii="Times New Roman" w:hAnsi="Times New Roman" w:cs="Times New Roman"/>
                      <w:b/>
                      <w:bCs/>
                      <w:color w:val="auto"/>
                      <w:kern w:val="2"/>
                      <w:sz w:val="21"/>
                      <w:szCs w:val="21"/>
                      <w:highlight w:val="none"/>
                    </w:rPr>
                  </w:pPr>
                </w:p>
              </w:tc>
            </w:tr>
          </w:tbl>
          <w:p w14:paraId="0C7E1541">
            <w:pPr>
              <w:pStyle w:val="43"/>
              <w:spacing w:after="0" w:line="120" w:lineRule="auto"/>
              <w:ind w:firstLine="482"/>
              <w:rPr>
                <w:rFonts w:hint="default" w:ascii="Times New Roman" w:hAnsi="Times New Roman" w:eastAsia="宋体" w:cs="Times New Roman"/>
                <w:b/>
                <w:color w:val="auto"/>
                <w:szCs w:val="21"/>
                <w:highlight w:val="none"/>
              </w:rPr>
            </w:pPr>
          </w:p>
          <w:p w14:paraId="255D5E53">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（1）生活垃圾</w:t>
            </w:r>
          </w:p>
          <w:p w14:paraId="072F153D">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①</w:t>
            </w:r>
            <w:r>
              <w:rPr>
                <w:rFonts w:hint="default" w:ascii="Times New Roman" w:hAnsi="Times New Roman" w:cs="Times New Roman"/>
                <w:color w:val="auto"/>
                <w:sz w:val="24"/>
                <w:szCs w:val="24"/>
                <w:highlight w:val="none"/>
              </w:rPr>
              <w:t>本项目劳动定员</w:t>
            </w:r>
            <w:r>
              <w:rPr>
                <w:rFonts w:hint="default" w:ascii="Times New Roman" w:hAnsi="Times New Roman" w:cs="Times New Roman"/>
                <w:color w:val="auto"/>
                <w:sz w:val="24"/>
                <w:szCs w:val="24"/>
                <w:highlight w:val="none"/>
                <w:lang w:val="en-US" w:eastAsia="zh-CN"/>
              </w:rPr>
              <w:t>160</w:t>
            </w:r>
            <w:r>
              <w:rPr>
                <w:rFonts w:hint="default" w:ascii="Times New Roman" w:hAnsi="Times New Roman" w:cs="Times New Roman"/>
                <w:color w:val="auto"/>
                <w:sz w:val="24"/>
                <w:szCs w:val="24"/>
                <w:highlight w:val="none"/>
              </w:rPr>
              <w:t>人，</w:t>
            </w:r>
            <w:r>
              <w:rPr>
                <w:rFonts w:hint="default" w:ascii="Times New Roman" w:hAnsi="Times New Roman" w:cs="Times New Roman"/>
                <w:color w:val="auto"/>
                <w:sz w:val="24"/>
                <w:szCs w:val="24"/>
                <w:highlight w:val="none"/>
                <w:lang w:val="en-US" w:eastAsia="zh-CN"/>
              </w:rPr>
              <w:t>其中140人</w:t>
            </w:r>
            <w:r>
              <w:rPr>
                <w:rFonts w:hint="default" w:ascii="Times New Roman" w:hAnsi="Times New Roman" w:cs="Times New Roman"/>
                <w:color w:val="auto"/>
                <w:sz w:val="24"/>
                <w:szCs w:val="24"/>
                <w:highlight w:val="none"/>
              </w:rPr>
              <w:t>在厂内</w:t>
            </w:r>
            <w:r>
              <w:rPr>
                <w:rFonts w:hint="default" w:ascii="Times New Roman" w:hAnsi="Times New Roman" w:cs="Times New Roman"/>
                <w:color w:val="auto"/>
                <w:sz w:val="24"/>
                <w:szCs w:val="24"/>
                <w:highlight w:val="none"/>
                <w:lang w:val="en-US" w:eastAsia="zh-CN"/>
              </w:rPr>
              <w:t>食宿</w:t>
            </w:r>
            <w:r>
              <w:rPr>
                <w:rFonts w:hint="default" w:ascii="Times New Roman" w:hAnsi="Times New Roman" w:cs="Times New Roman"/>
                <w:color w:val="auto"/>
                <w:sz w:val="24"/>
                <w:szCs w:val="24"/>
                <w:highlight w:val="none"/>
              </w:rPr>
              <w:t>，年工作</w:t>
            </w:r>
            <w:r>
              <w:rPr>
                <w:rFonts w:hint="default" w:ascii="Times New Roman" w:hAnsi="Times New Roman" w:cs="Times New Roman"/>
                <w:color w:val="auto"/>
                <w:sz w:val="24"/>
                <w:szCs w:val="24"/>
                <w:highlight w:val="none"/>
                <w:lang w:val="en-US" w:eastAsia="zh-CN"/>
              </w:rPr>
              <w:t>241</w:t>
            </w:r>
            <w:r>
              <w:rPr>
                <w:rFonts w:hint="default" w:ascii="Times New Roman" w:hAnsi="Times New Roman" w:cs="Times New Roman"/>
                <w:color w:val="auto"/>
                <w:sz w:val="24"/>
                <w:szCs w:val="24"/>
                <w:highlight w:val="none"/>
              </w:rPr>
              <w:t>天，</w:t>
            </w:r>
            <w:r>
              <w:rPr>
                <w:rFonts w:hint="default" w:ascii="Times New Roman" w:hAnsi="Times New Roman" w:cs="Times New Roman"/>
                <w:color w:val="auto"/>
                <w:sz w:val="24"/>
                <w:szCs w:val="24"/>
                <w:highlight w:val="none"/>
                <w:lang w:val="en-US" w:eastAsia="zh-CN"/>
              </w:rPr>
              <w:t>住宿</w:t>
            </w:r>
            <w:r>
              <w:rPr>
                <w:rFonts w:hint="default" w:ascii="Times New Roman" w:hAnsi="Times New Roman" w:cs="Times New Roman"/>
                <w:color w:val="auto"/>
                <w:sz w:val="24"/>
                <w:szCs w:val="24"/>
                <w:highlight w:val="none"/>
              </w:rPr>
              <w:t>按每人每天生活垃圾产生量为</w:t>
            </w:r>
            <w:r>
              <w:rPr>
                <w:rFonts w:hint="default" w:ascii="Times New Roman" w:hAnsi="Times New Roman" w:cs="Times New Roman"/>
                <w:color w:val="auto"/>
                <w:sz w:val="24"/>
                <w:szCs w:val="24"/>
                <w:highlight w:val="none"/>
                <w:lang w:val="en-US" w:eastAsia="zh-CN"/>
              </w:rPr>
              <w:t>1.0</w:t>
            </w:r>
            <w:r>
              <w:rPr>
                <w:rFonts w:hint="default" w:ascii="Times New Roman" w:hAnsi="Times New Roman" w:cs="Times New Roman"/>
                <w:color w:val="auto"/>
                <w:sz w:val="24"/>
                <w:szCs w:val="24"/>
                <w:highlight w:val="none"/>
              </w:rPr>
              <w:t>kg，</w:t>
            </w:r>
            <w:r>
              <w:rPr>
                <w:rFonts w:hint="default" w:ascii="Times New Roman" w:hAnsi="Times New Roman" w:cs="Times New Roman"/>
                <w:color w:val="auto"/>
                <w:sz w:val="24"/>
                <w:szCs w:val="24"/>
                <w:highlight w:val="none"/>
                <w:lang w:val="en-US" w:eastAsia="zh-CN"/>
              </w:rPr>
              <w:t>不住宿</w:t>
            </w:r>
            <w:r>
              <w:rPr>
                <w:rFonts w:hint="default" w:ascii="Times New Roman" w:hAnsi="Times New Roman" w:cs="Times New Roman"/>
                <w:color w:val="auto"/>
                <w:sz w:val="24"/>
                <w:szCs w:val="24"/>
                <w:highlight w:val="none"/>
              </w:rPr>
              <w:t>按每人每天生活垃圾产生量为0.5kg，生活垃圾产生量为</w:t>
            </w:r>
            <w:r>
              <w:rPr>
                <w:rFonts w:hint="default" w:ascii="Times New Roman" w:hAnsi="Times New Roman" w:cs="Times New Roman"/>
                <w:color w:val="auto"/>
                <w:sz w:val="24"/>
                <w:szCs w:val="24"/>
                <w:highlight w:val="none"/>
                <w:lang w:val="en-US" w:eastAsia="zh-CN"/>
              </w:rPr>
              <w:t>36.15</w:t>
            </w:r>
            <w:r>
              <w:rPr>
                <w:rFonts w:hint="default" w:ascii="Times New Roman" w:hAnsi="Times New Roman" w:cs="Times New Roman"/>
                <w:color w:val="auto"/>
                <w:sz w:val="24"/>
                <w:szCs w:val="24"/>
                <w:highlight w:val="none"/>
              </w:rPr>
              <w:t>t/a。</w:t>
            </w:r>
          </w:p>
          <w:p w14:paraId="57BABF47">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4"/>
                <w:sz w:val="24"/>
                <w:szCs w:val="24"/>
                <w:highlight w:val="none"/>
                <w:lang w:eastAsia="zh-CN"/>
              </w:rPr>
              <w:t>生活垃圾</w:t>
            </w:r>
            <w:r>
              <w:rPr>
                <w:rFonts w:hint="default" w:ascii="Times New Roman" w:hAnsi="Times New Roman" w:eastAsia="宋体" w:cs="Times New Roman"/>
                <w:color w:val="auto"/>
                <w:kern w:val="24"/>
                <w:sz w:val="24"/>
                <w:szCs w:val="24"/>
                <w:highlight w:val="none"/>
              </w:rPr>
              <w:t>属于《固体废物分类与代码</w:t>
            </w:r>
            <w:r>
              <w:rPr>
                <w:rFonts w:hint="eastAsia" w:cs="Times New Roman"/>
                <w:color w:val="auto"/>
                <w:kern w:val="24"/>
                <w:sz w:val="24"/>
                <w:szCs w:val="24"/>
                <w:highlight w:val="none"/>
                <w:lang w:val="en-US" w:eastAsia="zh-CN"/>
              </w:rPr>
              <w:t>目</w:t>
            </w:r>
            <w:r>
              <w:rPr>
                <w:rFonts w:hint="default" w:ascii="Times New Roman" w:hAnsi="Times New Roman" w:eastAsia="宋体" w:cs="Times New Roman"/>
                <w:color w:val="auto"/>
                <w:kern w:val="24"/>
                <w:sz w:val="24"/>
                <w:szCs w:val="24"/>
                <w:highlight w:val="none"/>
              </w:rPr>
              <w:t>录》（公告2024年第4号）</w:t>
            </w:r>
            <w:r>
              <w:rPr>
                <w:rFonts w:hint="default" w:ascii="Times New Roman" w:hAnsi="Times New Roman" w:eastAsia="宋体" w:cs="Times New Roman"/>
                <w:color w:val="auto"/>
                <w:kern w:val="24"/>
                <w:sz w:val="24"/>
                <w:szCs w:val="24"/>
                <w:highlight w:val="none"/>
                <w:lang w:eastAsia="zh-CN"/>
              </w:rPr>
              <w:t>中“SW64其他垃圾”，代码900-099-S64，</w:t>
            </w:r>
            <w:r>
              <w:rPr>
                <w:rFonts w:hint="default" w:ascii="Times New Roman" w:hAnsi="Times New Roman" w:eastAsia="宋体" w:cs="Times New Roman"/>
                <w:color w:val="auto"/>
                <w:kern w:val="24"/>
                <w:sz w:val="24"/>
                <w:szCs w:val="24"/>
                <w:highlight w:val="none"/>
              </w:rPr>
              <w:t>生活垃圾主要成分是废纸张、瓜果皮核、饮料包装瓶和塑料包装纸等，统一收集后交由环卫部门定期清运处理</w:t>
            </w:r>
            <w:r>
              <w:rPr>
                <w:rFonts w:hint="default" w:ascii="Times New Roman" w:hAnsi="Times New Roman" w:cs="Times New Roman"/>
                <w:color w:val="auto"/>
                <w:sz w:val="24"/>
                <w:szCs w:val="24"/>
                <w:highlight w:val="none"/>
                <w:lang w:val="en-US" w:eastAsia="zh-CN"/>
              </w:rPr>
              <w:t>。</w:t>
            </w:r>
          </w:p>
          <w:p w14:paraId="05DF21BC">
            <w:pPr>
              <w:keepNext w:val="0"/>
              <w:keepLines w:val="0"/>
              <w:suppressLineNumbers w:val="0"/>
              <w:spacing w:before="0" w:beforeAutospacing="0" w:after="0" w:afterAutospacing="0" w:line="360" w:lineRule="auto"/>
              <w:ind w:left="0" w:right="0" w:firstLine="480"/>
              <w:rPr>
                <w:rFonts w:hint="default" w:ascii="Times New Roman" w:hAnsi="Times New Roman" w:eastAsia="宋体" w:cs="Times New Roman"/>
                <w:color w:val="auto"/>
                <w:kern w:val="24"/>
                <w:sz w:val="24"/>
                <w:szCs w:val="24"/>
                <w:highlight w:val="none"/>
                <w:lang w:val="en-US" w:eastAsia="zh-CN"/>
              </w:rPr>
            </w:pPr>
            <w:r>
              <w:rPr>
                <w:rFonts w:hint="eastAsia" w:ascii="Times New Roman" w:hAnsi="Times New Roman" w:eastAsia="宋体" w:cs="Times New Roman"/>
                <w:color w:val="auto"/>
                <w:kern w:val="24"/>
                <w:sz w:val="24"/>
                <w:szCs w:val="24"/>
                <w:highlight w:val="none"/>
                <w:lang w:val="en-US" w:eastAsia="zh-CN"/>
              </w:rPr>
              <w:t>②废油脂</w:t>
            </w:r>
          </w:p>
          <w:p w14:paraId="423179A9">
            <w:pPr>
              <w:keepNext w:val="0"/>
              <w:keepLines w:val="0"/>
              <w:suppressLineNumbers w:val="0"/>
              <w:spacing w:before="0" w:beforeAutospacing="0" w:after="0" w:afterAutospacing="0" w:line="360" w:lineRule="auto"/>
              <w:ind w:left="0" w:right="0" w:firstLine="480"/>
              <w:rPr>
                <w:rFonts w:hint="eastAsia" w:ascii="Times New Roman" w:hAnsi="Times New Roman" w:eastAsia="宋体" w:cs="Times New Roman"/>
                <w:color w:val="auto"/>
                <w:kern w:val="24"/>
                <w:sz w:val="24"/>
                <w:szCs w:val="24"/>
                <w:highlight w:val="none"/>
                <w:lang w:val="en-US" w:eastAsia="zh-CN"/>
              </w:rPr>
            </w:pPr>
            <w:r>
              <w:rPr>
                <w:rFonts w:hint="eastAsia" w:ascii="Times New Roman" w:hAnsi="Times New Roman" w:eastAsia="宋体" w:cs="Times New Roman"/>
                <w:color w:val="auto"/>
                <w:kern w:val="24"/>
                <w:sz w:val="24"/>
                <w:szCs w:val="24"/>
                <w:highlight w:val="none"/>
                <w:lang w:eastAsia="zh-CN"/>
              </w:rPr>
              <w:t>废油脂来源于隔油隔渣池和静电除油烟净化器，根据前文工程分析，隔油隔渣池废油脂产生量按动植物油削减量核算（</w:t>
            </w:r>
            <w:r>
              <w:rPr>
                <w:rFonts w:hint="eastAsia" w:ascii="Times New Roman" w:hAnsi="Times New Roman" w:eastAsia="宋体" w:cs="Times New Roman"/>
                <w:color w:val="auto"/>
                <w:kern w:val="24"/>
                <w:sz w:val="24"/>
                <w:szCs w:val="24"/>
                <w:highlight w:val="none"/>
                <w:lang w:val="en-US" w:eastAsia="zh-CN"/>
              </w:rPr>
              <w:t>0.166</w:t>
            </w:r>
            <w:r>
              <w:rPr>
                <w:rFonts w:hint="eastAsia" w:ascii="Times New Roman" w:hAnsi="Times New Roman" w:eastAsia="宋体" w:cs="Times New Roman"/>
                <w:color w:val="auto"/>
                <w:kern w:val="24"/>
                <w:sz w:val="24"/>
                <w:szCs w:val="24"/>
                <w:highlight w:val="none"/>
                <w:lang w:eastAsia="zh-CN"/>
              </w:rPr>
              <w:t>t/a），即本项目废油脂产生量约为</w:t>
            </w:r>
            <w:r>
              <w:rPr>
                <w:rFonts w:hint="eastAsia" w:ascii="Times New Roman" w:hAnsi="Times New Roman" w:eastAsia="宋体" w:cs="Times New Roman"/>
                <w:color w:val="auto"/>
                <w:kern w:val="24"/>
                <w:sz w:val="24"/>
                <w:szCs w:val="24"/>
                <w:highlight w:val="none"/>
                <w:lang w:val="en-US" w:eastAsia="zh-CN"/>
              </w:rPr>
              <w:t>0.166</w:t>
            </w:r>
            <w:r>
              <w:rPr>
                <w:rFonts w:hint="eastAsia" w:ascii="Times New Roman" w:hAnsi="Times New Roman" w:eastAsia="宋体" w:cs="Times New Roman"/>
                <w:color w:val="auto"/>
                <w:kern w:val="24"/>
                <w:sz w:val="24"/>
                <w:szCs w:val="24"/>
                <w:highlight w:val="none"/>
                <w:lang w:eastAsia="zh-CN"/>
              </w:rPr>
              <w:t>t/a。食堂餐厨垃圾及废油脂经收集后，交专业单位进行回收处置。</w:t>
            </w:r>
            <w:r>
              <w:rPr>
                <w:rFonts w:hint="default" w:ascii="Times New Roman" w:hAnsi="Times New Roman" w:eastAsia="宋体" w:cs="Times New Roman"/>
                <w:color w:val="auto"/>
                <w:kern w:val="24"/>
                <w:sz w:val="24"/>
                <w:szCs w:val="24"/>
                <w:highlight w:val="none"/>
                <w:lang w:val="en-US" w:eastAsia="zh-CN"/>
              </w:rPr>
              <w:t>根据《固体废物分类与代码目录》（生态环境部公告2024年第4号），其属于SW61厨余垃圾（900-002-S61餐厨垃圾）</w:t>
            </w:r>
            <w:r>
              <w:rPr>
                <w:rFonts w:hint="eastAsia" w:ascii="Times New Roman" w:hAnsi="Times New Roman" w:eastAsia="宋体" w:cs="Times New Roman"/>
                <w:color w:val="auto"/>
                <w:kern w:val="24"/>
                <w:sz w:val="24"/>
                <w:szCs w:val="24"/>
                <w:highlight w:val="none"/>
                <w:lang w:val="en-US" w:eastAsia="zh-CN"/>
              </w:rPr>
              <w:t>。</w:t>
            </w:r>
          </w:p>
          <w:p w14:paraId="177DCB8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（2）一般工业固体废物</w:t>
            </w:r>
          </w:p>
          <w:p w14:paraId="11271834">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①边角料</w:t>
            </w:r>
          </w:p>
          <w:p w14:paraId="1BE75F2A">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本项目机加工过程会产生少量边角料，</w:t>
            </w:r>
            <w:r>
              <w:rPr>
                <w:rFonts w:hint="default" w:ascii="Times New Roman" w:hAnsi="Times New Roman" w:cs="Times New Roman"/>
                <w:color w:val="auto"/>
                <w:sz w:val="24"/>
                <w:szCs w:val="24"/>
                <w:highlight w:val="none"/>
                <w:lang w:val="en-US" w:eastAsia="zh-CN"/>
              </w:rPr>
              <w:t>边角料产生量约为铝卷使用量的0.5%，铝卷使用量为8</w:t>
            </w:r>
            <w:r>
              <w:rPr>
                <w:rFonts w:hint="eastAsia" w:ascii="Times New Roman" w:cs="Times New Roman"/>
                <w:color w:val="auto"/>
                <w:sz w:val="24"/>
                <w:szCs w:val="24"/>
                <w:highlight w:val="none"/>
                <w:lang w:val="en-US" w:eastAsia="zh-CN"/>
              </w:rPr>
              <w:t>91</w:t>
            </w:r>
            <w:r>
              <w:rPr>
                <w:rFonts w:hint="default" w:ascii="Times New Roman" w:hAnsi="Times New Roman" w:cs="Times New Roman"/>
                <w:color w:val="auto"/>
                <w:sz w:val="24"/>
                <w:szCs w:val="24"/>
                <w:highlight w:val="none"/>
                <w:lang w:val="en-US" w:eastAsia="zh-CN"/>
              </w:rPr>
              <w:t>0t/a，则边角料</w:t>
            </w:r>
            <w:r>
              <w:rPr>
                <w:rFonts w:hint="default" w:ascii="Times New Roman" w:hAnsi="Times New Roman" w:cs="Times New Roman"/>
                <w:color w:val="auto"/>
                <w:sz w:val="24"/>
                <w:szCs w:val="24"/>
                <w:highlight w:val="none"/>
              </w:rPr>
              <w:t>产生量为</w:t>
            </w:r>
            <w:r>
              <w:rPr>
                <w:rFonts w:hint="eastAsia" w:ascii="Times New Roman" w:cs="Times New Roman"/>
                <w:color w:val="auto"/>
                <w:sz w:val="24"/>
                <w:szCs w:val="24"/>
                <w:highlight w:val="none"/>
                <w:lang w:val="en-US" w:eastAsia="zh-CN"/>
              </w:rPr>
              <w:t>44.55</w:t>
            </w:r>
            <w:r>
              <w:rPr>
                <w:rFonts w:hint="default" w:ascii="Times New Roman" w:hAnsi="Times New Roman" w:cs="Times New Roman"/>
                <w:color w:val="auto"/>
                <w:sz w:val="24"/>
                <w:szCs w:val="24"/>
                <w:highlight w:val="none"/>
              </w:rPr>
              <w:t>t/a，属于一般工业固体废物，</w:t>
            </w:r>
            <w:r>
              <w:rPr>
                <w:rFonts w:hint="default" w:ascii="Times New Roman" w:hAnsi="Times New Roman" w:cs="Times New Roman"/>
                <w:color w:val="auto"/>
                <w:sz w:val="24"/>
                <w:szCs w:val="24"/>
                <w:highlight w:val="none"/>
                <w:lang w:val="en-US" w:eastAsia="zh-CN"/>
              </w:rPr>
              <w:t>为《固体废物分类与代码目录》（生态环境部公告2024年第4号）中的“SW17可再生类废物”</w:t>
            </w:r>
            <w:r>
              <w:rPr>
                <w:rFonts w:hint="default" w:ascii="Times New Roman" w:hAnsi="Times New Roman" w:cs="Times New Roman"/>
                <w:color w:val="auto"/>
                <w:sz w:val="24"/>
                <w:szCs w:val="24"/>
                <w:highlight w:val="none"/>
              </w:rPr>
              <w:t>，代码为900-0</w:t>
            </w:r>
            <w:r>
              <w:rPr>
                <w:rFonts w:hint="default" w:ascii="Times New Roman" w:hAnsi="Times New Roman" w:cs="Times New Roman"/>
                <w:color w:val="auto"/>
                <w:sz w:val="24"/>
                <w:szCs w:val="24"/>
                <w:highlight w:val="none"/>
                <w:lang w:val="en-US" w:eastAsia="zh-CN"/>
              </w:rPr>
              <w:t>02</w:t>
            </w:r>
            <w:r>
              <w:rPr>
                <w:rFonts w:hint="default" w:ascii="Times New Roman" w:hAnsi="Times New Roman" w:cs="Times New Roman"/>
                <w:color w:val="auto"/>
                <w:sz w:val="24"/>
                <w:szCs w:val="24"/>
                <w:highlight w:val="none"/>
              </w:rPr>
              <w:t>-S17</w:t>
            </w:r>
            <w:r>
              <w:rPr>
                <w:rFonts w:hint="default" w:ascii="Times New Roman" w:hAnsi="Times New Roman" w:cs="Times New Roman"/>
                <w:color w:val="auto"/>
                <w:sz w:val="24"/>
                <w:szCs w:val="24"/>
                <w:highlight w:val="none"/>
                <w:lang w:eastAsia="zh-CN"/>
              </w:rPr>
              <w:t>（废</w:t>
            </w:r>
            <w:r>
              <w:rPr>
                <w:rFonts w:hint="default" w:ascii="Times New Roman" w:hAnsi="Times New Roman" w:cs="Times New Roman"/>
                <w:color w:val="auto"/>
                <w:sz w:val="24"/>
                <w:szCs w:val="24"/>
                <w:highlight w:val="none"/>
                <w:lang w:val="en-US" w:eastAsia="zh-CN"/>
              </w:rPr>
              <w:t>有色金属</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highlight w:val="none"/>
                <w:lang w:val="en-US" w:eastAsia="zh-CN"/>
              </w:rPr>
              <w:t>考虑到焊接</w:t>
            </w:r>
            <w:r>
              <w:rPr>
                <w:rFonts w:hint="eastAsia" w:ascii="Times New Roman" w:hAnsi="Times New Roman" w:cs="Times New Roman"/>
                <w:color w:val="auto"/>
                <w:highlight w:val="none"/>
                <w:lang w:val="en-US" w:eastAsia="zh-CN"/>
              </w:rPr>
              <w:t>过程</w:t>
            </w:r>
            <w:r>
              <w:rPr>
                <w:rFonts w:hint="default" w:ascii="Times New Roman" w:hAnsi="Times New Roman" w:cs="Times New Roman"/>
                <w:color w:val="auto"/>
                <w:highlight w:val="none"/>
                <w:lang w:val="en-US" w:eastAsia="zh-CN"/>
              </w:rPr>
              <w:t>会产生焊渣，</w:t>
            </w:r>
            <w:r>
              <w:rPr>
                <w:rFonts w:hint="default" w:ascii="Times New Roman" w:hAnsi="Times New Roman" w:cs="Times New Roman"/>
                <w:color w:val="auto"/>
                <w:highlight w:val="none"/>
              </w:rPr>
              <w:t>焊渣约占焊材用量5%</w:t>
            </w:r>
            <w:r>
              <w:rPr>
                <w:rFonts w:hint="default"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项目年用焊丝</w:t>
            </w:r>
            <w:r>
              <w:rPr>
                <w:rFonts w:hint="eastAsia" w:ascii="Times New Roman" w:cs="Times New Roman"/>
                <w:color w:val="auto"/>
                <w:highlight w:val="none"/>
                <w:lang w:val="en-US" w:eastAsia="zh-CN"/>
              </w:rPr>
              <w:t>18.563</w:t>
            </w:r>
            <w:r>
              <w:rPr>
                <w:rFonts w:hint="eastAsia" w:ascii="Times New Roman" w:hAnsi="Times New Roman" w:cs="Times New Roman"/>
                <w:color w:val="auto"/>
                <w:highlight w:val="none"/>
                <w:lang w:val="en-US" w:eastAsia="zh-CN"/>
              </w:rPr>
              <w:t>吨，</w:t>
            </w:r>
            <w:r>
              <w:rPr>
                <w:rFonts w:hint="default" w:ascii="Times New Roman" w:hAnsi="Times New Roman" w:cs="Times New Roman"/>
                <w:color w:val="auto"/>
                <w:highlight w:val="none"/>
                <w:lang w:val="en-US" w:eastAsia="zh-CN"/>
              </w:rPr>
              <w:t>计</w:t>
            </w:r>
            <w:r>
              <w:rPr>
                <w:rFonts w:hint="eastAsia" w:ascii="Times New Roman" w:hAnsi="Times New Roman" w:cs="Times New Roman"/>
                <w:color w:val="auto"/>
                <w:highlight w:val="none"/>
                <w:lang w:val="en-US" w:eastAsia="zh-CN"/>
              </w:rPr>
              <w:t>得</w:t>
            </w:r>
            <w:r>
              <w:rPr>
                <w:rFonts w:hint="default" w:ascii="Times New Roman" w:hAnsi="Times New Roman" w:cs="Times New Roman"/>
                <w:color w:val="auto"/>
                <w:highlight w:val="none"/>
                <w:lang w:val="en-US" w:eastAsia="zh-CN"/>
              </w:rPr>
              <w:t>焊渣产生量为0.</w:t>
            </w:r>
            <w:r>
              <w:rPr>
                <w:rFonts w:hint="eastAsia" w:ascii="Times New Roman" w:cs="Times New Roman"/>
                <w:color w:val="auto"/>
                <w:highlight w:val="none"/>
                <w:lang w:val="en-US" w:eastAsia="zh-CN"/>
              </w:rPr>
              <w:t>928</w:t>
            </w:r>
            <w:r>
              <w:rPr>
                <w:rFonts w:hint="default" w:ascii="Times New Roman" w:hAnsi="Times New Roman" w:cs="Times New Roman"/>
                <w:color w:val="auto"/>
                <w:highlight w:val="none"/>
                <w:lang w:val="en-US" w:eastAsia="zh-CN"/>
              </w:rPr>
              <w:t>t/a，本项目将焊渣按作</w:t>
            </w:r>
            <w:r>
              <w:rPr>
                <w:rFonts w:hint="default" w:ascii="Times New Roman" w:hAnsi="Times New Roman" w:cs="Times New Roman"/>
                <w:color w:val="auto"/>
                <w:highlight w:val="none"/>
              </w:rPr>
              <w:t>边角料</w:t>
            </w:r>
            <w:r>
              <w:rPr>
                <w:rFonts w:hint="default" w:ascii="Times New Roman" w:hAnsi="Times New Roman" w:cs="Times New Roman"/>
                <w:color w:val="auto"/>
                <w:highlight w:val="none"/>
                <w:lang w:val="en-US" w:eastAsia="zh-CN"/>
              </w:rPr>
              <w:t>处理，计算得本项目边角料产生量为</w:t>
            </w:r>
            <w:r>
              <w:rPr>
                <w:rFonts w:hint="eastAsia" w:ascii="Times New Roman" w:cs="Times New Roman"/>
                <w:color w:val="auto"/>
                <w:highlight w:val="none"/>
                <w:lang w:val="en-US" w:eastAsia="zh-CN"/>
              </w:rPr>
              <w:t>45.478t</w:t>
            </w:r>
            <w:r>
              <w:rPr>
                <w:rFonts w:hint="default" w:ascii="Times New Roman" w:hAnsi="Times New Roman" w:cs="Times New Roman"/>
                <w:color w:val="auto"/>
                <w:highlight w:val="none"/>
                <w:lang w:val="en-US" w:eastAsia="zh-CN"/>
              </w:rPr>
              <w:t>/a，</w:t>
            </w:r>
            <w:r>
              <w:rPr>
                <w:rFonts w:hint="default" w:ascii="Times New Roman" w:hAnsi="Times New Roman" w:cs="Times New Roman"/>
                <w:color w:val="auto"/>
                <w:sz w:val="24"/>
                <w:szCs w:val="24"/>
                <w:highlight w:val="none"/>
                <w:lang w:val="en-US" w:eastAsia="zh-CN"/>
              </w:rPr>
              <w:t>边角料</w:t>
            </w:r>
            <w:r>
              <w:rPr>
                <w:rFonts w:hint="default" w:ascii="Times New Roman" w:hAnsi="Times New Roman" w:cs="Times New Roman"/>
                <w:color w:val="auto"/>
                <w:sz w:val="24"/>
                <w:szCs w:val="24"/>
                <w:highlight w:val="none"/>
              </w:rPr>
              <w:t>统一收集后外售至资源回收利用单位。</w:t>
            </w:r>
          </w:p>
          <w:p w14:paraId="1951B308">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color w:val="auto"/>
                <w:kern w:val="24"/>
                <w:sz w:val="24"/>
                <w:szCs w:val="24"/>
                <w:highlight w:val="none"/>
              </w:rPr>
              <w:t>②</w:t>
            </w:r>
            <w:r>
              <w:rPr>
                <w:rFonts w:hint="default" w:ascii="Times New Roman" w:hAnsi="Times New Roman" w:cs="Times New Roman"/>
                <w:b/>
                <w:bCs/>
                <w:color w:val="auto"/>
                <w:sz w:val="24"/>
                <w:szCs w:val="24"/>
                <w:highlight w:val="none"/>
              </w:rPr>
              <w:t>包装废料</w:t>
            </w:r>
          </w:p>
          <w:p w14:paraId="61A8EFDC">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Cs/>
                <w:color w:val="auto"/>
                <w:kern w:val="24"/>
                <w:sz w:val="24"/>
                <w:szCs w:val="24"/>
                <w:highlight w:val="none"/>
              </w:rPr>
            </w:pPr>
            <w:r>
              <w:rPr>
                <w:rFonts w:hint="default" w:ascii="Times New Roman" w:hAnsi="Times New Roman" w:cs="Times New Roman"/>
                <w:color w:val="auto"/>
                <w:sz w:val="24"/>
                <w:szCs w:val="24"/>
                <w:highlight w:val="none"/>
              </w:rPr>
              <w:t>主要为项目原辅材料的包装材料，主要为纸箱、包装绳、塑料袋等，产生量约为</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t/a，属于一般工业固废，属于</w:t>
            </w:r>
            <w:r>
              <w:rPr>
                <w:rFonts w:hint="default" w:ascii="Times New Roman" w:hAnsi="Times New Roman" w:cs="Times New Roman"/>
                <w:color w:val="auto"/>
                <w:sz w:val="24"/>
                <w:szCs w:val="24"/>
                <w:highlight w:val="none"/>
                <w:lang w:val="en-US" w:eastAsia="zh-CN"/>
              </w:rPr>
              <w:t>《固体废物分类与代码目录》（生态环境部公告2024年第4号）中的“SW17可再生类废物”</w:t>
            </w:r>
            <w:r>
              <w:rPr>
                <w:rFonts w:hint="default" w:ascii="Times New Roman" w:hAnsi="Times New Roman" w:cs="Times New Roman"/>
                <w:color w:val="auto"/>
                <w:sz w:val="24"/>
                <w:szCs w:val="24"/>
                <w:highlight w:val="none"/>
              </w:rPr>
              <w:t>，代码</w:t>
            </w:r>
            <w:r>
              <w:rPr>
                <w:rFonts w:hint="default" w:ascii="Times New Roman" w:hAnsi="Times New Roman" w:cs="Times New Roman"/>
                <w:color w:val="auto"/>
                <w:sz w:val="24"/>
                <w:szCs w:val="24"/>
                <w:highlight w:val="none"/>
                <w:lang w:val="en-US" w:eastAsia="zh-CN"/>
              </w:rPr>
              <w:t>分别</w:t>
            </w:r>
            <w:r>
              <w:rPr>
                <w:rFonts w:hint="default" w:ascii="Times New Roman" w:hAnsi="Times New Roman" w:cs="Times New Roman"/>
                <w:color w:val="auto"/>
                <w:sz w:val="24"/>
                <w:szCs w:val="24"/>
                <w:highlight w:val="none"/>
              </w:rPr>
              <w:t>为</w:t>
            </w:r>
            <w:r>
              <w:rPr>
                <w:rFonts w:hint="default" w:ascii="Times New Roman" w:hAnsi="Times New Roman" w:cs="Times New Roman"/>
                <w:color w:val="auto"/>
                <w:sz w:val="24"/>
                <w:szCs w:val="24"/>
                <w:highlight w:val="none"/>
                <w:lang w:val="en-US" w:eastAsia="zh-CN"/>
              </w:rPr>
              <w:t>900-003-S17</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废塑料</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900-005-S17</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废纸</w:t>
            </w:r>
            <w:r>
              <w:rPr>
                <w:rFonts w:hint="default" w:ascii="Times New Roman" w:hAnsi="Times New Roman" w:cs="Times New Roman"/>
                <w:color w:val="auto"/>
                <w:sz w:val="24"/>
                <w:szCs w:val="24"/>
                <w:highlight w:val="none"/>
              </w:rPr>
              <w:t>），统一收集后外售至资源回收利用单位。</w:t>
            </w:r>
          </w:p>
          <w:p w14:paraId="51D4E8EC">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③</w:t>
            </w:r>
            <w:r>
              <w:rPr>
                <w:rFonts w:hint="default" w:ascii="Times New Roman" w:hAnsi="Times New Roman" w:cs="Times New Roman"/>
                <w:b/>
                <w:bCs/>
                <w:color w:val="auto"/>
                <w:sz w:val="24"/>
                <w:szCs w:val="24"/>
                <w:highlight w:val="none"/>
                <w:lang w:val="en-US" w:eastAsia="zh-CN"/>
              </w:rPr>
              <w:t>沉降金属粉尘</w:t>
            </w:r>
          </w:p>
          <w:p w14:paraId="19FF3F00">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b w:val="0"/>
                <w:bCs w:val="0"/>
                <w:color w:val="auto"/>
                <w:sz w:val="24"/>
                <w:szCs w:val="24"/>
                <w:highlight w:val="none"/>
                <w:lang w:val="en-US" w:eastAsia="zh-CN"/>
              </w:rPr>
              <w:t>本项目切割、抛光打磨粉尘比重和粒径较大，一般会沉降到工作台周边，根据上文计算，</w:t>
            </w:r>
            <w:r>
              <w:rPr>
                <w:rFonts w:hint="eastAsia" w:ascii="Times New Roman" w:cs="Times New Roman"/>
                <w:b w:val="0"/>
                <w:bCs w:val="0"/>
                <w:color w:val="auto"/>
                <w:sz w:val="24"/>
                <w:szCs w:val="24"/>
                <w:highlight w:val="none"/>
                <w:lang w:val="en-US" w:eastAsia="zh-CN"/>
              </w:rPr>
              <w:t>切割粉尘沉降量9.31t/a，</w:t>
            </w:r>
            <w:r>
              <w:rPr>
                <w:rFonts w:hint="default" w:ascii="Times New Roman" w:hAnsi="Times New Roman" w:cs="Times New Roman"/>
                <w:b w:val="0"/>
                <w:bCs w:val="0"/>
                <w:color w:val="auto"/>
                <w:sz w:val="24"/>
                <w:szCs w:val="24"/>
                <w:highlight w:val="none"/>
                <w:lang w:val="en-US" w:eastAsia="zh-CN"/>
              </w:rPr>
              <w:t>金属粉尘</w:t>
            </w:r>
            <w:r>
              <w:rPr>
                <w:rFonts w:hint="eastAsia" w:ascii="Times New Roman" w:cs="Times New Roman"/>
                <w:b w:val="0"/>
                <w:bCs w:val="0"/>
                <w:color w:val="auto"/>
                <w:sz w:val="24"/>
                <w:szCs w:val="24"/>
                <w:highlight w:val="none"/>
                <w:lang w:val="en-US" w:eastAsia="zh-CN"/>
              </w:rPr>
              <w:t>沉降</w:t>
            </w:r>
            <w:r>
              <w:rPr>
                <w:rFonts w:hint="default" w:ascii="Times New Roman" w:hAnsi="Times New Roman" w:cs="Times New Roman"/>
                <w:b w:val="0"/>
                <w:bCs w:val="0"/>
                <w:color w:val="auto"/>
                <w:sz w:val="24"/>
                <w:szCs w:val="24"/>
                <w:highlight w:val="none"/>
                <w:lang w:val="en-US" w:eastAsia="zh-CN"/>
              </w:rPr>
              <w:t>量为</w:t>
            </w:r>
            <w:r>
              <w:rPr>
                <w:rFonts w:hint="eastAsia" w:ascii="Times New Roman" w:cs="Times New Roman"/>
                <w:b w:val="0"/>
                <w:bCs w:val="0"/>
                <w:color w:val="auto"/>
                <w:sz w:val="24"/>
                <w:szCs w:val="24"/>
                <w:highlight w:val="none"/>
                <w:lang w:val="en-US" w:eastAsia="zh-CN"/>
              </w:rPr>
              <w:t>1.87</w:t>
            </w:r>
            <w:r>
              <w:rPr>
                <w:rFonts w:hint="default" w:ascii="Times New Roman" w:hAnsi="Times New Roman" w:cs="Times New Roman"/>
                <w:b w:val="0"/>
                <w:bCs w:val="0"/>
                <w:color w:val="auto"/>
                <w:sz w:val="24"/>
                <w:szCs w:val="24"/>
                <w:highlight w:val="none"/>
                <w:lang w:val="en-US" w:eastAsia="zh-CN"/>
              </w:rPr>
              <w:t>t/a，合计为</w:t>
            </w:r>
            <w:r>
              <w:rPr>
                <w:rFonts w:hint="eastAsia" w:ascii="Times New Roman" w:cs="Times New Roman"/>
                <w:b w:val="0"/>
                <w:bCs w:val="0"/>
                <w:color w:val="auto"/>
                <w:sz w:val="24"/>
                <w:szCs w:val="24"/>
                <w:highlight w:val="none"/>
                <w:lang w:val="en-US" w:eastAsia="zh-CN"/>
              </w:rPr>
              <w:t>11.18</w:t>
            </w:r>
            <w:r>
              <w:rPr>
                <w:rFonts w:hint="default" w:ascii="Times New Roman" w:hAnsi="Times New Roman" w:cs="Times New Roman"/>
                <w:b w:val="0"/>
                <w:bCs w:val="0"/>
                <w:color w:val="auto"/>
                <w:sz w:val="24"/>
                <w:szCs w:val="24"/>
                <w:highlight w:val="none"/>
                <w:lang w:val="en-US" w:eastAsia="zh-CN"/>
              </w:rPr>
              <w:t>t/a，</w:t>
            </w:r>
            <w:r>
              <w:rPr>
                <w:rFonts w:hint="default" w:ascii="Times New Roman" w:hAnsi="Times New Roman" w:cs="Times New Roman"/>
                <w:b w:val="0"/>
                <w:bCs w:val="0"/>
                <w:color w:val="auto"/>
                <w:sz w:val="24"/>
                <w:szCs w:val="24"/>
                <w:highlight w:val="none"/>
              </w:rPr>
              <w:t>属</w:t>
            </w:r>
            <w:r>
              <w:rPr>
                <w:rFonts w:hint="default" w:ascii="Times New Roman" w:hAnsi="Times New Roman" w:cs="Times New Roman"/>
                <w:color w:val="auto"/>
                <w:sz w:val="24"/>
                <w:szCs w:val="24"/>
                <w:highlight w:val="none"/>
              </w:rPr>
              <w:t>于一般固废，</w:t>
            </w:r>
            <w:r>
              <w:rPr>
                <w:rFonts w:hint="default" w:ascii="Times New Roman" w:hAnsi="Times New Roman" w:cs="Times New Roman"/>
                <w:color w:val="auto"/>
                <w:sz w:val="24"/>
                <w:szCs w:val="24"/>
                <w:highlight w:val="none"/>
                <w:lang w:val="en-US" w:eastAsia="zh-CN"/>
              </w:rPr>
              <w:t>为《固体废物分类与代码目录》（生态环境部公告2024年第4号）中的“SW17可再生类废物”</w:t>
            </w:r>
            <w:r>
              <w:rPr>
                <w:rFonts w:hint="default" w:ascii="Times New Roman" w:hAnsi="Times New Roman" w:cs="Times New Roman"/>
                <w:color w:val="auto"/>
                <w:sz w:val="24"/>
                <w:szCs w:val="24"/>
                <w:highlight w:val="none"/>
              </w:rPr>
              <w:t>，代码为900-0</w:t>
            </w:r>
            <w:r>
              <w:rPr>
                <w:rFonts w:hint="default" w:ascii="Times New Roman" w:hAnsi="Times New Roman" w:cs="Times New Roman"/>
                <w:color w:val="auto"/>
                <w:sz w:val="24"/>
                <w:szCs w:val="24"/>
                <w:highlight w:val="none"/>
                <w:lang w:val="en-US" w:eastAsia="zh-CN"/>
              </w:rPr>
              <w:t>02</w:t>
            </w:r>
            <w:r>
              <w:rPr>
                <w:rFonts w:hint="default" w:ascii="Times New Roman" w:hAnsi="Times New Roman" w:cs="Times New Roman"/>
                <w:color w:val="auto"/>
                <w:sz w:val="24"/>
                <w:szCs w:val="24"/>
                <w:highlight w:val="none"/>
              </w:rPr>
              <w:t>-S17</w:t>
            </w:r>
            <w:r>
              <w:rPr>
                <w:rFonts w:hint="default" w:ascii="Times New Roman" w:hAnsi="Times New Roman" w:cs="Times New Roman"/>
                <w:color w:val="auto"/>
                <w:sz w:val="24"/>
                <w:szCs w:val="24"/>
                <w:highlight w:val="none"/>
                <w:lang w:eastAsia="zh-CN"/>
              </w:rPr>
              <w:t>（废</w:t>
            </w:r>
            <w:r>
              <w:rPr>
                <w:rFonts w:hint="default" w:ascii="Times New Roman" w:hAnsi="Times New Roman" w:cs="Times New Roman"/>
                <w:color w:val="auto"/>
                <w:sz w:val="24"/>
                <w:szCs w:val="24"/>
                <w:highlight w:val="none"/>
                <w:lang w:val="en-US" w:eastAsia="zh-CN"/>
              </w:rPr>
              <w:t>有色金属</w:t>
            </w:r>
            <w:r>
              <w:rPr>
                <w:rFonts w:hint="default" w:ascii="Times New Roman" w:hAnsi="Times New Roman" w:cs="Times New Roman"/>
                <w:color w:val="auto"/>
                <w:sz w:val="24"/>
                <w:szCs w:val="24"/>
                <w:highlight w:val="none"/>
                <w:lang w:eastAsia="zh-CN"/>
              </w:rPr>
              <w:t>），沉降金属粉尘和除尘器收集粉尘</w:t>
            </w:r>
            <w:r>
              <w:rPr>
                <w:rFonts w:hint="default" w:ascii="Times New Roman" w:hAnsi="Times New Roman" w:cs="Times New Roman"/>
                <w:color w:val="auto"/>
                <w:sz w:val="24"/>
                <w:szCs w:val="24"/>
                <w:highlight w:val="none"/>
              </w:rPr>
              <w:t>统一收集后外售至资源回收利用单位。</w:t>
            </w:r>
          </w:p>
          <w:p w14:paraId="29D0A0A1">
            <w:pPr>
              <w:pStyle w:val="158"/>
              <w:pageBreakBefore w:val="0"/>
              <w:wordWrap w:val="0"/>
              <w:topLinePunct/>
              <w:bidi w:val="0"/>
              <w:snapToGrid/>
              <w:spacing w:beforeAutospacing="0" w:afterAutospacing="0"/>
              <w:ind w:firstLine="482"/>
              <w:rPr>
                <w:b/>
                <w:bCs/>
                <w:color w:val="auto"/>
              </w:rPr>
            </w:pPr>
            <w:bookmarkStart w:id="32" w:name="_Toc724"/>
            <w:r>
              <w:rPr>
                <w:rFonts w:hint="eastAsia"/>
                <w:b/>
                <w:bCs/>
                <w:color w:val="auto"/>
                <w:lang w:val="en-US" w:eastAsia="zh-CN"/>
              </w:rPr>
              <w:t>④</w:t>
            </w:r>
            <w:r>
              <w:rPr>
                <w:b/>
                <w:bCs/>
                <w:color w:val="auto"/>
              </w:rPr>
              <w:t>废滤芯</w:t>
            </w:r>
            <w:bookmarkEnd w:id="32"/>
          </w:p>
          <w:p w14:paraId="2D67FDFC">
            <w:pPr>
              <w:pStyle w:val="2"/>
              <w:keepNext w:val="0"/>
              <w:keepLines w:val="0"/>
              <w:suppressLineNumbers w:val="0"/>
              <w:spacing w:before="0" w:beforeAutospacing="0" w:after="0" w:afterAutospacing="0" w:line="360" w:lineRule="auto"/>
              <w:ind w:left="0" w:right="0" w:firstLine="480" w:firstLineChars="200"/>
              <w:rPr>
                <w:color w:val="auto"/>
              </w:rPr>
            </w:pPr>
            <w:r>
              <w:rPr>
                <w:color w:val="auto"/>
              </w:rPr>
              <w:t>本</w:t>
            </w:r>
            <w:r>
              <w:rPr>
                <w:rFonts w:hint="default" w:ascii="Times New Roman" w:hAnsi="Times New Roman" w:cs="Times New Roman"/>
                <w:color w:val="auto"/>
              </w:rPr>
              <w:t>项目</w:t>
            </w:r>
            <w:r>
              <w:rPr>
                <w:rFonts w:hint="eastAsia" w:ascii="Times New Roman" w:cs="Times New Roman"/>
                <w:color w:val="auto"/>
                <w:lang w:val="en-US" w:eastAsia="zh-CN"/>
              </w:rPr>
              <w:t>切割粉尘采用滤筒除尘器处理、</w:t>
            </w:r>
            <w:r>
              <w:rPr>
                <w:rFonts w:hint="default" w:ascii="Times New Roman" w:hAnsi="Times New Roman" w:cs="Times New Roman"/>
                <w:color w:val="auto"/>
              </w:rPr>
              <w:t>焊接烟尘采用“移动式焊烟净化器”处理，需要定期更换滤芯，故产生废滤芯。其产生量</w:t>
            </w:r>
            <w:r>
              <w:rPr>
                <w:rFonts w:hint="default" w:ascii="Times New Roman" w:hAnsi="Times New Roman" w:cs="Times New Roman"/>
                <w:color w:val="auto"/>
                <w:lang w:val="en-US" w:eastAsia="zh-CN"/>
              </w:rPr>
              <w:t>=</w:t>
            </w:r>
            <w:r>
              <w:rPr>
                <w:rFonts w:hint="default" w:ascii="Times New Roman" w:hAnsi="Times New Roman" w:cs="Times New Roman"/>
                <w:color w:val="auto"/>
              </w:rPr>
              <w:t>滤芯年更换量</w:t>
            </w:r>
            <w:r>
              <w:rPr>
                <w:rFonts w:hint="default" w:ascii="Times New Roman" w:hAnsi="Times New Roman" w:cs="Times New Roman"/>
                <w:color w:val="auto"/>
                <w:lang w:val="en-US" w:eastAsia="zh-CN"/>
              </w:rPr>
              <w:t>=滤芯单个重量×一次更换数量×年更换次数</w:t>
            </w:r>
            <w:r>
              <w:rPr>
                <w:rFonts w:hint="default" w:ascii="Times New Roman" w:hAnsi="Times New Roman" w:cs="Times New Roman"/>
                <w:color w:val="auto"/>
              </w:rPr>
              <w:t>=</w:t>
            </w:r>
            <w:r>
              <w:rPr>
                <w:rFonts w:hint="default" w:ascii="Times New Roman" w:hAnsi="Times New Roman" w:cs="Times New Roman"/>
                <w:color w:val="auto"/>
                <w:lang w:val="en-US" w:eastAsia="zh-CN"/>
              </w:rPr>
              <w:t>5kg×3个×12次/a=</w:t>
            </w:r>
            <w:r>
              <w:rPr>
                <w:rFonts w:hint="eastAsia" w:ascii="Times New Roman" w:cs="Times New Roman"/>
                <w:color w:val="auto"/>
                <w:lang w:val="en-US" w:eastAsia="zh-CN"/>
              </w:rPr>
              <w:t>0.18</w:t>
            </w:r>
            <w:r>
              <w:rPr>
                <w:rFonts w:hint="default" w:ascii="Times New Roman" w:hAnsi="Times New Roman" w:cs="Times New Roman"/>
                <w:color w:val="auto"/>
              </w:rPr>
              <w:t>t/a，属于《固体废物分类与代码名录》（公告 2024年 第4号）中“SW59 其他工业固体废物”，代码为900-099-S59，经统一收集后，外售至资源回收利用单位。</w:t>
            </w:r>
          </w:p>
          <w:p w14:paraId="5EF9FA1B">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（3）危险废物</w:t>
            </w:r>
          </w:p>
          <w:p w14:paraId="64C17939">
            <w:pPr>
              <w:pStyle w:val="27"/>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危险废物类别根据</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进行辨识，分类收集后委托危险废物资质单位处理。</w:t>
            </w:r>
          </w:p>
          <w:p w14:paraId="672DB4FC">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①废表面处理剂包装桶</w:t>
            </w:r>
          </w:p>
          <w:p w14:paraId="43E33260">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项目预处理表面处理剂包括</w:t>
            </w:r>
            <w:r>
              <w:rPr>
                <w:rFonts w:hint="eastAsia" w:cs="Times New Roman"/>
                <w:color w:val="auto"/>
                <w:kern w:val="0"/>
                <w:sz w:val="24"/>
                <w:szCs w:val="24"/>
                <w:highlight w:val="none"/>
                <w:lang w:val="en-US" w:eastAsia="zh-CN" w:bidi="ar-SA"/>
              </w:rPr>
              <w:t>除油</w:t>
            </w:r>
            <w:r>
              <w:rPr>
                <w:rFonts w:hint="default" w:ascii="Times New Roman" w:hAnsi="Times New Roman" w:eastAsia="宋体" w:cs="Times New Roman"/>
                <w:color w:val="auto"/>
                <w:kern w:val="0"/>
                <w:sz w:val="24"/>
                <w:szCs w:val="24"/>
                <w:highlight w:val="none"/>
                <w:lang w:val="en-US" w:eastAsia="zh-CN" w:bidi="ar-SA"/>
              </w:rPr>
              <w:t>剂、无铬钝化剂，表面处理剂使用完后会产生废表面处理剂包装桶，合计</w:t>
            </w:r>
            <w:r>
              <w:rPr>
                <w:rFonts w:hint="eastAsia" w:cs="Times New Roman"/>
                <w:color w:val="auto"/>
                <w:kern w:val="0"/>
                <w:sz w:val="24"/>
                <w:szCs w:val="24"/>
                <w:highlight w:val="none"/>
                <w:lang w:val="en-US" w:eastAsia="zh-CN" w:bidi="ar-SA"/>
              </w:rPr>
              <w:t>0.63</w:t>
            </w:r>
            <w:r>
              <w:rPr>
                <w:rFonts w:hint="default" w:ascii="Times New Roman" w:hAnsi="Times New Roman" w:eastAsia="宋体" w:cs="Times New Roman"/>
                <w:color w:val="auto"/>
                <w:kern w:val="0"/>
                <w:sz w:val="24"/>
                <w:szCs w:val="24"/>
                <w:highlight w:val="none"/>
                <w:lang w:val="en-US" w:eastAsia="zh-CN" w:bidi="ar-SA"/>
              </w:rPr>
              <w:t>t/a（</w:t>
            </w:r>
            <w:r>
              <w:rPr>
                <w:rFonts w:hint="eastAsia" w:cs="Times New Roman"/>
                <w:color w:val="auto"/>
                <w:kern w:val="0"/>
                <w:sz w:val="24"/>
                <w:szCs w:val="24"/>
                <w:highlight w:val="none"/>
                <w:lang w:val="en-US" w:eastAsia="zh-CN" w:bidi="ar-SA"/>
              </w:rPr>
              <w:t>约1260</w:t>
            </w:r>
            <w:r>
              <w:rPr>
                <w:rFonts w:hint="default" w:ascii="Times New Roman" w:hAnsi="Times New Roman" w:eastAsia="宋体" w:cs="Times New Roman"/>
                <w:color w:val="auto"/>
                <w:kern w:val="0"/>
                <w:sz w:val="24"/>
                <w:szCs w:val="24"/>
                <w:highlight w:val="none"/>
                <w:lang w:val="en-US" w:eastAsia="zh-CN" w:bidi="ar-SA"/>
              </w:rPr>
              <w:t>个，废空桶平均重0.5kg/个）。属于</w:t>
            </w:r>
            <w:r>
              <w:rPr>
                <w:rFonts w:hint="default" w:ascii="Times New Roman" w:hAnsi="Times New Roman" w:cs="Times New Roman"/>
                <w:color w:val="auto"/>
                <w:kern w:val="0"/>
                <w:sz w:val="24"/>
                <w:szCs w:val="24"/>
                <w:highlight w:val="none"/>
                <w:lang w:val="en-US" w:eastAsia="zh-CN" w:bidi="ar-SA"/>
              </w:rPr>
              <w:t>《国家危险废物名录》（2025年版）</w:t>
            </w:r>
            <w:r>
              <w:rPr>
                <w:rFonts w:hint="default" w:ascii="Times New Roman" w:hAnsi="Times New Roman" w:eastAsia="宋体" w:cs="Times New Roman"/>
                <w:color w:val="auto"/>
                <w:kern w:val="0"/>
                <w:sz w:val="24"/>
                <w:szCs w:val="24"/>
                <w:highlight w:val="none"/>
                <w:lang w:val="en-US" w:eastAsia="zh-CN" w:bidi="ar-SA"/>
              </w:rPr>
              <w:t>中编号为HW49其他废物，废物代码900-041-49。收集后交由有相应危险废物处理资质的单位处理。</w:t>
            </w:r>
          </w:p>
          <w:p w14:paraId="6B59941B">
            <w:pPr>
              <w:pStyle w:val="56"/>
              <w:keepNext w:val="0"/>
              <w:keepLines w:val="0"/>
              <w:suppressLineNumbers w:val="0"/>
              <w:spacing w:before="0" w:beforeAutospacing="0" w:after="0" w:afterAutospacing="0" w:line="360" w:lineRule="auto"/>
              <w:ind w:left="0" w:right="0" w:firstLine="482" w:firstLineChars="200"/>
              <w:rPr>
                <w:rFonts w:hint="eastAsia" w:ascii="Times New Roman" w:hAnsi="Times New Roman" w:eastAsia="宋体" w:cs="Times New Roman"/>
                <w:b/>
                <w:bCs w:val="0"/>
                <w:color w:val="auto"/>
                <w:sz w:val="24"/>
                <w:szCs w:val="24"/>
                <w:highlight w:val="none"/>
                <w:lang w:eastAsia="zh-CN"/>
              </w:rPr>
            </w:pPr>
            <w:r>
              <w:rPr>
                <w:rFonts w:hint="default" w:ascii="Times New Roman" w:hAnsi="Times New Roman" w:cs="Times New Roman"/>
                <w:b/>
                <w:bCs w:val="0"/>
                <w:color w:val="auto"/>
                <w:sz w:val="24"/>
                <w:szCs w:val="24"/>
                <w:highlight w:val="none"/>
              </w:rPr>
              <w:t>②</w:t>
            </w:r>
            <w:r>
              <w:rPr>
                <w:rFonts w:hint="eastAsia" w:ascii="Times New Roman" w:cs="Times New Roman"/>
                <w:b/>
                <w:bCs w:val="0"/>
                <w:color w:val="auto"/>
                <w:sz w:val="24"/>
                <w:szCs w:val="24"/>
                <w:highlight w:val="none"/>
                <w:lang w:eastAsia="zh-CN"/>
              </w:rPr>
              <w:t>预处理池泥渣及管道循环装置废物</w:t>
            </w:r>
          </w:p>
          <w:p w14:paraId="199DB390">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根据企业提供的生产经验和行业相关类比分析，本项目</w:t>
            </w:r>
            <w:r>
              <w:rPr>
                <w:rFonts w:hint="eastAsia" w:cs="Times New Roman"/>
                <w:color w:val="auto"/>
                <w:sz w:val="24"/>
                <w:szCs w:val="24"/>
                <w:highlight w:val="none"/>
                <w:lang w:eastAsia="zh-CN"/>
              </w:rPr>
              <w:t>预处理池泥渣及管道循环装置废物</w:t>
            </w:r>
            <w:r>
              <w:rPr>
                <w:rFonts w:hint="default" w:ascii="Times New Roman" w:hAnsi="Times New Roman" w:cs="Times New Roman"/>
                <w:color w:val="auto"/>
                <w:sz w:val="24"/>
                <w:szCs w:val="24"/>
                <w:highlight w:val="none"/>
              </w:rPr>
              <w:t>预计产生量为</w:t>
            </w:r>
            <w:r>
              <w:rPr>
                <w:rFonts w:hint="eastAsia"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t</w:t>
            </w:r>
            <w:r>
              <w:rPr>
                <w:rFonts w:hint="default" w:ascii="Times New Roman" w:hAnsi="Times New Roman" w:cs="Times New Roman"/>
                <w:color w:val="auto"/>
                <w:sz w:val="24"/>
                <w:szCs w:val="24"/>
                <w:highlight w:val="none"/>
              </w:rPr>
              <w:t>/a。属于</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中编号为HW17表面处理废物，危废代码336-064-17，收集后交由有危废处理资质单位处理。</w:t>
            </w:r>
          </w:p>
          <w:p w14:paraId="6C42C504">
            <w:pPr>
              <w:pStyle w:val="2"/>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rPr>
              <w:t>③</w:t>
            </w:r>
            <w:r>
              <w:rPr>
                <w:rFonts w:hint="default" w:ascii="Times New Roman" w:hAnsi="Times New Roman" w:cs="Times New Roman"/>
                <w:b/>
                <w:bCs/>
                <w:color w:val="auto"/>
                <w:sz w:val="24"/>
                <w:szCs w:val="24"/>
                <w:highlight w:val="none"/>
                <w:lang w:val="en-US" w:eastAsia="zh-CN"/>
              </w:rPr>
              <w:t>无铬钝化池废槽液</w:t>
            </w:r>
          </w:p>
          <w:p w14:paraId="0A72354B">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4"/>
                <w:highlight w:val="none"/>
                <w:lang w:eastAsia="zh-CN"/>
              </w:rPr>
            </w:pPr>
            <w:r>
              <w:rPr>
                <w:rFonts w:hint="default" w:ascii="Times New Roman" w:hAnsi="Times New Roman" w:cs="Times New Roman"/>
                <w:b w:val="0"/>
                <w:bCs w:val="0"/>
                <w:color w:val="auto"/>
                <w:sz w:val="24"/>
                <w:szCs w:val="24"/>
                <w:highlight w:val="none"/>
                <w:lang w:val="en-US" w:eastAsia="zh-CN"/>
              </w:rPr>
              <w:t>项目无铬钝化池的槽液日常循环使用，使用一定时间需要更换，更换频次为每季度更换一次。根据前文分析，前处理生产线更换出的无铬钝化池废槽液量合计为22.4</w:t>
            </w:r>
            <w:r>
              <w:rPr>
                <w:rFonts w:hint="eastAsia" w:ascii="Times New Roman" w:cs="Times New Roman"/>
                <w:b w:val="0"/>
                <w:bCs w:val="0"/>
                <w:color w:val="auto"/>
                <w:sz w:val="24"/>
                <w:szCs w:val="24"/>
                <w:highlight w:val="none"/>
                <w:lang w:val="en-US" w:eastAsia="zh-CN"/>
              </w:rPr>
              <w:t>×2=44.8t/a</w:t>
            </w:r>
            <w:r>
              <w:rPr>
                <w:rFonts w:hint="default" w:ascii="Times New Roman" w:hAnsi="Times New Roman" w:cs="Times New Roman"/>
                <w:b w:val="0"/>
                <w:bCs w:val="0"/>
                <w:color w:val="auto"/>
                <w:sz w:val="24"/>
                <w:szCs w:val="24"/>
                <w:highlight w:val="none"/>
                <w:lang w:eastAsia="zh-CN"/>
              </w:rPr>
              <w:t>。根据《国家危险废物名录》（202</w:t>
            </w:r>
            <w:r>
              <w:rPr>
                <w:rFonts w:hint="default" w:ascii="Times New Roman" w:hAnsi="Times New Roman" w:cs="Times New Roman"/>
                <w:b w:val="0"/>
                <w:bCs w:val="0"/>
                <w:color w:val="auto"/>
                <w:sz w:val="24"/>
                <w:szCs w:val="24"/>
                <w:highlight w:val="none"/>
                <w:lang w:val="en-US" w:eastAsia="zh-CN"/>
              </w:rPr>
              <w:t>5</w:t>
            </w:r>
            <w:r>
              <w:rPr>
                <w:rFonts w:hint="default" w:ascii="Times New Roman" w:hAnsi="Times New Roman" w:cs="Times New Roman"/>
                <w:b w:val="0"/>
                <w:bCs w:val="0"/>
                <w:color w:val="auto"/>
                <w:sz w:val="24"/>
                <w:szCs w:val="24"/>
                <w:highlight w:val="none"/>
                <w:lang w:eastAsia="zh-CN"/>
              </w:rPr>
              <w:t>年版），</w:t>
            </w:r>
            <w:r>
              <w:rPr>
                <w:rFonts w:hint="default" w:ascii="Times New Roman" w:hAnsi="Times New Roman" w:cs="Times New Roman"/>
                <w:b w:val="0"/>
                <w:bCs w:val="0"/>
                <w:color w:val="auto"/>
                <w:sz w:val="24"/>
                <w:szCs w:val="24"/>
                <w:highlight w:val="none"/>
                <w:lang w:val="en-US" w:eastAsia="zh-CN"/>
              </w:rPr>
              <w:t>无铬钝化池废槽液</w:t>
            </w:r>
            <w:r>
              <w:rPr>
                <w:rFonts w:hint="default" w:ascii="Times New Roman" w:hAnsi="Times New Roman" w:cs="Times New Roman"/>
                <w:b w:val="0"/>
                <w:bCs w:val="0"/>
                <w:color w:val="auto"/>
                <w:sz w:val="24"/>
                <w:szCs w:val="24"/>
                <w:highlight w:val="none"/>
                <w:lang w:eastAsia="zh-CN"/>
              </w:rPr>
              <w:t>属于HW</w:t>
            </w:r>
            <w:r>
              <w:rPr>
                <w:rFonts w:hint="default" w:ascii="Times New Roman" w:hAnsi="Times New Roman" w:cs="Times New Roman"/>
                <w:b w:val="0"/>
                <w:bCs w:val="0"/>
                <w:color w:val="auto"/>
                <w:sz w:val="24"/>
                <w:szCs w:val="24"/>
                <w:highlight w:val="none"/>
                <w:lang w:val="en-US" w:eastAsia="zh-CN"/>
              </w:rPr>
              <w:t>17</w:t>
            </w:r>
            <w:r>
              <w:rPr>
                <w:rFonts w:hint="default" w:ascii="Times New Roman" w:hAnsi="Times New Roman" w:cs="Times New Roman"/>
                <w:b w:val="0"/>
                <w:bCs w:val="0"/>
                <w:color w:val="auto"/>
                <w:sz w:val="24"/>
                <w:szCs w:val="24"/>
                <w:highlight w:val="none"/>
                <w:lang w:eastAsia="zh-CN"/>
              </w:rPr>
              <w:t>表面处理废物，废物代码为336-064-17，经收集后暂存于</w:t>
            </w:r>
            <w:r>
              <w:rPr>
                <w:rFonts w:hint="eastAsia" w:ascii="Times New Roman" w:cs="Times New Roman"/>
                <w:b w:val="0"/>
                <w:bCs w:val="0"/>
                <w:color w:val="auto"/>
                <w:sz w:val="24"/>
                <w:szCs w:val="24"/>
                <w:highlight w:val="none"/>
                <w:lang w:eastAsia="zh-CN"/>
              </w:rPr>
              <w:t>危险废物贮存间</w:t>
            </w:r>
            <w:r>
              <w:rPr>
                <w:rFonts w:hint="default" w:ascii="Times New Roman" w:hAnsi="Times New Roman" w:cs="Times New Roman"/>
                <w:b w:val="0"/>
                <w:bCs w:val="0"/>
                <w:color w:val="auto"/>
                <w:sz w:val="24"/>
                <w:szCs w:val="24"/>
                <w:highlight w:val="none"/>
                <w:lang w:eastAsia="zh-CN"/>
              </w:rPr>
              <w:t>，定期交由有危险废物处理资质单位处理。</w:t>
            </w:r>
          </w:p>
          <w:p w14:paraId="0FCA81C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④</w:t>
            </w:r>
            <w:r>
              <w:rPr>
                <w:rFonts w:hint="default" w:ascii="Times New Roman" w:hAnsi="Times New Roman" w:cs="Times New Roman"/>
                <w:b/>
                <w:bCs/>
                <w:color w:val="auto"/>
                <w:sz w:val="24"/>
                <w:szCs w:val="24"/>
                <w:highlight w:val="none"/>
              </w:rPr>
              <w:t>废水处理站污泥</w:t>
            </w:r>
          </w:p>
          <w:p w14:paraId="00307350">
            <w:pPr>
              <w:pStyle w:val="56"/>
              <w:keepNext w:val="0"/>
              <w:keepLines w:val="0"/>
              <w:suppressLineNumbers w:val="0"/>
              <w:spacing w:before="0" w:beforeAutospacing="0" w:after="0" w:afterAutospacing="0" w:line="360" w:lineRule="auto"/>
              <w:ind w:left="0" w:right="0" w:firstLine="480" w:firstLineChars="200"/>
              <w:jc w:val="left"/>
              <w:rPr>
                <w:rFonts w:hint="default" w:ascii="Times New Roman" w:hAnsi="Times New Roman" w:cs="Times New Roman"/>
                <w:b w:val="0"/>
                <w:bCs w:val="0"/>
                <w:color w:val="auto"/>
                <w:sz w:val="24"/>
                <w:szCs w:val="24"/>
                <w:highlight w:val="none"/>
              </w:rPr>
            </w:pPr>
            <w:r>
              <w:rPr>
                <w:rFonts w:hint="default" w:ascii="Times New Roman" w:hAnsi="Times New Roman" w:eastAsia="宋体" w:cs="Times New Roman"/>
                <w:b w:val="0"/>
                <w:bCs w:val="0"/>
                <w:i w:val="0"/>
                <w:iCs w:val="0"/>
                <w:caps w:val="0"/>
                <w:color w:val="auto"/>
                <w:spacing w:val="0"/>
                <w:sz w:val="24"/>
                <w:szCs w:val="24"/>
                <w:shd w:val="clear" w:fill="FFFFFF"/>
              </w:rPr>
              <w:t>本项目污泥来自化学除氟和混凝沉淀工序</w:t>
            </w:r>
            <w:r>
              <w:rPr>
                <w:rFonts w:hint="default" w:ascii="Times New Roman" w:hAnsi="Times New Roman" w:cs="Times New Roman"/>
                <w:b w:val="0"/>
                <w:bCs w:val="0"/>
                <w:i w:val="0"/>
                <w:iCs w:val="0"/>
                <w:caps w:val="0"/>
                <w:color w:val="auto"/>
                <w:spacing w:val="0"/>
                <w:sz w:val="24"/>
                <w:szCs w:val="24"/>
                <w:shd w:val="clear" w:fill="FFFFFF"/>
                <w:lang w:eastAsia="zh-CN"/>
              </w:rPr>
              <w:t>，</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气浮污泥产生量少，忽略不计。</w:t>
            </w:r>
            <w:r>
              <w:rPr>
                <w:rFonts w:hint="default" w:ascii="Times New Roman" w:hAnsi="Times New Roman" w:eastAsia="宋体" w:cs="Times New Roman"/>
                <w:b w:val="0"/>
                <w:bCs w:val="0"/>
                <w:i w:val="0"/>
                <w:iCs w:val="0"/>
                <w:caps w:val="0"/>
                <w:color w:val="auto"/>
                <w:spacing w:val="0"/>
                <w:sz w:val="24"/>
                <w:szCs w:val="24"/>
                <w:shd w:val="clear" w:fill="FFFFFF"/>
              </w:rPr>
              <w:t>经物料衡算，化学除氟干泥产生量按</w:t>
            </w:r>
            <w:r>
              <w:rPr>
                <w:rFonts w:hint="default" w:ascii="Times New Roman" w:hAnsi="Times New Roman" w:eastAsia="宋体" w:cs="Times New Roman"/>
                <w:b w:val="0"/>
                <w:bCs w:val="0"/>
                <w:i/>
                <w:iCs/>
                <w:caps w:val="0"/>
                <w:color w:val="auto"/>
                <w:spacing w:val="0"/>
                <w:sz w:val="24"/>
                <w:szCs w:val="24"/>
                <w:shd w:val="clear" w:fill="FFFFFF"/>
              </w:rPr>
              <w:t>M</w:t>
            </w:r>
            <w:r>
              <w:rPr>
                <w:rFonts w:hint="default" w:ascii="Times New Roman" w:hAnsi="Times New Roman" w:eastAsia="宋体" w:cs="Times New Roman"/>
                <w:b w:val="0"/>
                <w:bCs w:val="0"/>
                <w:caps w:val="0"/>
                <w:color w:val="auto"/>
                <w:spacing w:val="0"/>
                <w:sz w:val="24"/>
                <w:szCs w:val="24"/>
                <w:shd w:val="clear" w:fill="FFFFFF"/>
              </w:rPr>
              <w:t>=</w:t>
            </w:r>
            <w:r>
              <w:rPr>
                <w:rFonts w:hint="default" w:ascii="Times New Roman" w:hAnsi="Times New Roman" w:eastAsia="宋体" w:cs="Times New Roman"/>
                <w:b w:val="0"/>
                <w:bCs w:val="0"/>
                <w:i/>
                <w:iCs/>
                <w:caps w:val="0"/>
                <w:color w:val="auto"/>
                <w:spacing w:val="0"/>
                <w:sz w:val="24"/>
                <w:szCs w:val="24"/>
                <w:shd w:val="clear" w:fill="FFFFFF"/>
              </w:rPr>
              <w:t>Q</w:t>
            </w:r>
            <w:r>
              <w:rPr>
                <w:rFonts w:hint="default" w:ascii="Times New Roman" w:hAnsi="Times New Roman" w:eastAsia="宋体" w:cs="Times New Roman"/>
                <w:b w:val="0"/>
                <w:bCs w:val="0"/>
                <w:caps w:val="0"/>
                <w:color w:val="auto"/>
                <w:spacing w:val="0"/>
                <w:sz w:val="24"/>
                <w:szCs w:val="24"/>
                <w:shd w:val="clear" w:fill="FFFFFF"/>
              </w:rPr>
              <w:t>×(</w:t>
            </w:r>
            <w:r>
              <w:rPr>
                <w:rFonts w:hint="default" w:ascii="Times New Roman" w:hAnsi="Times New Roman" w:eastAsia="宋体" w:cs="Times New Roman"/>
                <w:b w:val="0"/>
                <w:bCs w:val="0"/>
                <w:i/>
                <w:iCs/>
                <w:caps w:val="0"/>
                <w:color w:val="auto"/>
                <w:spacing w:val="0"/>
                <w:sz w:val="24"/>
                <w:szCs w:val="24"/>
                <w:shd w:val="clear" w:fill="FFFFFF"/>
              </w:rPr>
              <w:t>C</w:t>
            </w:r>
            <w:r>
              <w:rPr>
                <w:rFonts w:hint="default" w:ascii="Times New Roman" w:hAnsi="Times New Roman" w:eastAsia="宋体" w:cs="Times New Roman"/>
                <w:b w:val="0"/>
                <w:bCs w:val="0"/>
                <w:caps w:val="0"/>
                <w:color w:val="auto"/>
                <w:spacing w:val="0"/>
                <w:sz w:val="24"/>
                <w:szCs w:val="24"/>
                <w:shd w:val="clear" w:fill="FFFFFF"/>
              </w:rPr>
              <w:t>进​−</w:t>
            </w:r>
            <w:r>
              <w:rPr>
                <w:rFonts w:hint="default" w:ascii="Times New Roman" w:hAnsi="Times New Roman" w:eastAsia="宋体" w:cs="Times New Roman"/>
                <w:b w:val="0"/>
                <w:bCs w:val="0"/>
                <w:i/>
                <w:iCs/>
                <w:caps w:val="0"/>
                <w:color w:val="auto"/>
                <w:spacing w:val="0"/>
                <w:sz w:val="24"/>
                <w:szCs w:val="24"/>
                <w:shd w:val="clear" w:fill="FFFFFF"/>
              </w:rPr>
              <w:t>C</w:t>
            </w:r>
            <w:r>
              <w:rPr>
                <w:rFonts w:hint="default" w:ascii="Times New Roman" w:hAnsi="Times New Roman" w:eastAsia="宋体" w:cs="Times New Roman"/>
                <w:b w:val="0"/>
                <w:bCs w:val="0"/>
                <w:caps w:val="0"/>
                <w:color w:val="auto"/>
                <w:spacing w:val="0"/>
                <w:sz w:val="24"/>
                <w:szCs w:val="24"/>
                <w:shd w:val="clear" w:fill="FFFFFF"/>
              </w:rPr>
              <w:t>出​)×</w:t>
            </w:r>
            <w:r>
              <w:rPr>
                <w:rFonts w:hint="default" w:ascii="Times New Roman" w:hAnsi="Times New Roman" w:cs="Times New Roman"/>
                <w:b w:val="0"/>
                <w:bCs w:val="0"/>
                <w:caps w:val="0"/>
                <w:color w:val="auto"/>
                <w:spacing w:val="0"/>
                <w:sz w:val="24"/>
                <w:szCs w:val="24"/>
                <w:shd w:val="clear" w:fill="FFFFFF"/>
                <w:lang w:val="en-US" w:eastAsia="zh-CN"/>
              </w:rPr>
              <w:t>3.5</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w:t>
            </w:r>
            <w:r>
              <w:rPr>
                <w:rFonts w:hint="default" w:ascii="Times New Roman" w:hAnsi="Times New Roman" w:cs="Times New Roman"/>
                <w:b w:val="0"/>
                <w:bCs w:val="0"/>
                <w:i w:val="0"/>
                <w:iCs w:val="0"/>
                <w:caps w:val="0"/>
                <w:color w:val="auto"/>
                <w:spacing w:val="0"/>
                <w:sz w:val="24"/>
                <w:szCs w:val="24"/>
                <w:shd w:val="clear" w:fill="FFFFFF"/>
                <w:lang w:val="en-US" w:eastAsia="zh-CN"/>
              </w:rPr>
              <w:t>3.468</w:t>
            </w:r>
            <w:r>
              <w:rPr>
                <w:rFonts w:hint="default" w:ascii="Times New Roman" w:hAnsi="Times New Roman" w:eastAsia="宋体" w:cs="Times New Roman"/>
                <w:b w:val="0"/>
                <w:bCs w:val="0"/>
                <w:i w:val="0"/>
                <w:iCs w:val="0"/>
                <w:caps w:val="0"/>
                <w:color w:val="auto"/>
                <w:spacing w:val="0"/>
                <w:sz w:val="24"/>
                <w:szCs w:val="24"/>
                <w:shd w:val="clear" w:fill="FFFFFF"/>
              </w:rPr>
              <w:t>t/a（Q=</w:t>
            </w:r>
            <w:r>
              <w:rPr>
                <w:rFonts w:hint="default" w:ascii="Times New Roman" w:hAnsi="Times New Roman" w:cs="Times New Roman"/>
                <w:b w:val="0"/>
                <w:bCs w:val="0"/>
                <w:i w:val="0"/>
                <w:iCs w:val="0"/>
                <w:caps w:val="0"/>
                <w:color w:val="auto"/>
                <w:spacing w:val="0"/>
                <w:sz w:val="24"/>
                <w:szCs w:val="24"/>
                <w:shd w:val="clear" w:fill="FFFFFF"/>
                <w:lang w:val="en-US" w:eastAsia="zh-CN"/>
              </w:rPr>
              <w:t>10010.08</w:t>
            </w:r>
            <w:r>
              <w:rPr>
                <w:rFonts w:hint="default" w:ascii="Times New Roman" w:hAnsi="Times New Roman" w:eastAsia="宋体" w:cs="Times New Roman"/>
                <w:b w:val="0"/>
                <w:bCs w:val="0"/>
                <w:i w:val="0"/>
                <w:iCs w:val="0"/>
                <w:caps w:val="0"/>
                <w:color w:val="auto"/>
                <w:spacing w:val="0"/>
                <w:sz w:val="24"/>
                <w:szCs w:val="24"/>
                <w:shd w:val="clear" w:fill="FFFFFF"/>
              </w:rPr>
              <w:t>m³/a，(109-10)mg/L，K=</w:t>
            </w:r>
            <w:r>
              <w:rPr>
                <w:rFonts w:hint="default" w:ascii="Times New Roman" w:hAnsi="Times New Roman" w:cs="Times New Roman"/>
                <w:b w:val="0"/>
                <w:bCs w:val="0"/>
                <w:i w:val="0"/>
                <w:iCs w:val="0"/>
                <w:caps w:val="0"/>
                <w:color w:val="auto"/>
                <w:spacing w:val="0"/>
                <w:sz w:val="24"/>
                <w:szCs w:val="24"/>
                <w:shd w:val="clear" w:fill="FFFFFF"/>
                <w:lang w:val="en-US" w:eastAsia="zh-CN"/>
              </w:rPr>
              <w:t>3.5</w:t>
            </w:r>
            <w:r>
              <w:rPr>
                <w:rFonts w:hint="default" w:ascii="Times New Roman" w:hAnsi="Times New Roman" w:eastAsia="宋体" w:cs="Times New Roman"/>
                <w:b w:val="0"/>
                <w:bCs w:val="0"/>
                <w:i w:val="0"/>
                <w:iCs w:val="0"/>
                <w:caps w:val="0"/>
                <w:color w:val="auto"/>
                <w:spacing w:val="0"/>
                <w:sz w:val="24"/>
                <w:szCs w:val="24"/>
                <w:shd w:val="clear" w:fill="FFFFFF"/>
              </w:rPr>
              <w:t>），混凝沉淀干泥产生量</w:t>
            </w:r>
            <w:r>
              <w:rPr>
                <w:rFonts w:hint="default" w:ascii="Times New Roman" w:hAnsi="Times New Roman" w:eastAsia="宋体" w:cs="Times New Roman"/>
                <w:b w:val="0"/>
                <w:bCs w:val="0"/>
                <w:i/>
                <w:iCs/>
                <w:caps w:val="0"/>
                <w:color w:val="auto"/>
                <w:spacing w:val="0"/>
                <w:sz w:val="24"/>
                <w:szCs w:val="24"/>
                <w:shd w:val="clear" w:fill="FFFFFF"/>
              </w:rPr>
              <w:t>M</w:t>
            </w:r>
            <w:r>
              <w:rPr>
                <w:rFonts w:hint="default" w:ascii="Times New Roman" w:hAnsi="Times New Roman" w:eastAsia="宋体" w:cs="Times New Roman"/>
                <w:b w:val="0"/>
                <w:bCs w:val="0"/>
                <w:caps w:val="0"/>
                <w:color w:val="auto"/>
                <w:spacing w:val="0"/>
                <w:sz w:val="24"/>
                <w:szCs w:val="24"/>
                <w:shd w:val="clear" w:fill="FFFFFF"/>
              </w:rPr>
              <w:t>=</w:t>
            </w:r>
            <w:r>
              <w:rPr>
                <w:rFonts w:hint="default" w:ascii="Times New Roman" w:hAnsi="Times New Roman" w:eastAsia="宋体" w:cs="Times New Roman"/>
                <w:b w:val="0"/>
                <w:bCs w:val="0"/>
                <w:i/>
                <w:iCs/>
                <w:caps w:val="0"/>
                <w:color w:val="auto"/>
                <w:spacing w:val="0"/>
                <w:sz w:val="24"/>
                <w:szCs w:val="24"/>
                <w:shd w:val="clear" w:fill="FFFFFF"/>
              </w:rPr>
              <w:t>Q</w:t>
            </w:r>
            <w:r>
              <w:rPr>
                <w:rFonts w:hint="default" w:ascii="Times New Roman" w:hAnsi="Times New Roman" w:eastAsia="宋体" w:cs="Times New Roman"/>
                <w:b w:val="0"/>
                <w:bCs w:val="0"/>
                <w:caps w:val="0"/>
                <w:color w:val="auto"/>
                <w:spacing w:val="0"/>
                <w:sz w:val="24"/>
                <w:szCs w:val="24"/>
                <w:shd w:val="clear" w:fill="FFFFFF"/>
              </w:rPr>
              <w:t>×(</w:t>
            </w:r>
            <w:r>
              <w:rPr>
                <w:rFonts w:hint="default" w:ascii="Times New Roman" w:hAnsi="Times New Roman" w:eastAsia="宋体" w:cs="Times New Roman"/>
                <w:b w:val="0"/>
                <w:bCs w:val="0"/>
                <w:i/>
                <w:iCs/>
                <w:caps w:val="0"/>
                <w:color w:val="auto"/>
                <w:spacing w:val="0"/>
                <w:sz w:val="24"/>
                <w:szCs w:val="24"/>
                <w:shd w:val="clear" w:fill="FFFFFF"/>
              </w:rPr>
              <w:t>SS</w:t>
            </w:r>
            <w:r>
              <w:rPr>
                <w:rFonts w:hint="default" w:ascii="Times New Roman" w:hAnsi="Times New Roman" w:eastAsia="宋体" w:cs="Times New Roman"/>
                <w:b w:val="0"/>
                <w:bCs w:val="0"/>
                <w:caps w:val="0"/>
                <w:color w:val="auto"/>
                <w:spacing w:val="0"/>
                <w:sz w:val="24"/>
                <w:szCs w:val="24"/>
                <w:shd w:val="clear" w:fill="FFFFFF"/>
              </w:rPr>
              <w:t>进​−</w:t>
            </w:r>
            <w:r>
              <w:rPr>
                <w:rFonts w:hint="default" w:ascii="Times New Roman" w:hAnsi="Times New Roman" w:eastAsia="宋体" w:cs="Times New Roman"/>
                <w:b w:val="0"/>
                <w:bCs w:val="0"/>
                <w:i/>
                <w:iCs/>
                <w:caps w:val="0"/>
                <w:color w:val="auto"/>
                <w:spacing w:val="0"/>
                <w:sz w:val="24"/>
                <w:szCs w:val="24"/>
                <w:shd w:val="clear" w:fill="FFFFFF"/>
              </w:rPr>
              <w:t>SS</w:t>
            </w:r>
            <w:r>
              <w:rPr>
                <w:rFonts w:hint="default" w:ascii="Times New Roman" w:hAnsi="Times New Roman" w:eastAsia="宋体" w:cs="Times New Roman"/>
                <w:b w:val="0"/>
                <w:bCs w:val="0"/>
                <w:caps w:val="0"/>
                <w:color w:val="auto"/>
                <w:spacing w:val="0"/>
                <w:sz w:val="24"/>
                <w:szCs w:val="24"/>
                <w:shd w:val="clear" w:fill="FFFFFF"/>
              </w:rPr>
              <w:t>出​)×1.5</w:t>
            </w:r>
            <w:r>
              <w:rPr>
                <w:rFonts w:hint="default" w:ascii="Times New Roman" w:hAnsi="Times New Roman" w:eastAsia="宋体" w:cs="Times New Roman"/>
                <w:b w:val="0"/>
                <w:bCs w:val="0"/>
                <w:caps w:val="0"/>
                <w:color w:val="auto"/>
                <w:spacing w:val="0"/>
                <w:sz w:val="24"/>
                <w:szCs w:val="24"/>
                <w:shd w:val="clear" w:fill="FFFFFF"/>
                <w:lang w:val="en-US" w:eastAsia="zh-CN"/>
              </w:rPr>
              <w:t>=</w:t>
            </w:r>
            <w:r>
              <w:rPr>
                <w:rFonts w:hint="default" w:ascii="Times New Roman" w:hAnsi="Times New Roman" w:eastAsia="宋体" w:cs="Times New Roman"/>
                <w:b w:val="0"/>
                <w:bCs w:val="0"/>
                <w:i w:val="0"/>
                <w:iCs w:val="0"/>
                <w:caps w:val="0"/>
                <w:color w:val="auto"/>
                <w:spacing w:val="0"/>
                <w:sz w:val="24"/>
                <w:szCs w:val="24"/>
                <w:shd w:val="clear" w:fill="FFFFFF"/>
              </w:rPr>
              <w:t>0.</w:t>
            </w:r>
            <w:r>
              <w:rPr>
                <w:rFonts w:hint="default" w:ascii="Times New Roman" w:hAnsi="Times New Roman" w:cs="Times New Roman"/>
                <w:b w:val="0"/>
                <w:bCs w:val="0"/>
                <w:i w:val="0"/>
                <w:iCs w:val="0"/>
                <w:caps w:val="0"/>
                <w:color w:val="auto"/>
                <w:spacing w:val="0"/>
                <w:sz w:val="24"/>
                <w:szCs w:val="24"/>
                <w:shd w:val="clear" w:fill="FFFFFF"/>
                <w:lang w:val="en-US" w:eastAsia="zh-CN"/>
              </w:rPr>
              <w:t>952</w:t>
            </w:r>
            <w:r>
              <w:rPr>
                <w:rFonts w:hint="default" w:ascii="Times New Roman" w:hAnsi="Times New Roman" w:eastAsia="宋体" w:cs="Times New Roman"/>
                <w:b w:val="0"/>
                <w:bCs w:val="0"/>
                <w:i w:val="0"/>
                <w:iCs w:val="0"/>
                <w:caps w:val="0"/>
                <w:color w:val="auto"/>
                <w:spacing w:val="0"/>
                <w:sz w:val="24"/>
                <w:szCs w:val="24"/>
                <w:shd w:val="clear" w:fill="FFFFFF"/>
              </w:rPr>
              <w:t>t/a（Q=</w:t>
            </w:r>
            <w:r>
              <w:rPr>
                <w:rFonts w:hint="default" w:ascii="Times New Roman" w:hAnsi="Times New Roman" w:cs="Times New Roman"/>
                <w:b w:val="0"/>
                <w:bCs w:val="0"/>
                <w:i w:val="0"/>
                <w:iCs w:val="0"/>
                <w:caps w:val="0"/>
                <w:color w:val="auto"/>
                <w:spacing w:val="0"/>
                <w:sz w:val="24"/>
                <w:szCs w:val="24"/>
                <w:shd w:val="clear" w:fill="FFFFFF"/>
                <w:lang w:val="en-US" w:eastAsia="zh-CN"/>
              </w:rPr>
              <w:t>10010.8</w:t>
            </w:r>
            <w:r>
              <w:rPr>
                <w:rFonts w:hint="default" w:ascii="Times New Roman" w:hAnsi="Times New Roman" w:eastAsia="宋体" w:cs="Times New Roman"/>
                <w:b w:val="0"/>
                <w:bCs w:val="0"/>
                <w:i w:val="0"/>
                <w:iCs w:val="0"/>
                <w:caps w:val="0"/>
                <w:color w:val="auto"/>
                <w:spacing w:val="0"/>
                <w:sz w:val="24"/>
                <w:szCs w:val="24"/>
                <w:shd w:val="clear" w:fill="FFFFFF"/>
              </w:rPr>
              <w:t>m³/a，(67-</w:t>
            </w:r>
            <w:r>
              <w:rPr>
                <w:rFonts w:hint="default" w:ascii="Times New Roman" w:hAnsi="Times New Roman" w:cs="Times New Roman"/>
                <w:b w:val="0"/>
                <w:bCs w:val="0"/>
                <w:i w:val="0"/>
                <w:iCs w:val="0"/>
                <w:caps w:val="0"/>
                <w:color w:val="auto"/>
                <w:spacing w:val="0"/>
                <w:sz w:val="24"/>
                <w:szCs w:val="24"/>
                <w:shd w:val="clear" w:fill="FFFFFF"/>
                <w:lang w:val="en-US" w:eastAsia="zh-CN"/>
              </w:rPr>
              <w:t>3.6</w:t>
            </w:r>
            <w:r>
              <w:rPr>
                <w:rFonts w:hint="default" w:ascii="Times New Roman" w:hAnsi="Times New Roman" w:eastAsia="宋体" w:cs="Times New Roman"/>
                <w:b w:val="0"/>
                <w:bCs w:val="0"/>
                <w:i w:val="0"/>
                <w:iCs w:val="0"/>
                <w:caps w:val="0"/>
                <w:color w:val="auto"/>
                <w:spacing w:val="0"/>
                <w:sz w:val="24"/>
                <w:szCs w:val="24"/>
                <w:shd w:val="clear" w:fill="FFFFFF"/>
              </w:rPr>
              <w:t>)mg/L，K=1.5）。合计绝干污泥</w:t>
            </w:r>
            <w:r>
              <w:rPr>
                <w:rFonts w:hint="default" w:ascii="Times New Roman" w:hAnsi="Times New Roman" w:cs="Times New Roman"/>
                <w:b w:val="0"/>
                <w:bCs w:val="0"/>
                <w:i w:val="0"/>
                <w:iCs w:val="0"/>
                <w:caps w:val="0"/>
                <w:color w:val="auto"/>
                <w:spacing w:val="0"/>
                <w:sz w:val="24"/>
                <w:szCs w:val="24"/>
                <w:shd w:val="clear" w:fill="FFFFFF"/>
                <w:lang w:val="en-US" w:eastAsia="zh-CN"/>
              </w:rPr>
              <w:t>4.420</w:t>
            </w:r>
            <w:r>
              <w:rPr>
                <w:rFonts w:hint="default" w:ascii="Times New Roman" w:hAnsi="Times New Roman" w:eastAsia="宋体" w:cs="Times New Roman"/>
                <w:b w:val="0"/>
                <w:bCs w:val="0"/>
                <w:i w:val="0"/>
                <w:iCs w:val="0"/>
                <w:caps w:val="0"/>
                <w:color w:val="auto"/>
                <w:spacing w:val="0"/>
                <w:sz w:val="24"/>
                <w:szCs w:val="24"/>
                <w:shd w:val="clear" w:fill="FFFFFF"/>
              </w:rPr>
              <w:t>t/a</w:t>
            </w:r>
            <w:r>
              <w:rPr>
                <w:rFonts w:hint="default" w:ascii="Times New Roman" w:hAnsi="Times New Roman" w:cs="Times New Roman"/>
                <w:b w:val="0"/>
                <w:bCs w:val="0"/>
                <w:i w:val="0"/>
                <w:iCs w:val="0"/>
                <w:caps w:val="0"/>
                <w:color w:val="auto"/>
                <w:spacing w:val="0"/>
                <w:sz w:val="24"/>
                <w:szCs w:val="24"/>
                <w:shd w:val="clear" w:fill="FFFFFF"/>
                <w:lang w:eastAsia="zh-CN"/>
              </w:rPr>
              <w:t>，</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项目</w:t>
            </w:r>
            <w:r>
              <w:rPr>
                <w:rFonts w:hint="default" w:ascii="Times New Roman" w:hAnsi="Times New Roman" w:eastAsia="Segoe UI" w:cs="Times New Roman"/>
                <w:b w:val="0"/>
                <w:bCs w:val="0"/>
                <w:i w:val="0"/>
                <w:iCs w:val="0"/>
                <w:caps w:val="0"/>
                <w:color w:val="auto"/>
                <w:spacing w:val="0"/>
                <w:sz w:val="24"/>
                <w:szCs w:val="24"/>
                <w:shd w:val="clear" w:fill="FFFFFF"/>
              </w:rPr>
              <w:t>污泥</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产生</w:t>
            </w:r>
            <w:r>
              <w:rPr>
                <w:rFonts w:hint="default" w:ascii="Times New Roman" w:hAnsi="Times New Roman" w:eastAsia="Segoe UI" w:cs="Times New Roman"/>
                <w:b w:val="0"/>
                <w:bCs w:val="0"/>
                <w:i w:val="0"/>
                <w:iCs w:val="0"/>
                <w:caps w:val="0"/>
                <w:color w:val="auto"/>
                <w:spacing w:val="0"/>
                <w:sz w:val="24"/>
                <w:szCs w:val="24"/>
                <w:shd w:val="clear" w:fill="FFFFFF"/>
              </w:rPr>
              <w:t>量</w:t>
            </w:r>
            <w:r>
              <w:rPr>
                <w:rFonts w:hint="default" w:ascii="Times New Roman" w:hAnsi="Times New Roman" w:eastAsia="宋体" w:cs="Times New Roman"/>
                <w:b w:val="0"/>
                <w:bCs w:val="0"/>
                <w:i w:val="0"/>
                <w:iCs w:val="0"/>
                <w:caps w:val="0"/>
                <w:color w:val="auto"/>
                <w:spacing w:val="0"/>
                <w:sz w:val="24"/>
                <w:szCs w:val="24"/>
                <w:shd w:val="clear" w:fill="FFFFFF"/>
                <w:lang w:eastAsia="zh-CN"/>
              </w:rPr>
              <w:t>（</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含水率</w:t>
            </w:r>
            <w:r>
              <w:rPr>
                <w:rFonts w:hint="default" w:ascii="Times New Roman" w:hAnsi="Times New Roman" w:cs="Times New Roman"/>
                <w:b w:val="0"/>
                <w:bCs w:val="0"/>
                <w:i w:val="0"/>
                <w:iCs w:val="0"/>
                <w:caps w:val="0"/>
                <w:color w:val="auto"/>
                <w:spacing w:val="0"/>
                <w:sz w:val="24"/>
                <w:szCs w:val="24"/>
                <w:shd w:val="clear" w:fill="FFFFFF"/>
                <w:lang w:val="en-US" w:eastAsia="zh-CN"/>
              </w:rPr>
              <w:t>以</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6</w:t>
            </w:r>
            <w:r>
              <w:rPr>
                <w:rFonts w:hint="default" w:ascii="Times New Roman" w:hAnsi="Times New Roman" w:cs="Times New Roman"/>
                <w:b w:val="0"/>
                <w:bCs w:val="0"/>
                <w:i w:val="0"/>
                <w:iCs w:val="0"/>
                <w:caps w:val="0"/>
                <w:color w:val="auto"/>
                <w:spacing w:val="0"/>
                <w:sz w:val="24"/>
                <w:szCs w:val="24"/>
                <w:shd w:val="clear" w:fill="FFFFFF"/>
                <w:lang w:val="en-US" w:eastAsia="zh-CN"/>
              </w:rPr>
              <w:t>0</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w:t>
            </w:r>
            <w:r>
              <w:rPr>
                <w:rFonts w:hint="default" w:ascii="Times New Roman" w:hAnsi="Times New Roman" w:cs="Times New Roman"/>
                <w:b w:val="0"/>
                <w:bCs w:val="0"/>
                <w:i w:val="0"/>
                <w:iCs w:val="0"/>
                <w:caps w:val="0"/>
                <w:color w:val="auto"/>
                <w:spacing w:val="0"/>
                <w:sz w:val="24"/>
                <w:szCs w:val="24"/>
                <w:shd w:val="clear" w:fill="FFFFFF"/>
                <w:lang w:val="en-US" w:eastAsia="zh-CN"/>
              </w:rPr>
              <w:t>计</w:t>
            </w:r>
            <w:r>
              <w:rPr>
                <w:rFonts w:hint="default" w:ascii="Times New Roman" w:hAnsi="Times New Roman" w:eastAsia="宋体" w:cs="Times New Roman"/>
                <w:b w:val="0"/>
                <w:bCs w:val="0"/>
                <w:i w:val="0"/>
                <w:iCs w:val="0"/>
                <w:caps w:val="0"/>
                <w:color w:val="auto"/>
                <w:spacing w:val="0"/>
                <w:sz w:val="24"/>
                <w:szCs w:val="24"/>
                <w:shd w:val="clear" w:fill="FFFFFF"/>
                <w:lang w:eastAsia="zh-CN"/>
              </w:rPr>
              <w:t>）</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约为</w:t>
            </w:r>
            <w:r>
              <w:rPr>
                <w:rFonts w:hint="default" w:ascii="Times New Roman" w:hAnsi="Times New Roman" w:cs="Times New Roman"/>
                <w:b w:val="0"/>
                <w:bCs w:val="0"/>
                <w:i w:val="0"/>
                <w:iCs w:val="0"/>
                <w:caps w:val="0"/>
                <w:color w:val="auto"/>
                <w:spacing w:val="0"/>
                <w:sz w:val="24"/>
                <w:szCs w:val="24"/>
                <w:shd w:val="clear" w:fill="FFFFFF"/>
                <w:lang w:val="en-US" w:eastAsia="zh-CN"/>
              </w:rPr>
              <w:t>11.051</w:t>
            </w:r>
            <w:r>
              <w:rPr>
                <w:rFonts w:hint="default" w:ascii="Times New Roman" w:hAnsi="Times New Roman" w:eastAsia="宋体" w:cs="Times New Roman"/>
                <w:b w:val="0"/>
                <w:bCs w:val="0"/>
                <w:i w:val="0"/>
                <w:iCs w:val="0"/>
                <w:caps w:val="0"/>
                <w:color w:val="auto"/>
                <w:spacing w:val="0"/>
                <w:sz w:val="24"/>
                <w:szCs w:val="24"/>
                <w:shd w:val="clear" w:fill="FFFFFF"/>
                <w:lang w:val="en-US" w:eastAsia="zh-CN"/>
              </w:rPr>
              <w:t>t/a</w:t>
            </w:r>
            <w:r>
              <w:rPr>
                <w:rFonts w:hint="default" w:ascii="Times New Roman" w:hAnsi="Times New Roman" w:cs="Times New Roman"/>
                <w:b w:val="0"/>
                <w:bCs w:val="0"/>
                <w:i w:val="0"/>
                <w:iCs w:val="0"/>
                <w:caps w:val="0"/>
                <w:color w:val="auto"/>
                <w:spacing w:val="0"/>
                <w:sz w:val="24"/>
                <w:szCs w:val="24"/>
                <w:shd w:val="clear" w:fill="FFFFFF"/>
                <w:lang w:val="en-US" w:eastAsia="zh-CN"/>
              </w:rPr>
              <w:t>，产生的污泥通过污泥浓缩池浓缩后进行板框压滤处理。污泥</w:t>
            </w:r>
            <w:r>
              <w:rPr>
                <w:rFonts w:hint="default" w:ascii="Times New Roman" w:hAnsi="Times New Roman" w:cs="Times New Roman"/>
                <w:b w:val="0"/>
                <w:bCs w:val="0"/>
                <w:color w:val="auto"/>
                <w:sz w:val="24"/>
                <w:szCs w:val="24"/>
                <w:highlight w:val="none"/>
              </w:rPr>
              <w:t>属于《国家危险废物名录》（202</w:t>
            </w:r>
            <w:r>
              <w:rPr>
                <w:rFonts w:hint="default" w:ascii="Times New Roman" w:hAnsi="Times New Roman" w:cs="Times New Roman"/>
                <w:b w:val="0"/>
                <w:bCs w:val="0"/>
                <w:color w:val="auto"/>
                <w:sz w:val="24"/>
                <w:szCs w:val="24"/>
                <w:highlight w:val="none"/>
                <w:lang w:val="en-US" w:eastAsia="zh-CN"/>
              </w:rPr>
              <w:t>5</w:t>
            </w:r>
            <w:r>
              <w:rPr>
                <w:rFonts w:hint="default" w:ascii="Times New Roman" w:hAnsi="Times New Roman" w:cs="Times New Roman"/>
                <w:b w:val="0"/>
                <w:bCs w:val="0"/>
                <w:color w:val="auto"/>
                <w:sz w:val="24"/>
                <w:szCs w:val="24"/>
                <w:highlight w:val="none"/>
              </w:rPr>
              <w:t>年版）中编号为HW17危险废物，危废代码336-064-17。收集后交由有危废处理资质单位处理。</w:t>
            </w:r>
          </w:p>
          <w:p w14:paraId="042F7F81">
            <w:pPr>
              <w:pStyle w:val="2"/>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lang w:eastAsia="zh-CN"/>
              </w:rPr>
            </w:pPr>
            <w:r>
              <w:rPr>
                <w:rFonts w:hint="eastAsia" w:ascii="Times New Roman" w:cs="Times New Roman"/>
                <w:b/>
                <w:bCs/>
                <w:color w:val="auto"/>
                <w:sz w:val="24"/>
                <w:szCs w:val="24"/>
                <w:highlight w:val="none"/>
                <w:lang w:val="en-US" w:eastAsia="zh-CN"/>
              </w:rPr>
              <w:t>⑤</w:t>
            </w:r>
            <w:r>
              <w:rPr>
                <w:rFonts w:hint="default" w:ascii="Times New Roman" w:hAnsi="Times New Roman" w:cs="Times New Roman"/>
                <w:b/>
                <w:bCs/>
                <w:color w:val="auto"/>
                <w:sz w:val="24"/>
                <w:szCs w:val="24"/>
                <w:highlight w:val="none"/>
                <w:lang w:eastAsia="zh-CN"/>
              </w:rPr>
              <w:t>废</w:t>
            </w:r>
            <w:r>
              <w:rPr>
                <w:rFonts w:hint="default" w:ascii="Times New Roman" w:hAnsi="Times New Roman" w:cs="Times New Roman"/>
                <w:b/>
                <w:bCs/>
                <w:color w:val="auto"/>
                <w:sz w:val="24"/>
                <w:szCs w:val="24"/>
                <w:highlight w:val="none"/>
              </w:rPr>
              <w:t>pH调整剂</w:t>
            </w:r>
            <w:r>
              <w:rPr>
                <w:rFonts w:hint="default" w:ascii="Times New Roman" w:hAnsi="Times New Roman" w:cs="Times New Roman"/>
                <w:b/>
                <w:bCs/>
                <w:color w:val="auto"/>
                <w:sz w:val="24"/>
                <w:szCs w:val="24"/>
                <w:highlight w:val="none"/>
                <w:lang w:eastAsia="zh-CN"/>
              </w:rPr>
              <w:t>包装桶</w:t>
            </w:r>
          </w:p>
          <w:p w14:paraId="24BCDD7D">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b w:val="0"/>
                <w:bCs w:val="0"/>
                <w:color w:val="auto"/>
                <w:sz w:val="24"/>
                <w:szCs w:val="24"/>
                <w:highlight w:val="none"/>
                <w:lang w:eastAsia="zh-CN"/>
              </w:rPr>
            </w:pPr>
            <w:r>
              <w:rPr>
                <w:rFonts w:hint="default" w:ascii="Times New Roman" w:hAnsi="Times New Roman" w:cs="Times New Roman"/>
                <w:b w:val="0"/>
                <w:bCs w:val="0"/>
                <w:color w:val="auto"/>
                <w:sz w:val="24"/>
                <w:szCs w:val="24"/>
                <w:highlight w:val="none"/>
                <w:lang w:eastAsia="zh-CN"/>
              </w:rPr>
              <w:t>项目自建污水处理站使用</w:t>
            </w:r>
            <w:r>
              <w:rPr>
                <w:rFonts w:hint="default" w:ascii="Times New Roman" w:hAnsi="Times New Roman" w:cs="Times New Roman"/>
                <w:b w:val="0"/>
                <w:bCs w:val="0"/>
                <w:color w:val="auto"/>
                <w:sz w:val="24"/>
                <w:szCs w:val="24"/>
                <w:highlight w:val="none"/>
              </w:rPr>
              <w:t>pH调整剂</w:t>
            </w:r>
            <w:r>
              <w:rPr>
                <w:rFonts w:hint="default" w:ascii="Times New Roman" w:hAnsi="Times New Roman" w:cs="Times New Roman"/>
                <w:b w:val="0"/>
                <w:bCs w:val="0"/>
                <w:color w:val="auto"/>
                <w:sz w:val="24"/>
                <w:szCs w:val="24"/>
                <w:highlight w:val="none"/>
                <w:lang w:eastAsia="zh-CN"/>
              </w:rPr>
              <w:t>调节废水</w:t>
            </w:r>
            <w:r>
              <w:rPr>
                <w:rFonts w:hint="default" w:ascii="Times New Roman" w:hAnsi="Times New Roman" w:cs="Times New Roman"/>
                <w:b w:val="0"/>
                <w:bCs w:val="0"/>
                <w:color w:val="auto"/>
                <w:sz w:val="24"/>
                <w:szCs w:val="24"/>
                <w:highlight w:val="none"/>
                <w:lang w:val="en-US" w:eastAsia="zh-CN"/>
              </w:rPr>
              <w:t>pH（70%硫酸），故会产生</w:t>
            </w:r>
            <w:r>
              <w:rPr>
                <w:rFonts w:hint="default" w:ascii="Times New Roman" w:hAnsi="Times New Roman" w:cs="Times New Roman"/>
                <w:b w:val="0"/>
                <w:bCs w:val="0"/>
                <w:color w:val="auto"/>
                <w:sz w:val="24"/>
                <w:szCs w:val="24"/>
                <w:highlight w:val="none"/>
                <w:lang w:eastAsia="zh-CN"/>
              </w:rPr>
              <w:t>废</w:t>
            </w:r>
            <w:r>
              <w:rPr>
                <w:rFonts w:hint="default" w:ascii="Times New Roman" w:hAnsi="Times New Roman" w:cs="Times New Roman"/>
                <w:b w:val="0"/>
                <w:bCs w:val="0"/>
                <w:color w:val="auto"/>
                <w:sz w:val="24"/>
                <w:szCs w:val="24"/>
                <w:highlight w:val="none"/>
              </w:rPr>
              <w:t>pH调整剂</w:t>
            </w:r>
            <w:r>
              <w:rPr>
                <w:rFonts w:hint="default" w:ascii="Times New Roman" w:hAnsi="Times New Roman" w:cs="Times New Roman"/>
                <w:b w:val="0"/>
                <w:bCs w:val="0"/>
                <w:color w:val="auto"/>
                <w:sz w:val="24"/>
                <w:szCs w:val="24"/>
                <w:highlight w:val="none"/>
                <w:lang w:eastAsia="zh-CN"/>
              </w:rPr>
              <w:t>包装桶，项目年使用</w:t>
            </w:r>
            <w:r>
              <w:rPr>
                <w:rFonts w:hint="default" w:ascii="Times New Roman" w:hAnsi="Times New Roman" w:cs="Times New Roman"/>
                <w:b w:val="0"/>
                <w:bCs w:val="0"/>
                <w:color w:val="auto"/>
                <w:sz w:val="24"/>
                <w:szCs w:val="24"/>
                <w:highlight w:val="none"/>
                <w:lang w:val="en-US" w:eastAsia="zh-CN"/>
              </w:rPr>
              <w:t>0.2吨</w:t>
            </w:r>
            <w:r>
              <w:rPr>
                <w:rFonts w:hint="default" w:ascii="Times New Roman" w:hAnsi="Times New Roman" w:cs="Times New Roman"/>
                <w:b w:val="0"/>
                <w:bCs w:val="0"/>
                <w:color w:val="auto"/>
                <w:sz w:val="24"/>
                <w:szCs w:val="24"/>
                <w:highlight w:val="none"/>
              </w:rPr>
              <w:t>pH调整剂</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lang w:val="en-US" w:eastAsia="zh-CN"/>
              </w:rPr>
              <w:t>包装规格为25kg/桶，年使用8桶，单个废桶重1kg，故会产生</w:t>
            </w:r>
            <w:r>
              <w:rPr>
                <w:rFonts w:hint="default" w:ascii="Times New Roman" w:hAnsi="Times New Roman" w:cs="Times New Roman"/>
                <w:b w:val="0"/>
                <w:bCs w:val="0"/>
                <w:color w:val="auto"/>
                <w:sz w:val="24"/>
                <w:szCs w:val="24"/>
                <w:highlight w:val="none"/>
                <w:lang w:eastAsia="zh-CN"/>
              </w:rPr>
              <w:t>废</w:t>
            </w:r>
            <w:r>
              <w:rPr>
                <w:rFonts w:hint="default" w:ascii="Times New Roman" w:hAnsi="Times New Roman" w:cs="Times New Roman"/>
                <w:b w:val="0"/>
                <w:bCs w:val="0"/>
                <w:color w:val="auto"/>
                <w:sz w:val="24"/>
                <w:szCs w:val="24"/>
                <w:highlight w:val="none"/>
              </w:rPr>
              <w:t>pH调整剂</w:t>
            </w:r>
            <w:r>
              <w:rPr>
                <w:rFonts w:hint="default" w:ascii="Times New Roman" w:hAnsi="Times New Roman" w:cs="Times New Roman"/>
                <w:b w:val="0"/>
                <w:bCs w:val="0"/>
                <w:color w:val="auto"/>
                <w:sz w:val="24"/>
                <w:szCs w:val="24"/>
                <w:highlight w:val="none"/>
                <w:lang w:eastAsia="zh-CN"/>
              </w:rPr>
              <w:t>包装桶</w:t>
            </w:r>
            <w:r>
              <w:rPr>
                <w:rFonts w:hint="default" w:ascii="Times New Roman" w:hAnsi="Times New Roman" w:cs="Times New Roman"/>
                <w:b w:val="0"/>
                <w:bCs w:val="0"/>
                <w:color w:val="auto"/>
                <w:sz w:val="24"/>
                <w:szCs w:val="24"/>
                <w:highlight w:val="none"/>
                <w:lang w:val="en-US" w:eastAsia="zh-CN"/>
              </w:rPr>
              <w:t>0.008t/a。</w:t>
            </w:r>
            <w:r>
              <w:rPr>
                <w:rFonts w:hint="default" w:ascii="Times New Roman" w:hAnsi="Times New Roman" w:cs="Times New Roman"/>
                <w:color w:val="auto"/>
                <w:sz w:val="24"/>
                <w:szCs w:val="24"/>
                <w:highlight w:val="none"/>
              </w:rPr>
              <w:t>根据</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w:t>
            </w:r>
            <w:r>
              <w:rPr>
                <w:rFonts w:hint="default" w:ascii="Times New Roman" w:hAnsi="Times New Roman" w:cs="Times New Roman"/>
                <w:b w:val="0"/>
                <w:bCs w:val="0"/>
                <w:color w:val="auto"/>
                <w:sz w:val="24"/>
                <w:szCs w:val="24"/>
                <w:highlight w:val="none"/>
                <w:lang w:eastAsia="zh-CN"/>
              </w:rPr>
              <w:t>废</w:t>
            </w:r>
            <w:r>
              <w:rPr>
                <w:rFonts w:hint="default" w:ascii="Times New Roman" w:hAnsi="Times New Roman" w:cs="Times New Roman"/>
                <w:b w:val="0"/>
                <w:bCs w:val="0"/>
                <w:color w:val="auto"/>
                <w:sz w:val="24"/>
                <w:szCs w:val="24"/>
                <w:highlight w:val="none"/>
              </w:rPr>
              <w:t>pH调整剂</w:t>
            </w:r>
            <w:r>
              <w:rPr>
                <w:rFonts w:hint="default" w:ascii="Times New Roman" w:hAnsi="Times New Roman" w:cs="Times New Roman"/>
                <w:b w:val="0"/>
                <w:bCs w:val="0"/>
                <w:color w:val="auto"/>
                <w:sz w:val="24"/>
                <w:szCs w:val="24"/>
                <w:highlight w:val="none"/>
                <w:lang w:eastAsia="zh-CN"/>
              </w:rPr>
              <w:t>包装</w:t>
            </w:r>
            <w:r>
              <w:rPr>
                <w:rFonts w:hint="default" w:ascii="Times New Roman" w:hAnsi="Times New Roman" w:cs="Times New Roman"/>
                <w:color w:val="auto"/>
                <w:sz w:val="24"/>
                <w:szCs w:val="24"/>
                <w:highlight w:val="none"/>
              </w:rPr>
              <w:t>桶属于</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中编号为</w:t>
            </w:r>
            <w:r>
              <w:rPr>
                <w:rFonts w:hint="default" w:ascii="Times New Roman" w:hAnsi="Times New Roman" w:cs="Times New Roman"/>
                <w:color w:val="auto"/>
                <w:sz w:val="24"/>
                <w:szCs w:val="24"/>
                <w:highlight w:val="none"/>
                <w:lang w:val="en-US" w:eastAsia="zh-CN"/>
              </w:rPr>
              <w:t>HW49其他废物</w:t>
            </w:r>
            <w:r>
              <w:rPr>
                <w:rFonts w:hint="default" w:ascii="Times New Roman" w:hAnsi="Times New Roman" w:cs="Times New Roman"/>
                <w:color w:val="auto"/>
                <w:sz w:val="24"/>
                <w:szCs w:val="24"/>
                <w:highlight w:val="none"/>
              </w:rPr>
              <w:t>，废物代码</w:t>
            </w:r>
            <w:r>
              <w:rPr>
                <w:rFonts w:hint="default" w:ascii="Times New Roman" w:hAnsi="Times New Roman" w:cs="Times New Roman"/>
                <w:b w:val="0"/>
                <w:bCs w:val="0"/>
                <w:color w:val="auto"/>
                <w:sz w:val="24"/>
                <w:szCs w:val="24"/>
                <w:highlight w:val="none"/>
                <w:lang w:val="en-US" w:eastAsia="zh-CN"/>
              </w:rPr>
              <w:t>900-041-49</w:t>
            </w:r>
            <w:r>
              <w:rPr>
                <w:rFonts w:hint="default" w:ascii="Times New Roman" w:hAnsi="Times New Roman" w:cs="Times New Roman"/>
                <w:color w:val="auto"/>
                <w:sz w:val="24"/>
                <w:szCs w:val="24"/>
                <w:highlight w:val="none"/>
              </w:rPr>
              <w:t>，经统一收集后交由有危险废物处理资质的单位处理</w:t>
            </w:r>
            <w:r>
              <w:rPr>
                <w:rFonts w:hint="default" w:ascii="Times New Roman" w:hAnsi="Times New Roman" w:cs="Times New Roman"/>
                <w:color w:val="auto"/>
                <w:sz w:val="24"/>
                <w:szCs w:val="24"/>
                <w:highlight w:val="none"/>
                <w:lang w:eastAsia="zh-CN"/>
              </w:rPr>
              <w:t>。</w:t>
            </w:r>
          </w:p>
          <w:p w14:paraId="2CAE2EE7">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⑥</w:t>
            </w:r>
            <w:r>
              <w:rPr>
                <w:rFonts w:hint="default" w:ascii="Times New Roman" w:hAnsi="Times New Roman" w:cs="Times New Roman"/>
                <w:b/>
                <w:bCs/>
                <w:color w:val="auto"/>
                <w:sz w:val="24"/>
                <w:szCs w:val="24"/>
                <w:highlight w:val="none"/>
              </w:rPr>
              <w:t>废机油桶</w:t>
            </w:r>
          </w:p>
          <w:p w14:paraId="2BC65C7B">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保养设备设施会用到机油，用量很少，润滑油规格有：200L/桶（</w:t>
            </w:r>
            <w:r>
              <w:rPr>
                <w:rFonts w:hint="default" w:ascii="Times New Roman" w:hAnsi="Times New Roman" w:cs="Times New Roman"/>
                <w:color w:val="auto"/>
                <w:sz w:val="24"/>
                <w:szCs w:val="24"/>
                <w:highlight w:val="none"/>
                <w:lang w:val="en-US" w:eastAsia="zh-CN"/>
              </w:rPr>
              <w:t>本项目使用4</w:t>
            </w:r>
            <w:r>
              <w:rPr>
                <w:rFonts w:hint="default" w:ascii="Times New Roman" w:hAnsi="Times New Roman" w:cs="Times New Roman"/>
                <w:color w:val="auto"/>
                <w:sz w:val="24"/>
                <w:szCs w:val="24"/>
                <w:highlight w:val="none"/>
              </w:rPr>
              <w:t>桶），润滑油空桶按</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kg/桶计算。则本项目产生废机油空桶约0.0</w:t>
            </w:r>
            <w:r>
              <w:rPr>
                <w:rFonts w:hint="default" w:ascii="Times New Roman" w:hAnsi="Times New Roman" w:cs="Times New Roman"/>
                <w:color w:val="auto"/>
                <w:sz w:val="24"/>
                <w:szCs w:val="24"/>
                <w:highlight w:val="none"/>
                <w:lang w:val="en-US" w:eastAsia="zh-CN"/>
              </w:rPr>
              <w:t>2t</w:t>
            </w:r>
            <w:r>
              <w:rPr>
                <w:rFonts w:hint="default" w:ascii="Times New Roman" w:hAnsi="Times New Roman" w:cs="Times New Roman"/>
                <w:color w:val="auto"/>
                <w:sz w:val="24"/>
                <w:szCs w:val="24"/>
                <w:highlight w:val="none"/>
              </w:rPr>
              <w:t>/a。根据</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，废机油空桶属于</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中编号为HW08废矿物油与含矿物油废物，废物代码900-249-08</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其他生产、销售、使用过程中产生的废矿物油及沾染矿物油的废弃包装物”危险废物，经统一收集后交由有危险废物处理资质的单位处理。</w:t>
            </w:r>
          </w:p>
          <w:p w14:paraId="1F85CAE2">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⑦</w:t>
            </w:r>
            <w:r>
              <w:rPr>
                <w:rFonts w:hint="default" w:ascii="Times New Roman" w:hAnsi="Times New Roman" w:cs="Times New Roman"/>
                <w:b/>
                <w:bCs/>
                <w:color w:val="auto"/>
                <w:sz w:val="24"/>
                <w:szCs w:val="24"/>
                <w:highlight w:val="none"/>
              </w:rPr>
              <w:t>废机油</w:t>
            </w:r>
          </w:p>
          <w:p w14:paraId="530540EB">
            <w:pPr>
              <w:pStyle w:val="2"/>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本项目在进行设备保养的过程中会产生废机油，废机油</w:t>
            </w:r>
            <w:r>
              <w:rPr>
                <w:rFonts w:hint="default" w:ascii="Times New Roman" w:hAnsi="Times New Roman" w:cs="Times New Roman"/>
                <w:color w:val="auto"/>
                <w:sz w:val="24"/>
                <w:szCs w:val="24"/>
                <w:highlight w:val="none"/>
                <w:lang w:val="en-US" w:eastAsia="zh-CN"/>
              </w:rPr>
              <w:t>年产量约为</w:t>
            </w:r>
            <w:r>
              <w:rPr>
                <w:rFonts w:hint="default" w:ascii="Times New Roman" w:hAnsi="Times New Roman" w:cs="Times New Roman"/>
                <w:color w:val="auto"/>
                <w:kern w:val="0"/>
                <w:sz w:val="24"/>
                <w:szCs w:val="24"/>
                <w:highlight w:val="none"/>
                <w:lang w:val="en-US" w:eastAsia="zh-CN"/>
              </w:rPr>
              <w:t>0.80t/a</w:t>
            </w:r>
            <w:r>
              <w:rPr>
                <w:rFonts w:hint="default" w:ascii="Times New Roman" w:hAnsi="Times New Roman" w:cs="Times New Roman"/>
                <w:color w:val="auto"/>
                <w:sz w:val="24"/>
                <w:szCs w:val="24"/>
                <w:highlight w:val="none"/>
              </w:rPr>
              <w:t>，根据</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，废机油属于“HW08废矿物油与含矿物油废物”类别中代码为900-249-08“其他生产、销售、使用过程中产生的废矿物油及沾染矿物油的废弃包装物”危险废物，经统一收集后交由有危险废物处理资质的单位处理。</w:t>
            </w:r>
          </w:p>
          <w:p w14:paraId="547CE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Times New Roman" w:hAnsi="Times New Roman" w:cs="Times New Roman"/>
                <w:b/>
                <w:bCs/>
                <w:color w:val="auto"/>
                <w:sz w:val="24"/>
                <w:szCs w:val="24"/>
                <w:highlight w:val="none"/>
                <w:lang w:val="en-US" w:eastAsia="zh-CN"/>
              </w:rPr>
            </w:pPr>
            <w:r>
              <w:rPr>
                <w:rFonts w:hint="eastAsia" w:ascii="Times New Roman" w:hAnsi="Times New Roman" w:cs="Times New Roman"/>
                <w:b/>
                <w:bCs/>
                <w:color w:val="auto"/>
                <w:sz w:val="24"/>
                <w:szCs w:val="24"/>
                <w:highlight w:val="none"/>
                <w:lang w:val="en-US" w:eastAsia="zh-CN"/>
              </w:rPr>
              <w:t>⑧</w:t>
            </w:r>
            <w:r>
              <w:rPr>
                <w:rFonts w:hint="default" w:ascii="Times New Roman" w:hAnsi="Times New Roman" w:cs="Times New Roman"/>
                <w:b/>
                <w:bCs/>
                <w:color w:val="auto"/>
                <w:sz w:val="24"/>
                <w:szCs w:val="24"/>
                <w:highlight w:val="none"/>
                <w:lang w:val="en-US" w:eastAsia="zh-CN"/>
              </w:rPr>
              <w:t>废含油抹布</w:t>
            </w:r>
            <w:r>
              <w:rPr>
                <w:rFonts w:hint="eastAsia" w:ascii="Times New Roman" w:hAnsi="Times New Roman" w:cs="Times New Roman"/>
                <w:b/>
                <w:bCs/>
                <w:color w:val="auto"/>
                <w:sz w:val="24"/>
                <w:szCs w:val="24"/>
                <w:highlight w:val="none"/>
                <w:lang w:val="en-US" w:eastAsia="zh-CN"/>
              </w:rPr>
              <w:t>手套</w:t>
            </w:r>
          </w:p>
          <w:p w14:paraId="1C243905">
            <w:pPr>
              <w:pStyle w:val="2"/>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lang w:eastAsia="zh-CN"/>
              </w:rPr>
            </w:pPr>
            <w:r>
              <w:rPr>
                <w:rFonts w:hint="default" w:ascii="Times New Roman" w:hAnsi="Times New Roman" w:cs="Times New Roman"/>
                <w:color w:val="auto"/>
                <w:sz w:val="24"/>
                <w:szCs w:val="24"/>
                <w:highlight w:val="none"/>
                <w:lang w:val="en-US" w:eastAsia="zh-CN"/>
              </w:rPr>
              <w:t>项目生产过程中会产生一定量的含矿物油废抹布及手套，根据建设单位提供的资料，其产生量约0.05t/a，根据《国家危险废物名录（2025年版）》，废含油抹布及手套（</w:t>
            </w:r>
            <w:r>
              <w:rPr>
                <w:rFonts w:hint="eastAsia" w:ascii="Times New Roman" w:cs="Times New Roman"/>
                <w:color w:val="auto"/>
                <w:sz w:val="24"/>
                <w:szCs w:val="24"/>
                <w:highlight w:val="none"/>
                <w:lang w:val="en-US" w:eastAsia="zh-CN"/>
              </w:rPr>
              <w:t>废物代码</w:t>
            </w:r>
            <w:r>
              <w:rPr>
                <w:rFonts w:hint="default" w:ascii="Times New Roman" w:hAnsi="Times New Roman" w:cs="Times New Roman"/>
                <w:color w:val="auto"/>
                <w:sz w:val="24"/>
                <w:szCs w:val="24"/>
                <w:highlight w:val="none"/>
                <w:lang w:val="en-US" w:eastAsia="zh-CN"/>
              </w:rPr>
              <w:t>900-041-49）在满足特定条件时可豁免管理，但本项目为从严管理，仍将其作为危险废物进行全过程管理。</w:t>
            </w:r>
          </w:p>
          <w:p w14:paraId="590CE409">
            <w:pPr>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eastAsia" w:ascii="Times New Roman" w:hAnsi="Times New Roman" w:cs="Times New Roman"/>
                <w:b/>
                <w:bCs/>
                <w:color w:val="auto"/>
                <w:sz w:val="24"/>
                <w:szCs w:val="24"/>
                <w:highlight w:val="none"/>
                <w:lang w:val="en-US" w:eastAsia="zh-CN"/>
              </w:rPr>
              <w:t>⑨</w:t>
            </w:r>
            <w:r>
              <w:rPr>
                <w:rFonts w:hint="default" w:ascii="Times New Roman" w:hAnsi="Times New Roman" w:cs="Times New Roman"/>
                <w:b/>
                <w:bCs/>
                <w:color w:val="auto"/>
                <w:sz w:val="24"/>
                <w:szCs w:val="24"/>
                <w:highlight w:val="none"/>
              </w:rPr>
              <w:t>废液压油桶</w:t>
            </w:r>
          </w:p>
          <w:p w14:paraId="1F3E4B11">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本项目自动化冲床设备需用到液压油，用量很少，液压油规格有：200L/桶（</w:t>
            </w:r>
            <w:r>
              <w:rPr>
                <w:rFonts w:hint="default" w:ascii="Times New Roman" w:hAnsi="Times New Roman" w:cs="Times New Roman"/>
                <w:color w:val="auto"/>
                <w:sz w:val="24"/>
                <w:szCs w:val="24"/>
                <w:highlight w:val="none"/>
                <w:lang w:val="en-US" w:eastAsia="zh-CN"/>
              </w:rPr>
              <w:t>本项目使用3</w:t>
            </w:r>
            <w:r>
              <w:rPr>
                <w:rFonts w:hint="default" w:ascii="Times New Roman" w:hAnsi="Times New Roman" w:cs="Times New Roman"/>
                <w:color w:val="auto"/>
                <w:sz w:val="24"/>
                <w:szCs w:val="24"/>
                <w:highlight w:val="none"/>
              </w:rPr>
              <w:t>桶），液压油空桶按</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kg/桶计算。则本项目产生废液压油空桶约0.0</w:t>
            </w:r>
            <w:r>
              <w:rPr>
                <w:rFonts w:hint="default" w:ascii="Times New Roman" w:hAnsi="Times New Roman" w:cs="Times New Roman"/>
                <w:color w:val="auto"/>
                <w:sz w:val="24"/>
                <w:szCs w:val="24"/>
                <w:highlight w:val="none"/>
                <w:lang w:val="en-US" w:eastAsia="zh-CN"/>
              </w:rPr>
              <w:t>15</w:t>
            </w:r>
            <w:r>
              <w:rPr>
                <w:rFonts w:hint="default" w:ascii="Times New Roman" w:hAnsi="Times New Roman" w:cs="Times New Roman"/>
                <w:color w:val="auto"/>
                <w:sz w:val="24"/>
                <w:szCs w:val="24"/>
                <w:highlight w:val="none"/>
              </w:rPr>
              <w:t>t/a。根据</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，废液压油空桶属于</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中编号为为900-249-08“其他生产、销售、使用过程中产生的废矿物油及沾染矿物油的废弃包装物”危险废物，经统一收集后交由有危险废物处理资质的单位处理。</w:t>
            </w:r>
          </w:p>
          <w:p w14:paraId="472666A0">
            <w:pPr>
              <w:pStyle w:val="2"/>
              <w:keepNext w:val="0"/>
              <w:keepLines w:val="0"/>
              <w:suppressLineNumbers w:val="0"/>
              <w:spacing w:before="0" w:beforeAutospacing="0" w:after="0" w:afterAutospacing="0" w:line="360" w:lineRule="auto"/>
              <w:ind w:left="0" w:right="0" w:firstLine="482" w:firstLineChars="20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val="en-US" w:eastAsia="zh-CN"/>
              </w:rPr>
              <w:t>⑩</w:t>
            </w:r>
            <w:r>
              <w:rPr>
                <w:rFonts w:hint="default" w:ascii="Times New Roman" w:hAnsi="Times New Roman" w:cs="Times New Roman"/>
                <w:b/>
                <w:bCs/>
                <w:color w:val="auto"/>
                <w:sz w:val="24"/>
                <w:szCs w:val="24"/>
                <w:highlight w:val="none"/>
              </w:rPr>
              <w:t>废液压油</w:t>
            </w:r>
          </w:p>
          <w:p w14:paraId="7F79A01A">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本项目自动化冲床设备需用到液压油，则会产生少量废液压油，废液压油</w:t>
            </w:r>
            <w:r>
              <w:rPr>
                <w:rFonts w:hint="default" w:ascii="Times New Roman" w:hAnsi="Times New Roman" w:cs="Times New Roman"/>
                <w:color w:val="auto"/>
                <w:sz w:val="24"/>
                <w:szCs w:val="24"/>
                <w:highlight w:val="none"/>
                <w:lang w:val="en-US" w:eastAsia="zh-CN"/>
              </w:rPr>
              <w:t>年产生量</w:t>
            </w:r>
            <w:r>
              <w:rPr>
                <w:rFonts w:hint="default" w:ascii="Times New Roman" w:hAnsi="Times New Roman" w:cs="Times New Roman"/>
                <w:color w:val="auto"/>
                <w:kern w:val="0"/>
                <w:sz w:val="24"/>
                <w:szCs w:val="24"/>
                <w:highlight w:val="none"/>
                <w:lang w:val="en-US" w:eastAsia="zh-CN"/>
              </w:rPr>
              <w:t>约为0.60t/a</w:t>
            </w:r>
            <w:r>
              <w:rPr>
                <w:rFonts w:hint="default" w:ascii="Times New Roman" w:hAnsi="Times New Roman" w:cs="Times New Roman"/>
                <w:color w:val="auto"/>
                <w:sz w:val="24"/>
                <w:szCs w:val="24"/>
                <w:highlight w:val="none"/>
              </w:rPr>
              <w:t>，根据</w:t>
            </w:r>
            <w:r>
              <w:rPr>
                <w:rFonts w:hint="default" w:ascii="Times New Roman" w:hAnsi="Times New Roman" w:cs="Times New Roman"/>
                <w:color w:val="auto"/>
                <w:sz w:val="24"/>
                <w:szCs w:val="24"/>
                <w:highlight w:val="none"/>
                <w:lang w:eastAsia="zh-CN"/>
              </w:rPr>
              <w:t>《国家危险废物名录》（2025年版）</w:t>
            </w:r>
            <w:r>
              <w:rPr>
                <w:rFonts w:hint="default" w:ascii="Times New Roman" w:hAnsi="Times New Roman" w:cs="Times New Roman"/>
                <w:color w:val="auto"/>
                <w:sz w:val="24"/>
                <w:szCs w:val="24"/>
                <w:highlight w:val="none"/>
              </w:rPr>
              <w:t>，废液压油属于“HW08废矿物油与含矿物油废物”类别中代码HW08废矿物油与含矿物油废物，废物代码900-2</w:t>
            </w:r>
            <w:r>
              <w:rPr>
                <w:rFonts w:hint="eastAsia" w:cs="Times New Roman"/>
                <w:color w:val="auto"/>
                <w:sz w:val="24"/>
                <w:szCs w:val="24"/>
                <w:highlight w:val="none"/>
                <w:lang w:val="en-US" w:eastAsia="zh-CN"/>
              </w:rPr>
              <w:t>18</w:t>
            </w:r>
            <w:r>
              <w:rPr>
                <w:rFonts w:hint="default" w:ascii="Times New Roman" w:hAnsi="Times New Roman" w:cs="Times New Roman"/>
                <w:color w:val="auto"/>
                <w:sz w:val="24"/>
                <w:szCs w:val="24"/>
                <w:highlight w:val="none"/>
              </w:rPr>
              <w:t>-08</w:t>
            </w:r>
            <w:r>
              <w:rPr>
                <w:rFonts w:hint="default" w:ascii="Times New Roman" w:hAnsi="Times New Roman" w:cs="Times New Roman"/>
                <w:color w:val="auto"/>
                <w:sz w:val="24"/>
                <w:szCs w:val="24"/>
                <w:highlight w:val="none"/>
                <w:lang w:val="en-US" w:eastAsia="zh-CN"/>
              </w:rPr>
              <w:t>“液压设备维护、更换和拆解过程中产生的废液压油</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危险废物，经统一收集后交由有危险废物处理资质的单位处理。</w:t>
            </w:r>
          </w:p>
          <w:p w14:paraId="23CF0FD8">
            <w:pPr>
              <w:pStyle w:val="158"/>
              <w:pageBreakBefore w:val="0"/>
              <w:wordWrap w:val="0"/>
              <w:topLinePunct/>
              <w:bidi w:val="0"/>
              <w:snapToGrid/>
              <w:spacing w:beforeAutospacing="0" w:afterAutospacing="0"/>
              <w:ind w:firstLine="482"/>
              <w:rPr>
                <w:b/>
                <w:bCs/>
                <w:color w:val="auto"/>
              </w:rPr>
            </w:pPr>
            <w:r>
              <w:rPr>
                <w:rFonts w:hint="eastAsia" w:ascii="Times New Roman" w:cs="Times New Roman"/>
                <w:b/>
                <w:bCs/>
                <w:color w:val="auto"/>
                <w:sz w:val="24"/>
                <w:szCs w:val="24"/>
                <w:highlight w:val="none"/>
                <w:lang w:val="en-US" w:eastAsia="zh-CN"/>
              </w:rPr>
              <w:fldChar w:fldCharType="begin"/>
            </w:r>
            <w:r>
              <w:rPr>
                <w:rFonts w:hint="eastAsia" w:ascii="Times New Roman" w:cs="Times New Roman"/>
                <w:b/>
                <w:bCs/>
                <w:color w:val="auto"/>
                <w:sz w:val="24"/>
                <w:szCs w:val="24"/>
                <w:highlight w:val="none"/>
                <w:lang w:val="en-US" w:eastAsia="zh-CN"/>
              </w:rPr>
              <w:instrText xml:space="preserve"> EQ \o\ac(</w:instrText>
            </w:r>
            <w:r>
              <w:rPr>
                <w:rFonts w:hint="eastAsia" w:ascii="Times New Roman" w:cs="Times New Roman"/>
                <w:b/>
                <w:bCs/>
                <w:color w:val="auto"/>
                <w:spacing w:val="0"/>
                <w:kern w:val="2"/>
                <w:sz w:val="24"/>
                <w:szCs w:val="24"/>
                <w:highlight w:val="none"/>
                <w:lang w:val="en-US" w:eastAsia="zh-CN" w:bidi="ar-SA"/>
              </w:rPr>
              <w:instrText xml:space="preserve">○</w:instrText>
            </w:r>
            <w:r>
              <w:rPr>
                <w:rFonts w:hint="eastAsia" w:ascii="Times New Roman" w:cs="Times New Roman"/>
                <w:b/>
                <w:bCs/>
                <w:color w:val="auto"/>
                <w:sz w:val="24"/>
                <w:szCs w:val="24"/>
                <w:highlight w:val="none"/>
                <w:lang w:val="en-US" w:eastAsia="zh-CN"/>
              </w:rPr>
              <w:instrText xml:space="preserve">,</w:instrText>
            </w:r>
            <w:r>
              <w:rPr>
                <w:rFonts w:hint="eastAsia" w:ascii="Times New Roman" w:cs="Times New Roman"/>
                <w:b/>
                <w:bCs/>
                <w:color w:val="auto"/>
                <w:spacing w:val="0"/>
                <w:kern w:val="2"/>
                <w:position w:val="3"/>
                <w:sz w:val="16"/>
                <w:szCs w:val="24"/>
                <w:highlight w:val="none"/>
                <w:lang w:val="en-US" w:eastAsia="zh-CN" w:bidi="ar-SA"/>
              </w:rPr>
              <w:instrText xml:space="preserve">11</w:instrText>
            </w:r>
            <w:r>
              <w:rPr>
                <w:rFonts w:hint="eastAsia" w:ascii="Times New Roman" w:cs="Times New Roman"/>
                <w:b/>
                <w:bCs/>
                <w:color w:val="auto"/>
                <w:sz w:val="24"/>
                <w:szCs w:val="24"/>
                <w:highlight w:val="none"/>
                <w:lang w:val="en-US" w:eastAsia="zh-CN"/>
              </w:rPr>
              <w:instrText xml:space="preserve">)</w:instrText>
            </w:r>
            <w:r>
              <w:rPr>
                <w:rFonts w:hint="eastAsia" w:ascii="Times New Roman" w:cs="Times New Roman"/>
                <w:b/>
                <w:bCs/>
                <w:color w:val="auto"/>
                <w:sz w:val="24"/>
                <w:szCs w:val="24"/>
                <w:highlight w:val="none"/>
                <w:lang w:val="en-US" w:eastAsia="zh-CN"/>
              </w:rPr>
              <w:fldChar w:fldCharType="end"/>
            </w:r>
            <w:r>
              <w:rPr>
                <w:b/>
                <w:bCs/>
                <w:color w:val="auto"/>
              </w:rPr>
              <w:t>废原料桶</w:t>
            </w:r>
          </w:p>
          <w:p w14:paraId="7A6F9362">
            <w:pPr>
              <w:pStyle w:val="158"/>
              <w:pageBreakBefore w:val="0"/>
              <w:wordWrap w:val="0"/>
              <w:topLinePunct/>
              <w:bidi w:val="0"/>
              <w:snapToGrid/>
              <w:spacing w:beforeAutospacing="0" w:afterAutospacing="0"/>
              <w:ind w:firstLine="480"/>
              <w:rPr>
                <w:color w:val="auto"/>
              </w:rPr>
            </w:pPr>
            <w:r>
              <w:rPr>
                <w:color w:val="auto"/>
              </w:rPr>
              <w:t>本项目生产</w:t>
            </w:r>
            <w:r>
              <w:rPr>
                <w:rFonts w:hint="eastAsia"/>
                <w:color w:val="auto"/>
              </w:rPr>
              <w:t>过程</w:t>
            </w:r>
            <w:r>
              <w:rPr>
                <w:color w:val="auto"/>
              </w:rPr>
              <w:t>使用的原辅材料</w:t>
            </w:r>
            <w:r>
              <w:rPr>
                <w:rFonts w:hint="eastAsia"/>
                <w:color w:val="auto"/>
                <w:lang w:val="en-US" w:eastAsia="zh-CN"/>
              </w:rPr>
              <w:t>油漆、稀释剂清洗剂等</w:t>
            </w:r>
            <w:r>
              <w:rPr>
                <w:color w:val="auto"/>
              </w:rPr>
              <w:t>会产生废原料桶，根据前文主要原辅材料包装规格，合计废原料桶年产量约为</w:t>
            </w:r>
            <w:r>
              <w:rPr>
                <w:rFonts w:hint="eastAsia"/>
                <w:color w:val="auto"/>
                <w:lang w:val="en-US" w:eastAsia="zh-CN"/>
              </w:rPr>
              <w:t>0.199</w:t>
            </w:r>
            <w:r>
              <w:rPr>
                <w:color w:val="auto"/>
              </w:rPr>
              <w:t>t/a</w:t>
            </w:r>
            <w:r>
              <w:rPr>
                <w:rFonts w:hint="eastAsia"/>
                <w:color w:val="auto"/>
                <w:lang w:eastAsia="zh-CN"/>
              </w:rPr>
              <w:t>（</w:t>
            </w:r>
            <w:r>
              <w:rPr>
                <w:rFonts w:hint="eastAsia"/>
                <w:color w:val="auto"/>
                <w:lang w:val="en-US" w:eastAsia="zh-CN"/>
              </w:rPr>
              <w:t>398</w:t>
            </w:r>
            <w:r>
              <w:rPr>
                <w:rFonts w:hint="default" w:ascii="Times New Roman" w:hAnsi="Times New Roman" w:eastAsia="宋体" w:cs="Times New Roman"/>
                <w:color w:val="auto"/>
                <w:kern w:val="0"/>
                <w:sz w:val="24"/>
                <w:szCs w:val="24"/>
                <w:highlight w:val="none"/>
                <w:lang w:val="en-US" w:eastAsia="zh-CN" w:bidi="ar-SA"/>
              </w:rPr>
              <w:t>个，废空桶平均重0.5kg/个）</w:t>
            </w:r>
            <w:r>
              <w:rPr>
                <w:color w:val="auto"/>
                <w:kern w:val="0"/>
              </w:rPr>
              <w:t>属于《国家危险废物名录》（202</w:t>
            </w:r>
            <w:r>
              <w:rPr>
                <w:rFonts w:hint="eastAsia"/>
                <w:color w:val="auto"/>
                <w:kern w:val="0"/>
                <w:lang w:val="en-US" w:eastAsia="zh-CN"/>
              </w:rPr>
              <w:t>5</w:t>
            </w:r>
            <w:r>
              <w:rPr>
                <w:color w:val="auto"/>
                <w:kern w:val="0"/>
              </w:rPr>
              <w:t>年版）中“HW49 其他废物”，废物代码 900-041-49。收集后交由有相应危险废物处理资质的单位处理。</w:t>
            </w:r>
          </w:p>
          <w:p w14:paraId="332FCB7B">
            <w:pPr>
              <w:keepNext/>
              <w:keepLines/>
              <w:pageBreakBefore w:val="0"/>
              <w:widowControl w:val="0"/>
              <w:numPr>
                <w:ilvl w:val="5"/>
                <w:numId w:val="0"/>
              </w:numPr>
              <w:wordWrap w:val="0"/>
              <w:overflowPunct/>
              <w:bidi w:val="0"/>
              <w:spacing w:line="360" w:lineRule="auto"/>
              <w:ind w:firstLine="422" w:firstLineChars="200"/>
              <w:jc w:val="both"/>
              <w:outlineLvl w:val="5"/>
              <w:rPr>
                <w:rFonts w:hint="eastAsia" w:cs="Times New Roman"/>
                <w:b/>
                <w:bCs/>
                <w:color w:val="auto"/>
                <w:kern w:val="2"/>
                <w:sz w:val="24"/>
                <w:szCs w:val="24"/>
                <w:highlight w:val="none"/>
                <w:lang w:val="en-US" w:eastAsia="zh-CN" w:bidi="ar-SA"/>
              </w:rPr>
            </w:pPr>
            <w:bookmarkStart w:id="33" w:name="_Toc29014"/>
            <w:r>
              <w:rPr>
                <w:rFonts w:hint="eastAsia"/>
                <w:b/>
                <w:bCs/>
                <w:color w:val="auto"/>
                <w:lang w:val="en-US" w:eastAsia="zh-CN"/>
              </w:rPr>
              <w:fldChar w:fldCharType="begin"/>
            </w:r>
            <w:r>
              <w:rPr>
                <w:rFonts w:hint="eastAsia"/>
                <w:b/>
                <w:bCs/>
                <w:color w:val="auto"/>
                <w:lang w:val="en-US" w:eastAsia="zh-CN"/>
              </w:rPr>
              <w:instrText xml:space="preserve"> EQ \o\ac(</w:instrText>
            </w:r>
            <w:r>
              <w:rPr>
                <w:rFonts w:hint="eastAsia"/>
                <w:b/>
                <w:bCs/>
                <w:color w:val="auto"/>
                <w:spacing w:val="0"/>
                <w:kern w:val="2"/>
                <w:sz w:val="24"/>
                <w:szCs w:val="24"/>
                <w:lang w:val="en-US" w:eastAsia="zh-CN" w:bidi="ar-SA"/>
              </w:rPr>
              <w:instrText xml:space="preserve">○</w:instrText>
            </w:r>
            <w:r>
              <w:rPr>
                <w:rFonts w:hint="eastAsia"/>
                <w:b/>
                <w:bCs/>
                <w:color w:val="auto"/>
                <w:lang w:val="en-US" w:eastAsia="zh-CN"/>
              </w:rPr>
              <w:instrText xml:space="preserve">,</w:instrText>
            </w:r>
            <w:r>
              <w:rPr>
                <w:rFonts w:hint="eastAsia"/>
                <w:b/>
                <w:bCs/>
                <w:color w:val="auto"/>
                <w:spacing w:val="0"/>
                <w:kern w:val="2"/>
                <w:position w:val="3"/>
                <w:sz w:val="16"/>
                <w:szCs w:val="24"/>
                <w:lang w:val="en-US" w:eastAsia="zh-CN" w:bidi="ar-SA"/>
              </w:rPr>
              <w:instrText xml:space="preserve">12</w:instrText>
            </w:r>
            <w:r>
              <w:rPr>
                <w:rFonts w:hint="eastAsia"/>
                <w:b/>
                <w:bCs/>
                <w:color w:val="auto"/>
                <w:lang w:val="en-US" w:eastAsia="zh-CN"/>
              </w:rPr>
              <w:instrText xml:space="preserve">)</w:instrText>
            </w:r>
            <w:r>
              <w:rPr>
                <w:rFonts w:hint="eastAsia"/>
                <w:b/>
                <w:bCs/>
                <w:color w:val="auto"/>
                <w:lang w:val="en-US" w:eastAsia="zh-CN"/>
              </w:rPr>
              <w:fldChar w:fldCharType="end"/>
            </w:r>
            <w:r>
              <w:rPr>
                <w:rFonts w:hint="eastAsia" w:cs="Times New Roman"/>
                <w:b/>
                <w:bCs/>
                <w:color w:val="auto"/>
                <w:kern w:val="2"/>
                <w:sz w:val="24"/>
                <w:szCs w:val="24"/>
                <w:highlight w:val="none"/>
                <w:lang w:val="en-US" w:eastAsia="zh-CN" w:bidi="ar-SA"/>
              </w:rPr>
              <w:t>喷淋废液及沉渣</w:t>
            </w:r>
          </w:p>
          <w:p w14:paraId="3FC0E322">
            <w:pPr>
              <w:pStyle w:val="158"/>
              <w:pageBreakBefore w:val="0"/>
              <w:wordWrap w:val="0"/>
              <w:topLinePunct/>
              <w:bidi w:val="0"/>
              <w:snapToGrid/>
              <w:spacing w:beforeAutospacing="0" w:afterAutospacing="0"/>
              <w:ind w:firstLine="480"/>
              <w:rPr>
                <w:rFonts w:hint="default" w:eastAsia="宋体"/>
                <w:color w:val="auto"/>
                <w:lang w:val="en-US" w:eastAsia="zh-CN"/>
              </w:rPr>
            </w:pPr>
            <w:r>
              <w:rPr>
                <w:rFonts w:hint="default" w:ascii="Times New Roman" w:hAnsi="Times New Roman" w:eastAsia="宋体" w:cs="Times New Roman"/>
                <w:color w:val="auto"/>
                <w:kern w:val="2"/>
                <w:sz w:val="24"/>
                <w:szCs w:val="21"/>
                <w:highlight w:val="none"/>
                <w:lang w:val="en-US" w:eastAsia="zh-CN" w:bidi="ar-SA"/>
              </w:rPr>
              <w:t>本项目</w:t>
            </w:r>
            <w:r>
              <w:rPr>
                <w:rFonts w:hint="eastAsia" w:ascii="Times New Roman" w:hAnsi="Times New Roman" w:eastAsia="宋体" w:cs="Times New Roman"/>
                <w:color w:val="auto"/>
                <w:kern w:val="2"/>
                <w:sz w:val="24"/>
                <w:szCs w:val="21"/>
                <w:highlight w:val="none"/>
                <w:lang w:val="en-US" w:eastAsia="zh-CN" w:bidi="ar-SA"/>
              </w:rPr>
              <w:t>喷涂过程产生的沉渣按漆雾削减量</w:t>
            </w:r>
            <w:r>
              <w:rPr>
                <w:rFonts w:hint="eastAsia" w:cs="Times New Roman"/>
                <w:color w:val="auto"/>
                <w:kern w:val="2"/>
                <w:sz w:val="24"/>
                <w:szCs w:val="21"/>
                <w:highlight w:val="none"/>
                <w:lang w:val="en-US" w:eastAsia="zh-CN" w:bidi="ar-SA"/>
              </w:rPr>
              <w:t>50%</w:t>
            </w:r>
            <w:r>
              <w:rPr>
                <w:rFonts w:hint="eastAsia" w:ascii="Times New Roman" w:hAnsi="Times New Roman" w:eastAsia="宋体" w:cs="Times New Roman"/>
                <w:color w:val="auto"/>
                <w:kern w:val="2"/>
                <w:sz w:val="24"/>
                <w:szCs w:val="21"/>
                <w:highlight w:val="none"/>
                <w:lang w:val="en-US" w:eastAsia="zh-CN" w:bidi="ar-SA"/>
              </w:rPr>
              <w:t>核算</w:t>
            </w:r>
            <w:r>
              <w:rPr>
                <w:rFonts w:hint="eastAsia" w:cs="Times New Roman"/>
                <w:color w:val="auto"/>
                <w:kern w:val="2"/>
                <w:sz w:val="24"/>
                <w:szCs w:val="21"/>
                <w:highlight w:val="none"/>
                <w:lang w:val="en-US" w:eastAsia="zh-CN" w:bidi="ar-SA"/>
              </w:rPr>
              <w:t>，即1.126t/a</w:t>
            </w:r>
            <w:r>
              <w:rPr>
                <w:rFonts w:hint="eastAsia" w:ascii="Times New Roman" w:hAnsi="Times New Roman" w:eastAsia="宋体" w:cs="Times New Roman"/>
                <w:color w:val="auto"/>
                <w:kern w:val="2"/>
                <w:sz w:val="24"/>
                <w:szCs w:val="21"/>
                <w:highlight w:val="none"/>
                <w:lang w:val="en-US" w:eastAsia="zh-CN" w:bidi="ar-SA"/>
              </w:rPr>
              <w:t>。</w:t>
            </w:r>
            <w:r>
              <w:rPr>
                <w:rFonts w:hint="eastAsia" w:cs="Times New Roman"/>
                <w:color w:val="auto"/>
                <w:kern w:val="2"/>
                <w:sz w:val="24"/>
                <w:szCs w:val="21"/>
                <w:highlight w:val="none"/>
                <w:lang w:val="en-US" w:eastAsia="zh-CN" w:bidi="ar-SA"/>
              </w:rPr>
              <w:t>根据前文计算，水帘柜喷淋废水和喷淋塔废水产生量为194.4+67.2=261.6t/a。合计喷淋废液及沉渣产生量为262.726t/a。</w:t>
            </w:r>
            <w:r>
              <w:rPr>
                <w:rFonts w:hint="default" w:ascii="Times New Roman" w:hAnsi="Times New Roman" w:eastAsia="宋体" w:cs="Times New Roman"/>
                <w:color w:val="auto"/>
                <w:kern w:val="2"/>
                <w:sz w:val="24"/>
                <w:szCs w:val="21"/>
                <w:highlight w:val="none"/>
                <w:lang w:val="en-US" w:eastAsia="zh-CN" w:bidi="ar-SA"/>
              </w:rPr>
              <w:t>根据《国家危险废物名录》（202</w:t>
            </w:r>
            <w:r>
              <w:rPr>
                <w:rFonts w:hint="eastAsia" w:cs="Times New Roman"/>
                <w:color w:val="auto"/>
                <w:kern w:val="2"/>
                <w:sz w:val="24"/>
                <w:szCs w:val="21"/>
                <w:highlight w:val="none"/>
                <w:lang w:val="en-US" w:eastAsia="zh-CN" w:bidi="ar-SA"/>
              </w:rPr>
              <w:t>5</w:t>
            </w:r>
            <w:r>
              <w:rPr>
                <w:rFonts w:hint="default" w:ascii="Times New Roman" w:hAnsi="Times New Roman" w:eastAsia="宋体" w:cs="Times New Roman"/>
                <w:color w:val="auto"/>
                <w:kern w:val="2"/>
                <w:sz w:val="24"/>
                <w:szCs w:val="21"/>
                <w:highlight w:val="none"/>
                <w:lang w:val="en-US" w:eastAsia="zh-CN" w:bidi="ar-SA"/>
              </w:rPr>
              <w:t>年版），</w:t>
            </w:r>
            <w:r>
              <w:rPr>
                <w:rFonts w:hint="eastAsia" w:cs="Times New Roman"/>
                <w:color w:val="auto"/>
                <w:kern w:val="2"/>
                <w:sz w:val="24"/>
                <w:szCs w:val="21"/>
                <w:highlight w:val="none"/>
                <w:lang w:val="en-US" w:eastAsia="zh-CN" w:bidi="ar-SA"/>
              </w:rPr>
              <w:t>喷淋废液及沉渣的</w:t>
            </w:r>
            <w:r>
              <w:rPr>
                <w:rFonts w:hint="default" w:ascii="Times New Roman" w:hAnsi="Times New Roman" w:eastAsia="宋体" w:cs="Times New Roman"/>
                <w:color w:val="auto"/>
                <w:kern w:val="2"/>
                <w:sz w:val="24"/>
                <w:szCs w:val="24"/>
                <w:highlight w:val="none"/>
                <w:lang w:val="en-US" w:eastAsia="zh-CN" w:bidi="ar-SA"/>
              </w:rPr>
              <w:t xml:space="preserve">废物类别为HW12， </w:t>
            </w:r>
            <w:r>
              <w:rPr>
                <w:rFonts w:hint="eastAsia" w:cs="Times New Roman"/>
                <w:color w:val="auto"/>
                <w:kern w:val="2"/>
                <w:sz w:val="24"/>
                <w:szCs w:val="24"/>
                <w:highlight w:val="none"/>
                <w:lang w:val="en-US" w:eastAsia="zh-CN" w:bidi="ar-SA"/>
              </w:rPr>
              <w:t>代码</w:t>
            </w:r>
            <w:r>
              <w:rPr>
                <w:rFonts w:hint="default" w:ascii="Times New Roman" w:hAnsi="Times New Roman" w:eastAsia="宋体" w:cs="Times New Roman"/>
                <w:color w:val="auto"/>
                <w:kern w:val="2"/>
                <w:sz w:val="24"/>
                <w:szCs w:val="24"/>
                <w:highlight w:val="none"/>
                <w:lang w:val="en-US" w:eastAsia="zh-CN" w:bidi="ar-SA"/>
              </w:rPr>
              <w:t>900-252-12（使用过程中产生的废油漆、染料、颜料等），交由具有</w:t>
            </w:r>
            <w:r>
              <w:rPr>
                <w:rFonts w:hint="eastAsia" w:cs="Times New Roman"/>
                <w:color w:val="auto"/>
                <w:kern w:val="2"/>
                <w:sz w:val="24"/>
                <w:szCs w:val="24"/>
                <w:highlight w:val="none"/>
                <w:lang w:val="en-US" w:eastAsia="zh-CN" w:bidi="ar-SA"/>
              </w:rPr>
              <w:t>相关</w:t>
            </w:r>
            <w:r>
              <w:rPr>
                <w:rFonts w:hint="default" w:ascii="Times New Roman" w:hAnsi="Times New Roman" w:eastAsia="宋体" w:cs="Times New Roman"/>
                <w:color w:val="auto"/>
                <w:kern w:val="2"/>
                <w:sz w:val="24"/>
                <w:szCs w:val="24"/>
                <w:highlight w:val="none"/>
                <w:lang w:val="en-US" w:eastAsia="zh-CN" w:bidi="ar-SA"/>
              </w:rPr>
              <w:t>危废处理资质单位清运处理。</w:t>
            </w:r>
          </w:p>
          <w:bookmarkEnd w:id="33"/>
          <w:p w14:paraId="718EEA02">
            <w:pPr>
              <w:pStyle w:val="158"/>
              <w:pageBreakBefore w:val="0"/>
              <w:wordWrap w:val="0"/>
              <w:topLinePunct/>
              <w:bidi w:val="0"/>
              <w:snapToGrid/>
              <w:spacing w:beforeAutospacing="0" w:afterAutospacing="0"/>
              <w:ind w:firstLine="482"/>
              <w:rPr>
                <w:b/>
                <w:bCs/>
                <w:color w:val="auto"/>
              </w:rPr>
            </w:pPr>
            <w:r>
              <w:rPr>
                <w:rFonts w:hint="eastAsia"/>
                <w:b/>
                <w:bCs/>
                <w:color w:val="auto"/>
                <w:kern w:val="0"/>
                <w:lang w:val="en-US" w:eastAsia="zh-CN"/>
              </w:rPr>
              <w:fldChar w:fldCharType="begin"/>
            </w:r>
            <w:r>
              <w:rPr>
                <w:rFonts w:hint="eastAsia"/>
                <w:b/>
                <w:bCs/>
                <w:color w:val="auto"/>
                <w:kern w:val="0"/>
                <w:lang w:val="en-US" w:eastAsia="zh-CN"/>
              </w:rPr>
              <w:instrText xml:space="preserve"> EQ \o\ac(</w:instrText>
            </w:r>
            <w:r>
              <w:rPr>
                <w:rFonts w:hint="eastAsia"/>
                <w:b/>
                <w:bCs/>
                <w:color w:val="auto"/>
                <w:spacing w:val="0"/>
                <w:kern w:val="0"/>
                <w:sz w:val="24"/>
                <w:szCs w:val="24"/>
                <w:lang w:val="en-US" w:eastAsia="zh-CN" w:bidi="ar-SA"/>
              </w:rPr>
              <w:instrText xml:space="preserve">○</w:instrText>
            </w:r>
            <w:r>
              <w:rPr>
                <w:rFonts w:hint="eastAsia"/>
                <w:b/>
                <w:bCs/>
                <w:color w:val="auto"/>
                <w:kern w:val="0"/>
                <w:lang w:val="en-US" w:eastAsia="zh-CN"/>
              </w:rPr>
              <w:instrText xml:space="preserve">,</w:instrText>
            </w:r>
            <w:r>
              <w:rPr>
                <w:rFonts w:hint="eastAsia"/>
                <w:b/>
                <w:bCs/>
                <w:color w:val="auto"/>
                <w:spacing w:val="0"/>
                <w:kern w:val="0"/>
                <w:position w:val="3"/>
                <w:sz w:val="16"/>
                <w:szCs w:val="24"/>
                <w:lang w:val="en-US" w:eastAsia="zh-CN" w:bidi="ar-SA"/>
              </w:rPr>
              <w:instrText xml:space="preserve">13</w:instrText>
            </w:r>
            <w:r>
              <w:rPr>
                <w:rFonts w:hint="eastAsia"/>
                <w:b/>
                <w:bCs/>
                <w:color w:val="auto"/>
                <w:kern w:val="0"/>
                <w:lang w:val="en-US" w:eastAsia="zh-CN"/>
              </w:rPr>
              <w:instrText xml:space="preserve">)</w:instrText>
            </w:r>
            <w:r>
              <w:rPr>
                <w:rFonts w:hint="eastAsia"/>
                <w:b/>
                <w:bCs/>
                <w:color w:val="auto"/>
                <w:kern w:val="0"/>
                <w:lang w:val="en-US" w:eastAsia="zh-CN"/>
              </w:rPr>
              <w:fldChar w:fldCharType="end"/>
            </w:r>
            <w:r>
              <w:rPr>
                <w:b/>
                <w:bCs/>
                <w:color w:val="auto"/>
              </w:rPr>
              <w:t>喷枪清洗废液</w:t>
            </w:r>
          </w:p>
          <w:p w14:paraId="6E9A9E8E">
            <w:pPr>
              <w:pStyle w:val="158"/>
              <w:pageBreakBefore w:val="0"/>
              <w:wordWrap w:val="0"/>
              <w:topLinePunct/>
              <w:bidi w:val="0"/>
              <w:snapToGrid/>
              <w:spacing w:beforeAutospacing="0" w:afterAutospacing="0"/>
              <w:ind w:firstLine="480"/>
              <w:rPr>
                <w:color w:val="auto"/>
              </w:rPr>
            </w:pPr>
            <w:r>
              <w:rPr>
                <w:color w:val="auto"/>
              </w:rPr>
              <w:t>喷漆所用的喷枪在每日生产前需要清洗，使用</w:t>
            </w:r>
            <w:r>
              <w:rPr>
                <w:rFonts w:hint="eastAsia"/>
                <w:color w:val="auto"/>
                <w:lang w:val="en-US" w:eastAsia="zh-CN"/>
              </w:rPr>
              <w:t>清洗</w:t>
            </w:r>
            <w:r>
              <w:rPr>
                <w:color w:val="auto"/>
              </w:rPr>
              <w:t>剂在面漆流平室内将枪头浸没在</w:t>
            </w:r>
            <w:r>
              <w:rPr>
                <w:rFonts w:hint="eastAsia"/>
                <w:color w:val="auto"/>
                <w:lang w:val="en-US" w:eastAsia="zh-CN"/>
              </w:rPr>
              <w:t>清洗</w:t>
            </w:r>
            <w:r>
              <w:rPr>
                <w:color w:val="auto"/>
              </w:rPr>
              <w:t>剂原料桶内</w:t>
            </w:r>
            <w:r>
              <w:rPr>
                <w:rFonts w:hint="eastAsia"/>
                <w:color w:val="auto"/>
                <w:lang w:val="en-US" w:eastAsia="zh-CN"/>
              </w:rPr>
              <w:t>加盖浸泡</w:t>
            </w:r>
            <w:r>
              <w:rPr>
                <w:color w:val="auto"/>
              </w:rPr>
              <w:t>清洗，时间较短</w:t>
            </w:r>
            <w:r>
              <w:rPr>
                <w:rFonts w:hint="eastAsia"/>
                <w:color w:val="auto"/>
                <w:lang w:val="en-US" w:eastAsia="zh-CN"/>
              </w:rPr>
              <w:t>且挥发量较少</w:t>
            </w:r>
            <w:r>
              <w:rPr>
                <w:color w:val="auto"/>
              </w:rPr>
              <w:t>，清洗后</w:t>
            </w:r>
            <w:r>
              <w:rPr>
                <w:rFonts w:hint="eastAsia"/>
                <w:color w:val="auto"/>
                <w:lang w:val="en-US" w:eastAsia="zh-CN"/>
              </w:rPr>
              <w:t>清洗</w:t>
            </w:r>
            <w:r>
              <w:rPr>
                <w:color w:val="auto"/>
              </w:rPr>
              <w:t>剂称为喷枪清洗废液。根据企业提供资料，每日清洗，每次清洗用量约为</w:t>
            </w:r>
            <w:r>
              <w:rPr>
                <w:rFonts w:hint="eastAsia"/>
                <w:color w:val="auto"/>
                <w:lang w:val="en-US" w:eastAsia="zh-CN"/>
              </w:rPr>
              <w:t>70ml</w:t>
            </w:r>
            <w:r>
              <w:rPr>
                <w:color w:val="auto"/>
              </w:rPr>
              <w:t>，预计年使用</w:t>
            </w:r>
            <w:r>
              <w:rPr>
                <w:rFonts w:hint="eastAsia"/>
                <w:color w:val="auto"/>
                <w:lang w:val="en-US" w:eastAsia="zh-CN"/>
              </w:rPr>
              <w:t>清洗剂0.084</w:t>
            </w:r>
            <w:r>
              <w:rPr>
                <w:color w:val="auto"/>
              </w:rPr>
              <w:t>t/a，故喷枪清洗废液</w:t>
            </w:r>
            <w:r>
              <w:rPr>
                <w:rFonts w:hint="eastAsia"/>
                <w:color w:val="auto"/>
                <w:lang w:val="en-US" w:eastAsia="zh-CN"/>
              </w:rPr>
              <w:t>以50%计，则喷枪清洗废液</w:t>
            </w:r>
            <w:r>
              <w:rPr>
                <w:color w:val="auto"/>
              </w:rPr>
              <w:t>年产生量约为</w:t>
            </w:r>
            <w:r>
              <w:rPr>
                <w:rFonts w:hint="eastAsia"/>
                <w:color w:val="auto"/>
                <w:lang w:val="en-US" w:eastAsia="zh-CN"/>
              </w:rPr>
              <w:t>0.042</w:t>
            </w:r>
            <w:r>
              <w:rPr>
                <w:color w:val="auto"/>
              </w:rPr>
              <w:t>t/a。属于《国家危险废物名录》（202</w:t>
            </w:r>
            <w:r>
              <w:rPr>
                <w:rFonts w:hint="eastAsia"/>
                <w:color w:val="auto"/>
                <w:lang w:val="en-US" w:eastAsia="zh-CN"/>
              </w:rPr>
              <w:t>5</w:t>
            </w:r>
            <w:r>
              <w:rPr>
                <w:color w:val="auto"/>
              </w:rPr>
              <w:t xml:space="preserve"> 年版）中，为“HW06 废有机溶剂与含有机溶剂废物”，危废代码为900-402-06</w:t>
            </w:r>
            <w:r>
              <w:rPr>
                <w:rFonts w:hint="eastAsia"/>
                <w:color w:val="auto"/>
              </w:rPr>
              <w:t>。</w:t>
            </w:r>
            <w:r>
              <w:rPr>
                <w:color w:val="auto"/>
                <w:kern w:val="0"/>
              </w:rPr>
              <w:t>收集后交由有相应危险废物处理资质的单位处理。</w:t>
            </w:r>
          </w:p>
          <w:p w14:paraId="13D4333F">
            <w:pPr>
              <w:pStyle w:val="158"/>
              <w:pageBreakBefore w:val="0"/>
              <w:wordWrap w:val="0"/>
              <w:topLinePunct/>
              <w:bidi w:val="0"/>
              <w:snapToGrid/>
              <w:spacing w:beforeAutospacing="0" w:afterAutospacing="0"/>
              <w:ind w:firstLine="482"/>
              <w:rPr>
                <w:rFonts w:hint="eastAsia" w:eastAsia="宋体"/>
                <w:b/>
                <w:bCs/>
                <w:color w:val="auto"/>
                <w:lang w:eastAsia="zh-CN"/>
              </w:rPr>
            </w:pPr>
            <w:r>
              <w:rPr>
                <w:rFonts w:hint="eastAsia"/>
                <w:b/>
                <w:bCs/>
                <w:color w:val="auto"/>
                <w:lang w:val="en-US" w:eastAsia="zh-CN"/>
              </w:rPr>
              <w:fldChar w:fldCharType="begin"/>
            </w:r>
            <w:r>
              <w:rPr>
                <w:rFonts w:hint="eastAsia"/>
                <w:b/>
                <w:bCs/>
                <w:color w:val="auto"/>
                <w:lang w:val="en-US" w:eastAsia="zh-CN"/>
              </w:rPr>
              <w:instrText xml:space="preserve"> EQ \o\ac(</w:instrText>
            </w:r>
            <w:r>
              <w:rPr>
                <w:rFonts w:hint="eastAsia"/>
                <w:b/>
                <w:bCs/>
                <w:color w:val="auto"/>
                <w:spacing w:val="0"/>
                <w:kern w:val="2"/>
                <w:sz w:val="24"/>
                <w:szCs w:val="24"/>
                <w:lang w:val="en-US" w:eastAsia="zh-CN" w:bidi="ar-SA"/>
              </w:rPr>
              <w:instrText xml:space="preserve">○</w:instrText>
            </w:r>
            <w:r>
              <w:rPr>
                <w:rFonts w:hint="eastAsia"/>
                <w:b/>
                <w:bCs/>
                <w:color w:val="auto"/>
                <w:lang w:val="en-US" w:eastAsia="zh-CN"/>
              </w:rPr>
              <w:instrText xml:space="preserve">,</w:instrText>
            </w:r>
            <w:r>
              <w:rPr>
                <w:rFonts w:hint="eastAsia"/>
                <w:b/>
                <w:bCs/>
                <w:color w:val="auto"/>
                <w:spacing w:val="0"/>
                <w:kern w:val="2"/>
                <w:position w:val="3"/>
                <w:sz w:val="16"/>
                <w:szCs w:val="24"/>
                <w:lang w:val="en-US" w:eastAsia="zh-CN" w:bidi="ar-SA"/>
              </w:rPr>
              <w:instrText xml:space="preserve">14</w:instrText>
            </w:r>
            <w:r>
              <w:rPr>
                <w:rFonts w:hint="eastAsia"/>
                <w:b/>
                <w:bCs/>
                <w:color w:val="auto"/>
                <w:lang w:val="en-US" w:eastAsia="zh-CN"/>
              </w:rPr>
              <w:instrText xml:space="preserve">)</w:instrText>
            </w:r>
            <w:r>
              <w:rPr>
                <w:rFonts w:hint="eastAsia"/>
                <w:b/>
                <w:bCs/>
                <w:color w:val="auto"/>
                <w:lang w:val="en-US" w:eastAsia="zh-CN"/>
              </w:rPr>
              <w:fldChar w:fldCharType="end"/>
            </w:r>
            <w:r>
              <w:rPr>
                <w:rFonts w:hint="eastAsia"/>
                <w:b/>
                <w:bCs/>
                <w:color w:val="auto"/>
                <w:lang w:val="en-US" w:eastAsia="zh-CN"/>
              </w:rPr>
              <w:t>废静电喷粉滤芯</w:t>
            </w:r>
          </w:p>
          <w:p w14:paraId="667DC8B1">
            <w:pPr>
              <w:pStyle w:val="158"/>
              <w:pageBreakBefore w:val="0"/>
              <w:wordWrap w:val="0"/>
              <w:topLinePunct/>
              <w:bidi w:val="0"/>
              <w:snapToGrid/>
              <w:spacing w:beforeAutospacing="0" w:afterAutospacing="0"/>
              <w:ind w:firstLine="480"/>
              <w:rPr>
                <w:rFonts w:hint="eastAsia" w:eastAsia="宋体"/>
                <w:color w:val="auto"/>
                <w:lang w:eastAsia="zh-CN"/>
              </w:rPr>
            </w:pPr>
            <w:r>
              <w:rPr>
                <w:color w:val="auto"/>
              </w:rPr>
              <w:t>本项目</w:t>
            </w:r>
            <w:r>
              <w:rPr>
                <w:rFonts w:hint="eastAsia"/>
                <w:color w:val="auto"/>
                <w:lang w:val="en-US" w:eastAsia="zh-CN"/>
              </w:rPr>
              <w:t>静电喷粉废气</w:t>
            </w:r>
            <w:r>
              <w:rPr>
                <w:color w:val="auto"/>
              </w:rPr>
              <w:t>使用“大旋风+滤芯式二级回收系统”处理，需要定期更换滤芯，故产生废</w:t>
            </w:r>
            <w:r>
              <w:rPr>
                <w:rFonts w:hint="eastAsia"/>
                <w:color w:val="auto"/>
              </w:rPr>
              <w:t>静电喷粉</w:t>
            </w:r>
            <w:r>
              <w:rPr>
                <w:color w:val="auto"/>
              </w:rPr>
              <w:t>滤芯。其产生量</w:t>
            </w:r>
            <w:r>
              <w:rPr>
                <w:rFonts w:hint="eastAsia"/>
                <w:color w:val="auto"/>
                <w:lang w:val="en-US" w:eastAsia="zh-CN"/>
              </w:rPr>
              <w:t>=</w:t>
            </w:r>
            <w:r>
              <w:rPr>
                <w:color w:val="auto"/>
              </w:rPr>
              <w:t>滤芯年更换量</w:t>
            </w:r>
            <w:r>
              <w:rPr>
                <w:rFonts w:hint="eastAsia"/>
                <w:color w:val="auto"/>
                <w:lang w:val="en-US" w:eastAsia="zh-CN"/>
              </w:rPr>
              <w:t>=滤芯单个重量×一次更换数量×年更换次数</w:t>
            </w:r>
            <w:r>
              <w:rPr>
                <w:color w:val="auto"/>
              </w:rPr>
              <w:t>=</w:t>
            </w:r>
            <w:r>
              <w:rPr>
                <w:rFonts w:hint="eastAsia"/>
                <w:color w:val="auto"/>
                <w:lang w:val="en-US" w:eastAsia="zh-CN"/>
              </w:rPr>
              <w:t>8kg×1个×12次/a= 0.096</w:t>
            </w:r>
            <w:r>
              <w:rPr>
                <w:color w:val="auto"/>
              </w:rPr>
              <w:t>t/a</w:t>
            </w:r>
            <w:r>
              <w:rPr>
                <w:rFonts w:hint="eastAsia"/>
                <w:color w:val="auto"/>
                <w:lang w:eastAsia="zh-CN"/>
              </w:rPr>
              <w:t>。</w:t>
            </w:r>
            <w:r>
              <w:rPr>
                <w:bCs/>
                <w:color w:val="auto"/>
              </w:rPr>
              <w:t>根据《国家危险废物名录》（202</w:t>
            </w:r>
            <w:r>
              <w:rPr>
                <w:rFonts w:hint="eastAsia"/>
                <w:bCs/>
                <w:color w:val="auto"/>
                <w:lang w:val="en-US" w:eastAsia="zh-CN"/>
              </w:rPr>
              <w:t>5</w:t>
            </w:r>
            <w:r>
              <w:rPr>
                <w:bCs/>
                <w:color w:val="auto"/>
              </w:rPr>
              <w:t>年），</w:t>
            </w:r>
            <w:r>
              <w:rPr>
                <w:rFonts w:hint="eastAsia"/>
                <w:bCs/>
                <w:color w:val="auto"/>
                <w:lang w:eastAsia="zh-CN"/>
              </w:rPr>
              <w:t>废静电喷粉滤芯</w:t>
            </w:r>
            <w:r>
              <w:rPr>
                <w:bCs/>
                <w:color w:val="auto"/>
              </w:rPr>
              <w:t>属于“HW49 其他废物”，废物代码900-041-49</w:t>
            </w:r>
            <w:r>
              <w:rPr>
                <w:color w:val="auto"/>
              </w:rPr>
              <w:t>，经统一收集后交由有危险废物处理资质的单位处理。</w:t>
            </w:r>
          </w:p>
          <w:p w14:paraId="67D4D5B8">
            <w:pPr>
              <w:pStyle w:val="158"/>
              <w:pageBreakBefore w:val="0"/>
              <w:wordWrap w:val="0"/>
              <w:topLinePunct/>
              <w:bidi w:val="0"/>
              <w:snapToGrid/>
              <w:spacing w:beforeAutospacing="0" w:afterAutospacing="0"/>
              <w:ind w:firstLine="480"/>
              <w:rPr>
                <w:b/>
                <w:bCs/>
                <w:color w:val="auto"/>
              </w:rPr>
            </w:pPr>
            <w:r>
              <w:rPr>
                <w:rFonts w:hint="eastAsia"/>
                <w:b/>
                <w:bCs/>
                <w:color w:val="auto"/>
                <w:lang w:val="en-US" w:eastAsia="zh-CN"/>
              </w:rPr>
              <w:fldChar w:fldCharType="begin"/>
            </w:r>
            <w:r>
              <w:rPr>
                <w:rFonts w:hint="eastAsia"/>
                <w:b/>
                <w:bCs/>
                <w:color w:val="auto"/>
                <w:lang w:val="en-US" w:eastAsia="zh-CN"/>
              </w:rPr>
              <w:instrText xml:space="preserve"> EQ \o\ac(</w:instrText>
            </w:r>
            <w:r>
              <w:rPr>
                <w:rFonts w:hint="eastAsia"/>
                <w:b/>
                <w:bCs/>
                <w:color w:val="auto"/>
                <w:spacing w:val="0"/>
                <w:kern w:val="2"/>
                <w:sz w:val="24"/>
                <w:szCs w:val="24"/>
                <w:lang w:val="en-US" w:eastAsia="zh-CN" w:bidi="ar-SA"/>
              </w:rPr>
              <w:instrText xml:space="preserve">○</w:instrText>
            </w:r>
            <w:r>
              <w:rPr>
                <w:rFonts w:hint="eastAsia"/>
                <w:b/>
                <w:bCs/>
                <w:color w:val="auto"/>
                <w:lang w:val="en-US" w:eastAsia="zh-CN"/>
              </w:rPr>
              <w:instrText xml:space="preserve">,</w:instrText>
            </w:r>
            <w:r>
              <w:rPr>
                <w:rFonts w:hint="eastAsia"/>
                <w:b/>
                <w:bCs/>
                <w:color w:val="auto"/>
                <w:spacing w:val="0"/>
                <w:kern w:val="2"/>
                <w:position w:val="3"/>
                <w:sz w:val="16"/>
                <w:szCs w:val="24"/>
                <w:lang w:val="en-US" w:eastAsia="zh-CN" w:bidi="ar-SA"/>
              </w:rPr>
              <w:instrText xml:space="preserve">15</w:instrText>
            </w:r>
            <w:r>
              <w:rPr>
                <w:rFonts w:hint="eastAsia"/>
                <w:b/>
                <w:bCs/>
                <w:color w:val="auto"/>
                <w:lang w:val="en-US" w:eastAsia="zh-CN"/>
              </w:rPr>
              <w:instrText xml:space="preserve">)</w:instrText>
            </w:r>
            <w:r>
              <w:rPr>
                <w:rFonts w:hint="eastAsia"/>
                <w:b/>
                <w:bCs/>
                <w:color w:val="auto"/>
                <w:lang w:val="en-US" w:eastAsia="zh-CN"/>
              </w:rPr>
              <w:fldChar w:fldCharType="end"/>
            </w:r>
            <w:r>
              <w:rPr>
                <w:b/>
                <w:bCs/>
                <w:color w:val="auto"/>
              </w:rPr>
              <w:t>废过滤棉</w:t>
            </w:r>
          </w:p>
          <w:p w14:paraId="08C22383">
            <w:pPr>
              <w:pStyle w:val="158"/>
              <w:pageBreakBefore w:val="0"/>
              <w:wordWrap w:val="0"/>
              <w:topLinePunct/>
              <w:bidi w:val="0"/>
              <w:snapToGrid/>
              <w:spacing w:beforeAutospacing="0" w:afterAutospacing="0"/>
              <w:ind w:firstLine="480"/>
              <w:rPr>
                <w:color w:val="auto"/>
              </w:rPr>
            </w:pPr>
            <w:r>
              <w:rPr>
                <w:bCs/>
                <w:color w:val="auto"/>
              </w:rPr>
              <w:t>项目在处理有机废气过程中需要定期更换过滤棉，过滤棉预计</w:t>
            </w:r>
            <w:r>
              <w:rPr>
                <w:rFonts w:hint="eastAsia"/>
                <w:bCs/>
                <w:color w:val="auto"/>
              </w:rPr>
              <w:t>每月</w:t>
            </w:r>
            <w:r>
              <w:rPr>
                <w:bCs/>
                <w:color w:val="auto"/>
              </w:rPr>
              <w:t>更换</w:t>
            </w:r>
            <w:r>
              <w:rPr>
                <w:rFonts w:hint="eastAsia"/>
                <w:bCs/>
                <w:color w:val="auto"/>
              </w:rPr>
              <w:t>1</w:t>
            </w:r>
            <w:r>
              <w:rPr>
                <w:bCs/>
                <w:color w:val="auto"/>
              </w:rPr>
              <w:t>次，每次更换量约为0.01t/a，则废过滤棉产生量为0.</w:t>
            </w:r>
            <w:r>
              <w:rPr>
                <w:rFonts w:hint="eastAsia"/>
                <w:bCs/>
                <w:color w:val="auto"/>
              </w:rPr>
              <w:t>12</w:t>
            </w:r>
            <w:r>
              <w:rPr>
                <w:bCs/>
                <w:color w:val="auto"/>
              </w:rPr>
              <w:t>t/a。根据《国家危险废物名录》（202</w:t>
            </w:r>
            <w:r>
              <w:rPr>
                <w:rFonts w:hint="eastAsia"/>
                <w:bCs/>
                <w:color w:val="auto"/>
                <w:lang w:val="en-US" w:eastAsia="zh-CN"/>
              </w:rPr>
              <w:t>5</w:t>
            </w:r>
            <w:r>
              <w:rPr>
                <w:bCs/>
                <w:color w:val="auto"/>
              </w:rPr>
              <w:t>年），废过滤棉属于“HW49 其他废物”，废物代码900-041-49</w:t>
            </w:r>
            <w:r>
              <w:rPr>
                <w:color w:val="auto"/>
              </w:rPr>
              <w:t>，经统一收集后交由有危险废物处理资质的单位处理。</w:t>
            </w:r>
          </w:p>
          <w:p w14:paraId="52EDA7DD">
            <w:pPr>
              <w:pStyle w:val="158"/>
              <w:pageBreakBefore w:val="0"/>
              <w:wordWrap w:val="0"/>
              <w:topLinePunct/>
              <w:bidi w:val="0"/>
              <w:snapToGrid/>
              <w:spacing w:beforeAutospacing="0" w:afterAutospacing="0"/>
              <w:ind w:firstLine="482"/>
              <w:rPr>
                <w:b/>
                <w:bCs/>
                <w:color w:val="auto"/>
              </w:rPr>
            </w:pPr>
            <w:bookmarkStart w:id="34" w:name="_Toc32195"/>
            <w:r>
              <w:rPr>
                <w:rFonts w:hint="eastAsia"/>
                <w:b/>
                <w:bCs/>
                <w:color w:val="auto"/>
                <w:lang w:val="en-US" w:eastAsia="zh-CN"/>
              </w:rPr>
              <w:fldChar w:fldCharType="begin"/>
            </w:r>
            <w:r>
              <w:rPr>
                <w:rFonts w:hint="eastAsia"/>
                <w:b/>
                <w:bCs/>
                <w:color w:val="auto"/>
                <w:lang w:val="en-US" w:eastAsia="zh-CN"/>
              </w:rPr>
              <w:instrText xml:space="preserve"> EQ \o\ac(</w:instrText>
            </w:r>
            <w:r>
              <w:rPr>
                <w:rFonts w:hint="eastAsia"/>
                <w:b/>
                <w:bCs/>
                <w:color w:val="auto"/>
                <w:spacing w:val="0"/>
                <w:kern w:val="2"/>
                <w:sz w:val="24"/>
                <w:szCs w:val="24"/>
                <w:lang w:val="en-US" w:eastAsia="zh-CN" w:bidi="ar-SA"/>
              </w:rPr>
              <w:instrText xml:space="preserve">○</w:instrText>
            </w:r>
            <w:r>
              <w:rPr>
                <w:rFonts w:hint="eastAsia"/>
                <w:b/>
                <w:bCs/>
                <w:color w:val="auto"/>
                <w:lang w:val="en-US" w:eastAsia="zh-CN"/>
              </w:rPr>
              <w:instrText xml:space="preserve">,</w:instrText>
            </w:r>
            <w:r>
              <w:rPr>
                <w:rFonts w:hint="eastAsia"/>
                <w:b/>
                <w:bCs/>
                <w:color w:val="auto"/>
                <w:spacing w:val="0"/>
                <w:kern w:val="2"/>
                <w:position w:val="3"/>
                <w:sz w:val="16"/>
                <w:szCs w:val="24"/>
                <w:lang w:val="en-US" w:eastAsia="zh-CN" w:bidi="ar-SA"/>
              </w:rPr>
              <w:instrText xml:space="preserve">16</w:instrText>
            </w:r>
            <w:r>
              <w:rPr>
                <w:rFonts w:hint="eastAsia"/>
                <w:b/>
                <w:bCs/>
                <w:color w:val="auto"/>
                <w:lang w:val="en-US" w:eastAsia="zh-CN"/>
              </w:rPr>
              <w:instrText xml:space="preserve">)</w:instrText>
            </w:r>
            <w:r>
              <w:rPr>
                <w:rFonts w:hint="eastAsia"/>
                <w:b/>
                <w:bCs/>
                <w:color w:val="auto"/>
                <w:lang w:val="en-US" w:eastAsia="zh-CN"/>
              </w:rPr>
              <w:fldChar w:fldCharType="end"/>
            </w:r>
            <w:r>
              <w:rPr>
                <w:b/>
                <w:bCs/>
                <w:color w:val="auto"/>
              </w:rPr>
              <w:t>废活性炭</w:t>
            </w:r>
            <w:bookmarkEnd w:id="34"/>
          </w:p>
          <w:p w14:paraId="55B6239E">
            <w:pPr>
              <w:pStyle w:val="158"/>
              <w:pageBreakBefore w:val="0"/>
              <w:wordWrap w:val="0"/>
              <w:topLinePunct/>
              <w:bidi w:val="0"/>
              <w:snapToGrid/>
              <w:spacing w:beforeAutospacing="0" w:afterAutospacing="0"/>
              <w:ind w:firstLine="480"/>
              <w:rPr>
                <w:rFonts w:hint="eastAsia" w:ascii="Times New Roman" w:hAnsi="Times New Roman" w:eastAsia="宋体" w:cs="Times New Roman"/>
                <w:color w:val="auto"/>
                <w:kern w:val="2"/>
                <w:sz w:val="24"/>
                <w:szCs w:val="24"/>
                <w:highlight w:val="none"/>
                <w:lang w:val="en-US" w:eastAsia="zh-CN" w:bidi="ar-SA"/>
              </w:rPr>
            </w:pPr>
            <w:r>
              <w:rPr>
                <w:rFonts w:hint="eastAsia"/>
                <w:b/>
                <w:bCs/>
                <w:color w:val="auto"/>
                <w:lang w:val="en-US" w:eastAsia="zh-CN"/>
              </w:rPr>
              <w:t>吸附脱附段活性炭产生量：</w:t>
            </w:r>
            <w:r>
              <w:rPr>
                <w:color w:val="auto"/>
              </w:rPr>
              <w:t>本项目废气治理设施中，使用的活性炭需要定期更换，根据</w:t>
            </w:r>
            <w:r>
              <w:rPr>
                <w:rFonts w:hint="eastAsia"/>
                <w:color w:val="auto"/>
              </w:rPr>
              <w:t>建设单位提供的</w:t>
            </w:r>
            <w:r>
              <w:rPr>
                <w:color w:val="auto"/>
              </w:rPr>
              <w:t>废气治理方案，</w:t>
            </w:r>
            <w:r>
              <w:rPr>
                <w:rFonts w:hint="eastAsia"/>
                <w:color w:val="auto"/>
                <w:lang w:val="en-US" w:eastAsia="zh-CN"/>
              </w:rPr>
              <w:t>TA002废气处理设施（</w:t>
            </w:r>
            <w:r>
              <w:rPr>
                <w:rFonts w:hint="eastAsia" w:ascii="Times New Roman" w:hAnsi="Times New Roman" w:eastAsia="宋体" w:cs="Times New Roman"/>
                <w:color w:val="auto"/>
                <w:kern w:val="2"/>
                <w:sz w:val="24"/>
                <w:szCs w:val="24"/>
                <w:highlight w:val="none"/>
                <w:lang w:val="en-US" w:eastAsia="zh-CN" w:bidi="ar-SA"/>
              </w:rPr>
              <w:t>活性炭吸脱附+催化燃烧段）</w:t>
            </w:r>
            <w:r>
              <w:rPr>
                <w:rFonts w:hint="eastAsia"/>
                <w:color w:val="auto"/>
                <w:lang w:val="en-US" w:eastAsia="zh-CN"/>
              </w:rPr>
              <w:t>设4个吸附床并联运行，一个脱附床。</w:t>
            </w:r>
            <w:r>
              <w:rPr>
                <w:color w:val="auto"/>
              </w:rPr>
              <w:t>活性炭装载量为</w:t>
            </w:r>
            <w:r>
              <w:rPr>
                <w:rFonts w:hint="eastAsia"/>
                <w:color w:val="auto"/>
                <w:lang w:val="en-US" w:eastAsia="zh-CN"/>
              </w:rPr>
              <w:t>21</w:t>
            </w:r>
            <w:r>
              <w:rPr>
                <w:color w:val="auto"/>
              </w:rPr>
              <w:t>m³，密度为380～450kg/m</w:t>
            </w:r>
            <w:r>
              <w:rPr>
                <w:color w:val="auto"/>
                <w:vertAlign w:val="superscript"/>
              </w:rPr>
              <w:t>3</w:t>
            </w:r>
            <w:r>
              <w:rPr>
                <w:color w:val="auto"/>
              </w:rPr>
              <w:t>，取415kg/m</w:t>
            </w:r>
            <w:r>
              <w:rPr>
                <w:color w:val="auto"/>
                <w:vertAlign w:val="superscript"/>
              </w:rPr>
              <w:t>3</w:t>
            </w:r>
            <w:r>
              <w:rPr>
                <w:color w:val="auto"/>
              </w:rPr>
              <w:t>。活性炭</w:t>
            </w:r>
            <w:r>
              <w:rPr>
                <w:rFonts w:hint="eastAsia"/>
                <w:color w:val="auto"/>
                <w:lang w:val="en-US" w:eastAsia="zh-CN"/>
              </w:rPr>
              <w:t>吸附床设计寿命为8000h，本环评保守取</w:t>
            </w:r>
            <w:r>
              <w:rPr>
                <w:color w:val="auto"/>
              </w:rPr>
              <w:t>更换次数为一年一次，即活性炭</w:t>
            </w:r>
            <w:r>
              <w:rPr>
                <w:rFonts w:hint="eastAsia"/>
                <w:color w:val="auto"/>
                <w:lang w:val="en-US" w:eastAsia="zh-CN"/>
              </w:rPr>
              <w:t>年更换</w:t>
            </w:r>
            <w:r>
              <w:rPr>
                <w:color w:val="auto"/>
              </w:rPr>
              <w:t>量为</w:t>
            </w:r>
            <w:r>
              <w:rPr>
                <w:rFonts w:hint="eastAsia"/>
                <w:color w:val="auto"/>
                <w:lang w:val="en-US" w:eastAsia="zh-CN"/>
              </w:rPr>
              <w:t>21</w:t>
            </w:r>
            <w:r>
              <w:rPr>
                <w:color w:val="auto"/>
              </w:rPr>
              <w:t>m</w:t>
            </w:r>
            <w:r>
              <w:rPr>
                <w:color w:val="auto"/>
                <w:vertAlign w:val="superscript"/>
              </w:rPr>
              <w:t>3</w:t>
            </w:r>
            <w:r>
              <w:rPr>
                <w:color w:val="auto"/>
              </w:rPr>
              <w:t>×415kg/m</w:t>
            </w:r>
            <w:r>
              <w:rPr>
                <w:color w:val="auto"/>
                <w:vertAlign w:val="superscript"/>
              </w:rPr>
              <w:t>3</w:t>
            </w:r>
            <w:r>
              <w:rPr>
                <w:color w:val="auto"/>
              </w:rPr>
              <w:t>/1000=</w:t>
            </w:r>
            <w:r>
              <w:rPr>
                <w:rFonts w:hint="eastAsia"/>
                <w:color w:val="auto"/>
                <w:lang w:val="en-US" w:eastAsia="zh-CN"/>
              </w:rPr>
              <w:t>8.715</w:t>
            </w:r>
            <w:r>
              <w:rPr>
                <w:color w:val="auto"/>
              </w:rPr>
              <w:t>t/a</w:t>
            </w:r>
            <w:r>
              <w:rPr>
                <w:rFonts w:hint="eastAsia"/>
                <w:color w:val="auto"/>
                <w:lang w:eastAsia="zh-CN"/>
              </w:rPr>
              <w:t>，</w:t>
            </w:r>
            <w:r>
              <w:rPr>
                <w:rFonts w:hint="eastAsia" w:ascii="Times New Roman" w:hAnsi="Times New Roman" w:cs="Times New Roman"/>
                <w:color w:val="auto"/>
                <w:kern w:val="2"/>
                <w:sz w:val="24"/>
                <w:szCs w:val="24"/>
                <w:highlight w:val="none"/>
                <w:lang w:val="en-US" w:eastAsia="zh-CN" w:bidi="ar-SA"/>
              </w:rPr>
              <w:t>考虑活性炭</w:t>
            </w:r>
            <w:r>
              <w:rPr>
                <w:rFonts w:hint="default" w:ascii="Times New Roman" w:hAnsi="Times New Roman" w:eastAsia="宋体" w:cs="Times New Roman"/>
                <w:color w:val="auto"/>
                <w:kern w:val="2"/>
                <w:sz w:val="24"/>
                <w:szCs w:val="24"/>
                <w:highlight w:val="none"/>
                <w:lang w:val="en-US" w:eastAsia="zh-CN" w:bidi="ar-SA"/>
              </w:rPr>
              <w:t>脱附</w:t>
            </w:r>
            <w:r>
              <w:rPr>
                <w:rFonts w:hint="eastAsia" w:ascii="Times New Roman" w:hAnsi="Times New Roman" w:cs="Times New Roman"/>
                <w:color w:val="auto"/>
                <w:kern w:val="2"/>
                <w:sz w:val="24"/>
                <w:szCs w:val="24"/>
                <w:highlight w:val="none"/>
                <w:lang w:val="en-US" w:eastAsia="zh-CN" w:bidi="ar-SA"/>
              </w:rPr>
              <w:t>时</w:t>
            </w:r>
            <w:r>
              <w:rPr>
                <w:rFonts w:hint="default" w:ascii="Times New Roman" w:hAnsi="Times New Roman" w:eastAsia="宋体" w:cs="Times New Roman"/>
                <w:color w:val="auto"/>
                <w:kern w:val="2"/>
                <w:sz w:val="24"/>
                <w:szCs w:val="24"/>
                <w:highlight w:val="none"/>
                <w:lang w:val="en-US" w:eastAsia="zh-CN" w:bidi="ar-SA"/>
              </w:rPr>
              <w:t>会把活性炭上 90%~95% 以上的 VOCs 脱附出来烧掉；更换时活性炭仅含微量残留 VOCs，重量占比极小</w:t>
            </w:r>
            <w:r>
              <w:rPr>
                <w:rFonts w:hint="eastAsia" w:ascii="Times New Roman" w:hAnsi="Times New Roman" w:cs="Times New Roman"/>
                <w:color w:val="auto"/>
                <w:kern w:val="2"/>
                <w:sz w:val="24"/>
                <w:szCs w:val="24"/>
                <w:highlight w:val="none"/>
                <w:lang w:val="en-US" w:eastAsia="zh-CN" w:bidi="ar-SA"/>
              </w:rPr>
              <w:t>，本环评</w:t>
            </w:r>
            <w:r>
              <w:rPr>
                <w:rFonts w:hint="default" w:ascii="Times New Roman" w:hAnsi="Times New Roman" w:eastAsia="宋体" w:cs="Times New Roman"/>
                <w:color w:val="auto"/>
                <w:kern w:val="2"/>
                <w:sz w:val="24"/>
                <w:szCs w:val="24"/>
                <w:highlight w:val="none"/>
                <w:lang w:val="en-US" w:eastAsia="zh-CN" w:bidi="ar-SA"/>
              </w:rPr>
              <w:t>忽略不计</w:t>
            </w:r>
            <w:r>
              <w:rPr>
                <w:rFonts w:hint="eastAsia" w:ascii="Times New Roman" w:hAnsi="Times New Roman" w:eastAsia="宋体" w:cs="Times New Roman"/>
                <w:color w:val="auto"/>
                <w:kern w:val="2"/>
                <w:sz w:val="24"/>
                <w:szCs w:val="24"/>
                <w:highlight w:val="none"/>
                <w:lang w:val="en-US" w:eastAsia="zh-CN" w:bidi="ar-SA"/>
              </w:rPr>
              <w:t>。</w:t>
            </w:r>
          </w:p>
          <w:p w14:paraId="4783BD5C">
            <w:pPr>
              <w:keepNext/>
              <w:keepLines/>
              <w:widowControl w:val="0"/>
              <w:numPr>
                <w:ilvl w:val="5"/>
                <w:numId w:val="0"/>
              </w:numPr>
              <w:spacing w:line="360" w:lineRule="auto"/>
              <w:ind w:firstLine="482" w:firstLineChars="200"/>
              <w:jc w:val="both"/>
              <w:outlineLvl w:val="5"/>
              <w:rPr>
                <w:rFonts w:hint="default"/>
                <w:color w:val="auto"/>
                <w:lang w:val="en-US" w:eastAsia="zh-CN"/>
              </w:rPr>
            </w:pPr>
            <w:r>
              <w:rPr>
                <w:rFonts w:hint="eastAsia" w:cs="Times New Roman"/>
                <w:b/>
                <w:bCs/>
                <w:color w:val="auto"/>
                <w:kern w:val="2"/>
                <w:sz w:val="24"/>
                <w:szCs w:val="24"/>
                <w:highlight w:val="none"/>
                <w:lang w:val="en-US" w:eastAsia="zh-CN" w:bidi="ar-SA"/>
              </w:rPr>
              <w:t>吸附段活性炭产生量：</w:t>
            </w:r>
            <w:r>
              <w:rPr>
                <w:rFonts w:hint="eastAsia" w:ascii="Times New Roman" w:hAnsi="Times New Roman" w:eastAsia="宋体" w:cs="Times New Roman"/>
                <w:color w:val="auto"/>
                <w:kern w:val="2"/>
                <w:sz w:val="24"/>
                <w:szCs w:val="24"/>
                <w:highlight w:val="none"/>
                <w:lang w:val="en-US" w:eastAsia="zh-CN" w:bidi="ar-SA"/>
              </w:rPr>
              <w:t>TA00</w:t>
            </w:r>
            <w:r>
              <w:rPr>
                <w:rFonts w:hint="eastAsia" w:cs="Times New Roman"/>
                <w:color w:val="auto"/>
                <w:kern w:val="2"/>
                <w:sz w:val="24"/>
                <w:szCs w:val="24"/>
                <w:highlight w:val="none"/>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废气设施（活性炭吸附段）配套1个活性炭吸附床，TA00</w:t>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废气设施（喷淋+干式过滤+二级活性炭吸附）配套2个活性炭吸附床，外形尺寸均为</w:t>
            </w:r>
            <w:r>
              <w:rPr>
                <w:rFonts w:hint="eastAsia" w:cs="Times New Roman"/>
                <w:color w:val="auto"/>
                <w:kern w:val="2"/>
                <w:sz w:val="24"/>
                <w:szCs w:val="24"/>
                <w:highlight w:val="none"/>
                <w:lang w:val="en-US" w:eastAsia="zh-CN" w:bidi="ar-SA"/>
              </w:rPr>
              <w:t>3000</w:t>
            </w:r>
            <w:r>
              <w:rPr>
                <w:rFonts w:hint="eastAsia" w:ascii="Times New Roman" w:hAnsi="Times New Roman" w:eastAsia="宋体" w:cs="Times New Roman"/>
                <w:color w:val="auto"/>
                <w:kern w:val="2"/>
                <w:sz w:val="24"/>
                <w:szCs w:val="24"/>
                <w:highlight w:val="none"/>
                <w:lang w:val="en-US" w:eastAsia="zh-CN" w:bidi="ar-SA"/>
              </w:rPr>
              <w:t>mm*</w:t>
            </w:r>
            <w:r>
              <w:rPr>
                <w:rFonts w:hint="eastAsia" w:cs="Times New Roman"/>
                <w:color w:val="auto"/>
                <w:kern w:val="2"/>
                <w:sz w:val="24"/>
                <w:szCs w:val="24"/>
                <w:highlight w:val="none"/>
                <w:lang w:val="en-US" w:eastAsia="zh-CN" w:bidi="ar-SA"/>
              </w:rPr>
              <w:t>20</w:t>
            </w:r>
            <w:r>
              <w:rPr>
                <w:rFonts w:hint="eastAsia" w:ascii="Times New Roman" w:hAnsi="Times New Roman" w:eastAsia="宋体" w:cs="Times New Roman"/>
                <w:color w:val="auto"/>
                <w:kern w:val="2"/>
                <w:sz w:val="24"/>
                <w:szCs w:val="24"/>
                <w:highlight w:val="none"/>
                <w:lang w:val="en-US" w:eastAsia="zh-CN" w:bidi="ar-SA"/>
              </w:rPr>
              <w:t>00mm*4300mm，每层面积尺寸均为</w:t>
            </w:r>
            <w:r>
              <w:rPr>
                <w:rFonts w:hint="eastAsia" w:cs="Times New Roman"/>
                <w:color w:val="auto"/>
                <w:kern w:val="2"/>
                <w:sz w:val="24"/>
                <w:szCs w:val="24"/>
                <w:highlight w:val="none"/>
                <w:lang w:val="en-US" w:eastAsia="zh-CN" w:bidi="ar-SA"/>
              </w:rPr>
              <w:t>6</w:t>
            </w:r>
            <w:r>
              <w:rPr>
                <w:rFonts w:hint="eastAsia" w:ascii="Times New Roman" w:hAnsi="Times New Roman" w:eastAsia="宋体" w:cs="Times New Roman"/>
                <w:color w:val="auto"/>
                <w:kern w:val="2"/>
                <w:sz w:val="24"/>
                <w:szCs w:val="24"/>
                <w:highlight w:val="none"/>
                <w:lang w:val="en-US" w:eastAsia="zh-CN" w:bidi="ar-SA"/>
              </w:rPr>
              <w:t>m</w:t>
            </w:r>
            <w:r>
              <w:rPr>
                <w:rFonts w:hint="eastAsia" w:ascii="Times New Roman" w:hAnsi="Times New Roman" w:eastAsia="宋体" w:cs="Times New Roman"/>
                <w:color w:val="auto"/>
                <w:kern w:val="2"/>
                <w:sz w:val="24"/>
                <w:szCs w:val="24"/>
                <w:highlight w:val="none"/>
                <w:vertAlign w:val="superscript"/>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活性炭填充高度为0.</w:t>
            </w:r>
            <w:r>
              <w:rPr>
                <w:rFonts w:hint="eastAsia"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m，填充密度0.45g/cm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，单套装置内设</w:t>
            </w:r>
            <w:r>
              <w:rPr>
                <w:rFonts w:hint="eastAsia"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层活性炭，则活性炭吸附装置的</w:t>
            </w:r>
            <w:r>
              <w:rPr>
                <w:rFonts w:hint="eastAsia" w:cs="Times New Roman"/>
                <w:color w:val="auto"/>
                <w:kern w:val="2"/>
                <w:sz w:val="24"/>
                <w:szCs w:val="24"/>
                <w:highlight w:val="none"/>
                <w:lang w:val="en-US" w:eastAsia="zh-CN" w:bidi="ar-SA"/>
              </w:rPr>
              <w:t>全厂</w:t>
            </w:r>
            <w:r>
              <w:rPr>
                <w:rFonts w:hint="default" w:ascii="Times New Roman" w:hAnsi="Times New Roman" w:eastAsia="宋体" w:cs="Times New Roman"/>
                <w:color w:val="auto"/>
                <w:kern w:val="2"/>
                <w:sz w:val="24"/>
                <w:szCs w:val="24"/>
                <w:highlight w:val="none"/>
                <w:lang w:val="en-US" w:eastAsia="zh-CN" w:bidi="ar-SA"/>
              </w:rPr>
              <w:t>装填</w:t>
            </w:r>
            <w:r>
              <w:rPr>
                <w:rFonts w:hint="eastAsia" w:cs="Times New Roman"/>
                <w:color w:val="auto"/>
                <w:kern w:val="2"/>
                <w:sz w:val="24"/>
                <w:szCs w:val="24"/>
                <w:highlight w:val="none"/>
                <w:lang w:val="en-US" w:eastAsia="zh-CN" w:bidi="ar-SA"/>
              </w:rPr>
              <w:t>配置</w:t>
            </w:r>
            <w:r>
              <w:rPr>
                <w:rFonts w:hint="default" w:ascii="Times New Roman" w:hAnsi="Times New Roman" w:eastAsia="宋体" w:cs="Times New Roman"/>
                <w:color w:val="auto"/>
                <w:kern w:val="2"/>
                <w:sz w:val="24"/>
                <w:szCs w:val="24"/>
                <w:highlight w:val="none"/>
                <w:lang w:val="en-US" w:eastAsia="zh-CN" w:bidi="ar-SA"/>
              </w:rPr>
              <w:t>量为</w:t>
            </w:r>
            <w:r>
              <w:rPr>
                <w:rFonts w:hint="eastAsia" w:cs="Times New Roman"/>
                <w:color w:val="auto"/>
                <w:kern w:val="2"/>
                <w:sz w:val="24"/>
                <w:szCs w:val="24"/>
                <w:highlight w:val="none"/>
                <w:lang w:val="en-US" w:eastAsia="zh-CN" w:bidi="ar-SA"/>
              </w:rPr>
              <w:t>3</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6</w:t>
            </w:r>
            <w:r>
              <w:rPr>
                <w:rFonts w:hint="eastAsia" w:ascii="Times New Roman" w:hAnsi="Times New Roman" w:eastAsia="宋体" w:cs="Times New Roman"/>
                <w:color w:val="auto"/>
                <w:kern w:val="2"/>
                <w:sz w:val="24"/>
                <w:szCs w:val="24"/>
                <w:highlight w:val="none"/>
                <w:lang w:val="en-US" w:eastAsia="zh-CN" w:bidi="ar-SA"/>
              </w:rPr>
              <w:t>×0.</w:t>
            </w:r>
            <w:r>
              <w:rPr>
                <w:rFonts w:hint="eastAsia" w:cs="Times New Roman"/>
                <w:color w:val="auto"/>
                <w:kern w:val="2"/>
                <w:sz w:val="24"/>
                <w:szCs w:val="24"/>
                <w:highlight w:val="none"/>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×6×450÷1000=</w:t>
            </w:r>
            <w:r>
              <w:rPr>
                <w:rFonts w:hint="eastAsia" w:cs="Times New Roman"/>
                <w:color w:val="auto"/>
                <w:kern w:val="2"/>
                <w:sz w:val="24"/>
                <w:szCs w:val="24"/>
                <w:highlight w:val="none"/>
                <w:lang w:val="en-US" w:eastAsia="zh-CN" w:bidi="ar-SA"/>
              </w:rPr>
              <w:t>9.720</w:t>
            </w:r>
            <w:r>
              <w:rPr>
                <w:rFonts w:hint="eastAsia" w:ascii="Times New Roman" w:hAnsi="Times New Roman" w:eastAsia="宋体" w:cs="Times New Roman"/>
                <w:color w:val="auto"/>
                <w:kern w:val="2"/>
                <w:sz w:val="24"/>
                <w:szCs w:val="24"/>
                <w:highlight w:val="none"/>
                <w:lang w:val="en-US" w:eastAsia="zh-CN" w:bidi="ar-SA"/>
              </w:rPr>
              <w:t>t。</w:t>
            </w:r>
            <w:r>
              <w:rPr>
                <w:rFonts w:hint="default" w:ascii="Times New Roman" w:hAnsi="Times New Roman" w:eastAsia="宋体" w:cs="Times New Roman"/>
                <w:color w:val="auto"/>
                <w:kern w:val="2"/>
                <w:sz w:val="24"/>
                <w:szCs w:val="24"/>
                <w:highlight w:val="none"/>
                <w:lang w:val="en-US" w:eastAsia="zh-CN" w:bidi="ar-SA"/>
              </w:rPr>
              <w:t>根据《广东省工业源挥发性有机物减排量核算方法》（</w:t>
            </w:r>
            <w:r>
              <w:rPr>
                <w:rFonts w:hint="eastAsia" w:cs="Times New Roman"/>
                <w:color w:val="auto"/>
                <w:kern w:val="2"/>
                <w:sz w:val="24"/>
                <w:szCs w:val="24"/>
                <w:highlight w:val="none"/>
                <w:lang w:val="en-US" w:eastAsia="zh-CN" w:bidi="ar-SA"/>
              </w:rPr>
              <w:t>2023修订版</w:t>
            </w:r>
            <w:r>
              <w:rPr>
                <w:rFonts w:hint="default" w:ascii="Times New Roman" w:hAnsi="Times New Roman" w:eastAsia="宋体" w:cs="Times New Roman"/>
                <w:color w:val="auto"/>
                <w:kern w:val="2"/>
                <w:sz w:val="24"/>
                <w:szCs w:val="24"/>
                <w:highlight w:val="none"/>
                <w:lang w:val="en-US" w:eastAsia="zh-CN" w:bidi="ar-SA"/>
              </w:rPr>
              <w:t>）的要求，建议直接将“活性炭年更换量×活性炭吸附比例”（活性炭年更换量优先以危废转移量为依据，吸附比例建议取值15%）作为废气处理设施VOCs削减量。本项目活性炭对有机废气的吸附比率取值</w:t>
            </w:r>
            <w:r>
              <w:rPr>
                <w:rFonts w:hint="eastAsia" w:cs="Times New Roman"/>
                <w:color w:val="auto"/>
                <w:kern w:val="2"/>
                <w:sz w:val="24"/>
                <w:szCs w:val="24"/>
                <w:highlight w:val="none"/>
                <w:lang w:val="en-US" w:eastAsia="zh-CN" w:bidi="ar-SA"/>
              </w:rPr>
              <w:t>15</w:t>
            </w:r>
            <w:r>
              <w:rPr>
                <w:rFonts w:hint="default" w:ascii="Times New Roman" w:hAnsi="Times New Roman" w:eastAsia="宋体" w:cs="Times New Roman"/>
                <w:color w:val="auto"/>
                <w:kern w:val="2"/>
                <w:sz w:val="24"/>
                <w:szCs w:val="24"/>
                <w:highlight w:val="none"/>
                <w:lang w:val="en-US" w:eastAsia="zh-CN" w:bidi="ar-SA"/>
              </w:rPr>
              <w:t>%，项目吸附的有机废气量为</w:t>
            </w:r>
            <w:r>
              <w:rPr>
                <w:rFonts w:hint="eastAsia" w:cs="Times New Roman"/>
                <w:color w:val="auto"/>
                <w:kern w:val="2"/>
                <w:sz w:val="24"/>
                <w:szCs w:val="24"/>
                <w:highlight w:val="none"/>
                <w:lang w:val="en-US" w:eastAsia="zh-CN" w:bidi="ar-SA"/>
              </w:rPr>
              <w:t>0.6024+0.2701=0.8725</w:t>
            </w:r>
            <w:r>
              <w:rPr>
                <w:rFonts w:hint="default" w:ascii="Times New Roman" w:hAnsi="Times New Roman" w:eastAsia="宋体" w:cs="Times New Roman"/>
                <w:color w:val="auto"/>
                <w:kern w:val="2"/>
                <w:sz w:val="24"/>
                <w:szCs w:val="24"/>
                <w:highlight w:val="none"/>
                <w:lang w:val="en-US" w:eastAsia="zh-CN" w:bidi="ar-SA"/>
              </w:rPr>
              <w:t>t/a，</w:t>
            </w:r>
            <w:r>
              <w:rPr>
                <w:rFonts w:hint="eastAsia" w:ascii="Times New Roman" w:hAnsi="Times New Roman" w:eastAsia="宋体" w:cs="Times New Roman"/>
                <w:color w:val="auto"/>
                <w:kern w:val="2"/>
                <w:sz w:val="24"/>
                <w:szCs w:val="24"/>
                <w:highlight w:val="none"/>
                <w:lang w:val="en-US" w:eastAsia="zh-CN" w:bidi="ar-SA"/>
              </w:rPr>
              <w:t>则理论需要活性炭量为</w:t>
            </w:r>
            <w:r>
              <w:rPr>
                <w:rFonts w:hint="eastAsia" w:cs="Times New Roman"/>
                <w:color w:val="auto"/>
                <w:kern w:val="2"/>
                <w:sz w:val="24"/>
                <w:szCs w:val="24"/>
                <w:highlight w:val="none"/>
                <w:lang w:val="en-US" w:eastAsia="zh-CN" w:bidi="ar-SA"/>
              </w:rPr>
              <w:t>5.817</w:t>
            </w:r>
            <w:r>
              <w:rPr>
                <w:rFonts w:hint="eastAsia" w:ascii="Times New Roman" w:hAnsi="Times New Roman" w:eastAsia="宋体" w:cs="Times New Roman"/>
                <w:color w:val="auto"/>
                <w:kern w:val="2"/>
                <w:sz w:val="24"/>
                <w:szCs w:val="24"/>
                <w:highlight w:val="none"/>
                <w:lang w:val="en-US" w:eastAsia="zh-CN" w:bidi="ar-SA"/>
              </w:rPr>
              <w:t>t/a</w:t>
            </w:r>
            <w:r>
              <w:rPr>
                <w:rFonts w:hint="default"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吸附段</w:t>
            </w:r>
            <w:r>
              <w:rPr>
                <w:rFonts w:hint="eastAsia" w:ascii="Times New Roman" w:hAnsi="Times New Roman" w:eastAsia="宋体" w:cs="Times New Roman"/>
                <w:color w:val="auto"/>
                <w:kern w:val="2"/>
                <w:sz w:val="24"/>
                <w:szCs w:val="24"/>
                <w:highlight w:val="none"/>
                <w:lang w:val="en-US" w:eastAsia="zh-CN" w:bidi="ar-SA"/>
              </w:rPr>
              <w:t>活性炭实际配置量大于理论活性炭使用量，项目废气设施活性炭一年更换2次，则废活性炭产生量为</w:t>
            </w:r>
            <w:r>
              <w:rPr>
                <w:rFonts w:hint="eastAsia" w:cs="Times New Roman"/>
                <w:color w:val="auto"/>
                <w:kern w:val="2"/>
                <w:sz w:val="24"/>
                <w:szCs w:val="24"/>
                <w:highlight w:val="none"/>
                <w:lang w:val="en-US" w:eastAsia="zh-CN" w:bidi="ar-SA"/>
              </w:rPr>
              <w:t>9.720</w:t>
            </w:r>
            <w:r>
              <w:rPr>
                <w:rFonts w:hint="eastAsia" w:ascii="Times New Roman" w:hAnsi="Times New Roman" w:eastAsia="宋体" w:cs="Times New Roman"/>
                <w:color w:val="auto"/>
                <w:kern w:val="2"/>
                <w:sz w:val="24"/>
                <w:szCs w:val="24"/>
                <w:highlight w:val="none"/>
                <w:lang w:val="en-US" w:eastAsia="zh-CN" w:bidi="ar-SA"/>
              </w:rPr>
              <w:t>×2+0.</w:t>
            </w:r>
            <w:r>
              <w:rPr>
                <w:rFonts w:hint="eastAsia" w:cs="Times New Roman"/>
                <w:color w:val="auto"/>
                <w:kern w:val="2"/>
                <w:sz w:val="24"/>
                <w:szCs w:val="24"/>
                <w:highlight w:val="none"/>
                <w:lang w:val="en-US" w:eastAsia="zh-CN" w:bidi="ar-SA"/>
              </w:rPr>
              <w:t>8725</w:t>
            </w: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20.313</w:t>
            </w:r>
            <w:r>
              <w:rPr>
                <w:rFonts w:hint="eastAsia" w:ascii="Times New Roman" w:hAnsi="Times New Roman" w:eastAsia="宋体" w:cs="Times New Roman"/>
                <w:color w:val="auto"/>
                <w:kern w:val="2"/>
                <w:sz w:val="24"/>
                <w:szCs w:val="24"/>
                <w:highlight w:val="none"/>
                <w:lang w:val="en-US" w:eastAsia="zh-CN" w:bidi="ar-SA"/>
              </w:rPr>
              <w:t>t/a。</w:t>
            </w:r>
          </w:p>
          <w:p w14:paraId="1A942869">
            <w:pPr>
              <w:pStyle w:val="158"/>
              <w:pageBreakBefore w:val="0"/>
              <w:wordWrap w:val="0"/>
              <w:topLinePunct/>
              <w:bidi w:val="0"/>
              <w:snapToGrid/>
              <w:spacing w:beforeAutospacing="0" w:afterAutospacing="0"/>
              <w:ind w:firstLine="480"/>
              <w:rPr>
                <w:bCs/>
                <w:color w:val="auto"/>
              </w:rPr>
            </w:pPr>
            <w:r>
              <w:rPr>
                <w:rFonts w:hint="eastAsia"/>
                <w:color w:val="auto"/>
                <w:lang w:val="en-US" w:eastAsia="zh-CN"/>
              </w:rPr>
              <w:t>废气设施废活性炭合计产生量=8.715t/a+20.313t/a=29.028t/a</w:t>
            </w:r>
            <w:r>
              <w:rPr>
                <w:color w:val="auto"/>
              </w:rPr>
              <w:t>。</w:t>
            </w:r>
            <w:r>
              <w:rPr>
                <w:bCs/>
                <w:color w:val="auto"/>
              </w:rPr>
              <w:t>属于“HW49 其他废物”，废物代码900-039-49</w:t>
            </w:r>
            <w:r>
              <w:rPr>
                <w:color w:val="auto"/>
              </w:rPr>
              <w:t>，经统一收集后交由有危险废物处理资质的单位处理。</w:t>
            </w:r>
          </w:p>
          <w:p w14:paraId="1DFCDC77">
            <w:pPr>
              <w:pStyle w:val="158"/>
              <w:pageBreakBefore w:val="0"/>
              <w:wordWrap w:val="0"/>
              <w:topLinePunct/>
              <w:bidi w:val="0"/>
              <w:snapToGrid/>
              <w:spacing w:beforeAutospacing="0" w:afterAutospacing="0"/>
              <w:ind w:firstLine="480"/>
              <w:rPr>
                <w:rFonts w:hint="default" w:eastAsia="宋体"/>
                <w:b/>
                <w:bCs/>
                <w:color w:val="auto"/>
                <w:lang w:val="en-US" w:eastAsia="zh-CN"/>
              </w:rPr>
            </w:pPr>
            <w:r>
              <w:rPr>
                <w:rFonts w:hint="eastAsia"/>
                <w:b/>
                <w:bCs/>
                <w:color w:val="auto"/>
                <w:lang w:val="en-US" w:eastAsia="zh-CN"/>
              </w:rPr>
              <w:fldChar w:fldCharType="begin"/>
            </w:r>
            <w:r>
              <w:rPr>
                <w:rFonts w:hint="eastAsia"/>
                <w:b/>
                <w:bCs/>
                <w:color w:val="auto"/>
                <w:lang w:val="en-US" w:eastAsia="zh-CN"/>
              </w:rPr>
              <w:instrText xml:space="preserve"> EQ \o\ac(</w:instrText>
            </w:r>
            <w:r>
              <w:rPr>
                <w:rFonts w:hint="eastAsia"/>
                <w:b/>
                <w:bCs/>
                <w:color w:val="auto"/>
                <w:spacing w:val="0"/>
                <w:kern w:val="2"/>
                <w:sz w:val="24"/>
                <w:szCs w:val="24"/>
                <w:lang w:val="en-US" w:eastAsia="zh-CN" w:bidi="ar-SA"/>
              </w:rPr>
              <w:instrText xml:space="preserve">○</w:instrText>
            </w:r>
            <w:r>
              <w:rPr>
                <w:rFonts w:hint="eastAsia"/>
                <w:b/>
                <w:bCs/>
                <w:color w:val="auto"/>
                <w:lang w:val="en-US" w:eastAsia="zh-CN"/>
              </w:rPr>
              <w:instrText xml:space="preserve">,</w:instrText>
            </w:r>
            <w:r>
              <w:rPr>
                <w:rFonts w:hint="eastAsia"/>
                <w:b/>
                <w:bCs/>
                <w:color w:val="auto"/>
                <w:spacing w:val="0"/>
                <w:kern w:val="2"/>
                <w:position w:val="3"/>
                <w:sz w:val="16"/>
                <w:szCs w:val="24"/>
                <w:lang w:val="en-US" w:eastAsia="zh-CN" w:bidi="ar-SA"/>
              </w:rPr>
              <w:instrText xml:space="preserve">17</w:instrText>
            </w:r>
            <w:r>
              <w:rPr>
                <w:rFonts w:hint="eastAsia"/>
                <w:b/>
                <w:bCs/>
                <w:color w:val="auto"/>
                <w:lang w:val="en-US" w:eastAsia="zh-CN"/>
              </w:rPr>
              <w:instrText xml:space="preserve">)</w:instrText>
            </w:r>
            <w:r>
              <w:rPr>
                <w:rFonts w:hint="eastAsia"/>
                <w:b/>
                <w:bCs/>
                <w:color w:val="auto"/>
                <w:lang w:val="en-US" w:eastAsia="zh-CN"/>
              </w:rPr>
              <w:fldChar w:fldCharType="end"/>
            </w:r>
            <w:r>
              <w:rPr>
                <w:rFonts w:hint="eastAsia"/>
                <w:b/>
                <w:bCs/>
                <w:color w:val="auto"/>
                <w:lang w:val="en-US" w:eastAsia="zh-CN"/>
              </w:rPr>
              <w:t>废粉末涂料</w:t>
            </w:r>
          </w:p>
          <w:p w14:paraId="415B830E">
            <w:pPr>
              <w:pStyle w:val="158"/>
              <w:pageBreakBefore w:val="0"/>
              <w:wordWrap w:val="0"/>
              <w:topLinePunct/>
              <w:bidi w:val="0"/>
              <w:snapToGrid/>
              <w:spacing w:beforeAutospacing="0" w:afterAutospacing="0"/>
              <w:ind w:firstLine="480"/>
              <w:rPr>
                <w:color w:val="auto"/>
                <w:kern w:val="0"/>
              </w:rPr>
            </w:pPr>
            <w:r>
              <w:rPr>
                <w:rFonts w:hint="eastAsia"/>
                <w:color w:val="auto"/>
                <w:lang w:val="en-US" w:eastAsia="zh-CN"/>
              </w:rPr>
              <w:t>废静电喷粉粉尘主要来源于静电喷粉工序中地面沉降部分，根据前文计算其产生量为3.465</w:t>
            </w:r>
            <w:r>
              <w:rPr>
                <w:color w:val="auto"/>
              </w:rPr>
              <w:t>t/a。</w:t>
            </w:r>
            <w:r>
              <w:rPr>
                <w:rFonts w:hint="eastAsia"/>
                <w:color w:val="auto"/>
                <w:lang w:val="en-US" w:eastAsia="zh-CN"/>
              </w:rPr>
              <w:t>因静电喷粉粉末主要成分为有机树脂，其沉降于地面时易沾染污染物，不便于直接回用于生产</w:t>
            </w:r>
            <w:r>
              <w:rPr>
                <w:color w:val="auto"/>
                <w:kern w:val="0"/>
              </w:rPr>
              <w:t>。</w:t>
            </w:r>
            <w:r>
              <w:rPr>
                <w:rFonts w:hint="eastAsia"/>
                <w:color w:val="auto"/>
                <w:lang w:val="en-US" w:eastAsia="zh-CN"/>
              </w:rPr>
              <w:t>对照</w:t>
            </w:r>
            <w:r>
              <w:rPr>
                <w:color w:val="auto"/>
              </w:rPr>
              <w:t>《国家危险废物名录》（202</w:t>
            </w:r>
            <w:r>
              <w:rPr>
                <w:rFonts w:hint="eastAsia"/>
                <w:color w:val="auto"/>
                <w:lang w:val="en-US" w:eastAsia="zh-CN"/>
              </w:rPr>
              <w:t>5</w:t>
            </w:r>
            <w:r>
              <w:rPr>
                <w:color w:val="auto"/>
              </w:rPr>
              <w:t xml:space="preserve"> 年版）</w:t>
            </w:r>
            <w:r>
              <w:rPr>
                <w:rFonts w:hint="eastAsia"/>
                <w:color w:val="auto"/>
                <w:lang w:eastAsia="zh-CN"/>
              </w:rPr>
              <w:t>，</w:t>
            </w:r>
            <w:r>
              <w:rPr>
                <w:rFonts w:hint="eastAsia"/>
                <w:color w:val="auto"/>
                <w:lang w:val="en-US" w:eastAsia="zh-CN"/>
              </w:rPr>
              <w:t>废粉末涂料未列入该名录中</w:t>
            </w:r>
            <w:r>
              <w:rPr>
                <w:rFonts w:hint="eastAsia"/>
                <w:color w:val="auto"/>
                <w:lang w:eastAsia="zh-CN"/>
              </w:rPr>
              <w:t>，根据《国家危险废物名录（2025年版）》第六条：“ 对不明确是否具有危险特性的固体废物，应当按照国家规定的危险废物鉴别标准和鉴别方法予以认定。经鉴别具有危险特性的，属于危险废物，应当根据其主要有害成分和危险特性对照本名录中已有废物代码进行归类；无法按已有废物代码归类的，应当确定其所属废物类别，按代码“900-000-××”（××为危险废物类别代码）进行归类管理。经鉴别不具有危险特性的，不属于危险废物。”，</w:t>
            </w:r>
            <w:r>
              <w:rPr>
                <w:rFonts w:hint="eastAsia"/>
                <w:color w:val="auto"/>
                <w:lang w:val="en-US" w:eastAsia="zh-CN"/>
              </w:rPr>
              <w:t>因此建设单位应在项目试生产阶段开展危险特性鉴别。正式鉴别结论出具之前，本固体废物暂按照危险废物从严管控，贮存于符合《危险废物贮存污染控制标准》（GB 18597‑2023）要求的危废暂存间。若鉴别判定为危险废物，交由具备相应资质单位处置；若判定为一般工业固体废物，则按照《一般工业固体废物贮存和填埋污染控制标准》（GB 18599‑2020）实施管理处置。</w:t>
            </w:r>
          </w:p>
          <w:p w14:paraId="40651FD1">
            <w:pPr>
              <w:pStyle w:val="158"/>
              <w:pageBreakBefore w:val="0"/>
              <w:wordWrap w:val="0"/>
              <w:topLinePunct/>
              <w:bidi w:val="0"/>
              <w:snapToGrid/>
              <w:spacing w:beforeAutospacing="0" w:afterAutospacing="0"/>
              <w:ind w:firstLine="482"/>
              <w:rPr>
                <w:b/>
                <w:bCs/>
                <w:color w:val="auto"/>
              </w:rPr>
            </w:pPr>
            <w:r>
              <w:rPr>
                <w:rFonts w:hint="eastAsia"/>
                <w:b/>
                <w:bCs/>
                <w:color w:val="auto"/>
                <w:lang w:val="en-US" w:eastAsia="zh-CN"/>
              </w:rPr>
              <w:fldChar w:fldCharType="begin"/>
            </w:r>
            <w:r>
              <w:rPr>
                <w:rFonts w:hint="eastAsia"/>
                <w:b/>
                <w:bCs/>
                <w:color w:val="auto"/>
                <w:lang w:val="en-US" w:eastAsia="zh-CN"/>
              </w:rPr>
              <w:instrText xml:space="preserve"> EQ \o\ac(</w:instrText>
            </w:r>
            <w:r>
              <w:rPr>
                <w:rFonts w:hint="eastAsia" w:ascii="Times New Roman" w:hAnsi="Times New Roman" w:eastAsia="宋体" w:cs="Times New Roman"/>
                <w:b/>
                <w:bCs/>
                <w:color w:val="auto"/>
                <w:spacing w:val="0"/>
                <w:kern w:val="2"/>
                <w:sz w:val="24"/>
                <w:szCs w:val="24"/>
                <w:lang w:val="en-US" w:eastAsia="zh-CN" w:bidi="ar-SA"/>
              </w:rPr>
              <w:instrText xml:space="preserve">○</w:instrText>
            </w:r>
            <w:r>
              <w:rPr>
                <w:rFonts w:hint="eastAsia"/>
                <w:b/>
                <w:bCs/>
                <w:color w:val="auto"/>
                <w:lang w:val="en-US" w:eastAsia="zh-CN"/>
              </w:rPr>
              <w:instrText xml:space="preserve">,</w:instrText>
            </w:r>
            <w:r>
              <w:rPr>
                <w:rFonts w:hint="eastAsia" w:ascii="Times New Roman" w:hAnsi="Times New Roman" w:eastAsia="宋体" w:cs="Times New Roman"/>
                <w:b/>
                <w:bCs/>
                <w:color w:val="auto"/>
                <w:spacing w:val="0"/>
                <w:kern w:val="2"/>
                <w:position w:val="3"/>
                <w:sz w:val="16"/>
                <w:szCs w:val="24"/>
                <w:lang w:val="en-US" w:eastAsia="zh-CN" w:bidi="ar-SA"/>
              </w:rPr>
              <w:instrText xml:space="preserve">18</w:instrText>
            </w:r>
            <w:r>
              <w:rPr>
                <w:rFonts w:hint="eastAsia"/>
                <w:b/>
                <w:bCs/>
                <w:color w:val="auto"/>
                <w:lang w:val="en-US" w:eastAsia="zh-CN"/>
              </w:rPr>
              <w:instrText xml:space="preserve">)</w:instrText>
            </w:r>
            <w:r>
              <w:rPr>
                <w:rFonts w:hint="eastAsia"/>
                <w:b/>
                <w:bCs/>
                <w:color w:val="auto"/>
                <w:lang w:val="en-US" w:eastAsia="zh-CN"/>
              </w:rPr>
              <w:fldChar w:fldCharType="end"/>
            </w:r>
            <w:r>
              <w:rPr>
                <w:b/>
                <w:bCs/>
                <w:color w:val="auto"/>
              </w:rPr>
              <w:t>废催化剂</w:t>
            </w:r>
          </w:p>
          <w:p w14:paraId="57E61DD9">
            <w:pPr>
              <w:pStyle w:val="158"/>
              <w:pageBreakBefore w:val="0"/>
              <w:wordWrap w:val="0"/>
              <w:topLinePunct/>
              <w:bidi w:val="0"/>
              <w:snapToGrid/>
              <w:spacing w:beforeAutospacing="0" w:afterAutospacing="0"/>
              <w:ind w:firstLine="480"/>
              <w:rPr>
                <w:rFonts w:hint="default" w:eastAsia="宋体"/>
                <w:color w:val="auto"/>
                <w:lang w:val="en-US" w:eastAsia="zh-CN"/>
              </w:rPr>
            </w:pPr>
            <w:r>
              <w:rPr>
                <w:color w:val="auto"/>
              </w:rPr>
              <w:t>本项目废气治理设施中，使用的催化剂需要定期更换，根据废气治理方案</w:t>
            </w:r>
            <w:r>
              <w:rPr>
                <w:rFonts w:hint="eastAsia"/>
                <w:color w:val="auto"/>
                <w:lang w:eastAsia="zh-CN"/>
              </w:rPr>
              <w:t>，</w:t>
            </w:r>
            <w:r>
              <w:rPr>
                <w:color w:val="auto"/>
              </w:rPr>
              <w:t>“</w:t>
            </w:r>
            <w:r>
              <w:rPr>
                <w:rFonts w:hint="eastAsia"/>
                <w:color w:val="auto"/>
                <w:lang w:eastAsia="zh-CN"/>
              </w:rPr>
              <w:t>喷淋塔+干式过滤器+活性炭吸脱附+催化燃烧+活性炭吸附</w:t>
            </w:r>
            <w:r>
              <w:rPr>
                <w:color w:val="auto"/>
              </w:rPr>
              <w:t>”使用量为0.4m³，</w:t>
            </w:r>
            <w:r>
              <w:rPr>
                <w:color w:val="auto"/>
                <w:spacing w:val="-2"/>
                <w:kern w:val="0"/>
                <w:lang w:bidi="ar"/>
              </w:rPr>
              <w:t>堆积密度取0.8g/cm</w:t>
            </w:r>
            <w:r>
              <w:rPr>
                <w:color w:val="auto"/>
                <w:spacing w:val="-2"/>
                <w:kern w:val="0"/>
                <w:vertAlign w:val="superscript"/>
                <w:lang w:bidi="ar"/>
              </w:rPr>
              <w:t>3</w:t>
            </w:r>
            <w:r>
              <w:rPr>
                <w:color w:val="auto"/>
                <w:spacing w:val="-2"/>
                <w:kern w:val="0"/>
                <w:lang w:bidi="ar"/>
              </w:rPr>
              <w:t>，</w:t>
            </w:r>
            <w:r>
              <w:rPr>
                <w:color w:val="auto"/>
              </w:rPr>
              <w:t>每2年需要更</w:t>
            </w:r>
            <w:r>
              <w:rPr>
                <w:rFonts w:hint="default" w:ascii="Times New Roman" w:hAnsi="Times New Roman" w:cs="Times New Roman"/>
                <w:color w:val="auto"/>
              </w:rPr>
              <w:t>换一次，</w:t>
            </w:r>
            <w:r>
              <w:rPr>
                <w:rFonts w:hint="default" w:ascii="Times New Roman" w:hAnsi="Times New Roman" w:cs="Times New Roman"/>
                <w:color w:val="auto"/>
                <w:lang w:val="en-US" w:eastAsia="zh-CN"/>
              </w:rPr>
              <w:t>项目共设1套废气治理设施需使用催化剂，则</w:t>
            </w:r>
            <w:r>
              <w:rPr>
                <w:rFonts w:hint="default" w:ascii="Times New Roman" w:hAnsi="Times New Roman" w:cs="Times New Roman"/>
                <w:color w:val="auto"/>
              </w:rPr>
              <w:t>催化剂产生量为</w:t>
            </w:r>
            <w:r>
              <w:rPr>
                <w:rFonts w:hint="default" w:ascii="Times New Roman" w:hAnsi="Times New Roman" w:cs="Times New Roman"/>
                <w:color w:val="auto"/>
                <w:lang w:val="en-US" w:eastAsia="zh-CN"/>
              </w:rPr>
              <w:t>1×</w:t>
            </w:r>
            <w:r>
              <w:rPr>
                <w:rFonts w:hint="default" w:ascii="Times New Roman" w:hAnsi="Times New Roman" w:cs="Times New Roman"/>
                <w:color w:val="auto"/>
              </w:rPr>
              <w:t>0.4m³×</w:t>
            </w:r>
            <w:r>
              <w:rPr>
                <w:rFonts w:hint="default" w:ascii="Times New Roman" w:hAnsi="Times New Roman" w:cs="Times New Roman"/>
                <w:color w:val="auto"/>
                <w:spacing w:val="-2"/>
                <w:kern w:val="0"/>
                <w:lang w:bidi="ar"/>
              </w:rPr>
              <w:t>0.8g/cm</w:t>
            </w:r>
            <w:r>
              <w:rPr>
                <w:rFonts w:hint="default" w:ascii="Times New Roman" w:hAnsi="Times New Roman" w:cs="Times New Roman"/>
                <w:color w:val="auto"/>
                <w:spacing w:val="-2"/>
                <w:kern w:val="0"/>
                <w:vertAlign w:val="superscript"/>
                <w:lang w:bidi="ar"/>
              </w:rPr>
              <w:t>3</w:t>
            </w:r>
            <w:r>
              <w:rPr>
                <w:rFonts w:hint="default" w:ascii="Times New Roman" w:hAnsi="Times New Roman" w:cs="Times New Roman"/>
                <w:color w:val="auto"/>
                <w:spacing w:val="-2"/>
                <w:kern w:val="0"/>
                <w:vertAlign w:val="baseline"/>
                <w:lang w:val="en-US" w:eastAsia="zh-CN" w:bidi="ar"/>
              </w:rPr>
              <w:t>/2</w:t>
            </w:r>
            <w:r>
              <w:rPr>
                <w:rFonts w:hint="default" w:ascii="Times New Roman" w:hAnsi="Times New Roman" w:cs="Times New Roman"/>
                <w:color w:val="auto"/>
              </w:rPr>
              <w:t>=</w:t>
            </w:r>
            <w:r>
              <w:rPr>
                <w:rFonts w:hint="default" w:ascii="Times New Roman" w:hAnsi="Times New Roman" w:cs="Times New Roman"/>
                <w:color w:val="auto"/>
                <w:lang w:eastAsia="zh-CN"/>
              </w:rPr>
              <w:t>0.</w:t>
            </w:r>
            <w:r>
              <w:rPr>
                <w:rFonts w:hint="default" w:ascii="Times New Roman" w:hAnsi="Times New Roman" w:cs="Times New Roman"/>
                <w:color w:val="auto"/>
                <w:lang w:val="en-US" w:eastAsia="zh-CN"/>
              </w:rPr>
              <w:t>16</w:t>
            </w:r>
            <w:r>
              <w:rPr>
                <w:rFonts w:hint="default" w:ascii="Times New Roman" w:hAnsi="Times New Roman" w:cs="Times New Roman"/>
                <w:color w:val="auto"/>
              </w:rPr>
              <w:t>t/a</w:t>
            </w:r>
            <w:r>
              <w:rPr>
                <w:rFonts w:hint="default" w:ascii="Times New Roman" w:hAnsi="Times New Roman" w:cs="Times New Roman"/>
                <w:color w:val="auto"/>
                <w:lang w:eastAsia="zh-CN"/>
              </w:rPr>
              <w:t>，</w:t>
            </w:r>
            <w:r>
              <w:rPr>
                <w:rStyle w:val="140"/>
                <w:rFonts w:hint="default" w:ascii="Times New Roman" w:hAnsi="Times New Roman" w:cs="Times New Roman"/>
                <w:b w:val="0"/>
                <w:bCs w:val="0"/>
                <w:color w:val="auto"/>
                <w:sz w:val="24"/>
                <w:szCs w:val="24"/>
                <w:lang w:val="en-US" w:eastAsia="zh-CN" w:bidi="ar"/>
              </w:rPr>
              <w:t>根据广东省生态环境厅互动交流 关于电子电路制造企业有机废气治理CO催化剂是否属于危险废物事宜 的回复，本项目催化剂（</w:t>
            </w:r>
            <w:r>
              <w:rPr>
                <w:rFonts w:hint="default" w:ascii="Times New Roman" w:hAnsi="Times New Roman" w:cs="Times New Roman"/>
                <w:color w:val="auto"/>
                <w:lang w:val="en-US" w:eastAsia="zh-CN"/>
              </w:rPr>
              <w:t>主要危害成分为铂、钯</w:t>
            </w:r>
            <w:r>
              <w:rPr>
                <w:rFonts w:hint="default" w:ascii="Times New Roman" w:hAnsi="Times New Roman" w:cs="Times New Roman"/>
                <w:color w:val="auto"/>
                <w:lang w:eastAsia="zh-CN"/>
              </w:rPr>
              <w:t>）</w:t>
            </w:r>
            <w:r>
              <w:rPr>
                <w:rStyle w:val="140"/>
                <w:rFonts w:hint="default" w:ascii="Times New Roman" w:hAnsi="Times New Roman" w:cs="Times New Roman"/>
                <w:b w:val="0"/>
                <w:bCs w:val="0"/>
                <w:color w:val="auto"/>
                <w:sz w:val="24"/>
                <w:szCs w:val="24"/>
                <w:lang w:val="en-US" w:eastAsia="zh-CN" w:bidi="ar"/>
              </w:rPr>
              <w:t>与机动车和非道路移动机械尾气净化废催化剂（主要危害成分为铂、铑、钯等贵金属）相似</w:t>
            </w:r>
            <w:r>
              <w:rPr>
                <w:rStyle w:val="140"/>
                <w:rFonts w:hint="eastAsia"/>
                <w:b w:val="0"/>
                <w:bCs w:val="0"/>
                <w:color w:val="auto"/>
                <w:sz w:val="24"/>
                <w:szCs w:val="24"/>
                <w:lang w:val="en-US" w:eastAsia="zh-CN" w:bidi="ar"/>
              </w:rPr>
              <w:t>，</w:t>
            </w:r>
            <w:r>
              <w:rPr>
                <w:rFonts w:hint="eastAsia"/>
                <w:color w:val="auto"/>
                <w:lang w:val="en-US" w:eastAsia="zh-CN"/>
              </w:rPr>
              <w:t>建议参照</w:t>
            </w:r>
            <w:r>
              <w:rPr>
                <w:rFonts w:hint="eastAsia"/>
                <w:color w:val="auto"/>
              </w:rPr>
              <w:t>《国家危险废物名录（2025年版）》中的 HW50 废催化剂，危废代码为 900-049-50（“机动车和非道路移动机械尾气净化废催化剂”）</w:t>
            </w:r>
            <w:r>
              <w:rPr>
                <w:rFonts w:hint="eastAsia"/>
                <w:color w:val="auto"/>
                <w:lang w:val="en-US" w:eastAsia="zh-CN"/>
              </w:rPr>
              <w:t>处置</w:t>
            </w:r>
            <w:r>
              <w:rPr>
                <w:color w:val="auto"/>
              </w:rPr>
              <w:t>。</w:t>
            </w:r>
          </w:p>
          <w:p w14:paraId="5FF840ED">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4.2固体废物环境管理要求</w:t>
            </w:r>
          </w:p>
          <w:p w14:paraId="6DA7BCE0">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（1）生活垃圾管理要求</w:t>
            </w:r>
          </w:p>
          <w:p w14:paraId="5E1CBDF8">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项目生活垃圾应分类收集，避雨堆放，定期委托环卫部门清运处理。</w:t>
            </w:r>
            <w:r>
              <w:rPr>
                <w:rFonts w:hint="eastAsia" w:ascii="Times New Roman" w:hAnsi="Times New Roman" w:eastAsia="宋体" w:cs="Times New Roman"/>
                <w:color w:val="auto"/>
                <w:sz w:val="24"/>
                <w:szCs w:val="24"/>
                <w:highlight w:val="none"/>
                <w:lang w:val="en-US" w:eastAsia="zh-CN"/>
              </w:rPr>
              <w:t>废油脂</w:t>
            </w:r>
            <w:r>
              <w:rPr>
                <w:rFonts w:hint="eastAsia" w:ascii="Times New Roman" w:hAnsi="Times New Roman" w:eastAsia="宋体" w:cs="Times New Roman"/>
                <w:color w:val="auto"/>
                <w:kern w:val="24"/>
                <w:sz w:val="24"/>
                <w:szCs w:val="24"/>
                <w:highlight w:val="none"/>
                <w:lang w:eastAsia="zh-CN"/>
              </w:rPr>
              <w:t>交专业单位进行回收处置。</w:t>
            </w:r>
          </w:p>
          <w:p w14:paraId="15501C5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（2）一般固体废物处理措施</w:t>
            </w:r>
          </w:p>
          <w:p w14:paraId="2D8726D8">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项目一般固体废物</w:t>
            </w:r>
            <w:r>
              <w:rPr>
                <w:rFonts w:hint="default" w:ascii="Times New Roman" w:hAnsi="Times New Roman" w:eastAsia="宋体" w:cs="Times New Roman"/>
                <w:color w:val="auto"/>
                <w:sz w:val="24"/>
                <w:szCs w:val="24"/>
                <w:highlight w:val="none"/>
                <w:lang w:val="en-US" w:eastAsia="zh-CN"/>
              </w:rPr>
              <w:t>暂存于</w:t>
            </w:r>
            <w:r>
              <w:rPr>
                <w:rFonts w:hint="default" w:ascii="Times New Roman" w:hAnsi="Times New Roman" w:eastAsia="宋体" w:cs="Times New Roman"/>
                <w:color w:val="auto"/>
                <w:sz w:val="24"/>
                <w:szCs w:val="24"/>
                <w:highlight w:val="none"/>
              </w:rPr>
              <w:t>固废暂存场所，厂内一般固废临时贮存应注意：</w:t>
            </w:r>
          </w:p>
          <w:p w14:paraId="41408412">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①对一般固体废物实行从产生、收集、运输、贮存直至最终处理实行全过程管理，加强固体废物运输过程的事故风险防范，按照有关</w:t>
            </w:r>
            <w:r>
              <w:rPr>
                <w:rFonts w:hint="eastAsia" w:ascii="Times New Roman" w:hAnsi="Times New Roman" w:eastAsia="宋体" w:cs="Times New Roman"/>
                <w:color w:val="auto"/>
                <w:sz w:val="24"/>
                <w:szCs w:val="24"/>
                <w:highlight w:val="none"/>
                <w:lang w:eastAsia="zh-CN"/>
              </w:rPr>
              <w:t>法律法规</w:t>
            </w:r>
            <w:r>
              <w:rPr>
                <w:rFonts w:hint="default" w:ascii="Times New Roman" w:hAnsi="Times New Roman" w:eastAsia="宋体" w:cs="Times New Roman"/>
                <w:color w:val="auto"/>
                <w:sz w:val="24"/>
                <w:szCs w:val="24"/>
                <w:highlight w:val="none"/>
              </w:rPr>
              <w:t>的要求，对固体废弃物全过程管理应报当地环保行政主管部门等批准。</w:t>
            </w:r>
          </w:p>
          <w:p w14:paraId="0856ABC3">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②一般固废暂存场所的建设应满足：贮存区采取防风防雨措施；各类固废应分类收集、定点堆放，堆放场所远离办公区和周围环境敏感点；贮存区按照《</w:t>
            </w:r>
            <w:r>
              <w:rPr>
                <w:rFonts w:hint="eastAsia" w:cs="Times New Roman"/>
                <w:color w:val="auto"/>
                <w:sz w:val="24"/>
                <w:szCs w:val="24"/>
                <w:highlight w:val="none"/>
                <w:lang w:eastAsia="zh-CN"/>
              </w:rPr>
              <w:t>环境保护图形标志 固体废物贮存（处置）场</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eastAsia="zh-CN"/>
              </w:rPr>
              <w:t>GB 15562.2-1995</w:t>
            </w:r>
            <w:r>
              <w:rPr>
                <w:rFonts w:hint="default" w:ascii="Times New Roman" w:hAnsi="Times New Roman" w:eastAsia="宋体" w:cs="Times New Roman"/>
                <w:color w:val="auto"/>
                <w:sz w:val="24"/>
                <w:szCs w:val="24"/>
                <w:highlight w:val="none"/>
              </w:rPr>
              <w:t>）的要求设置环保图形标志；指定专人进行日常管理；同时禁止危险废物及生活垃圾混入。</w:t>
            </w:r>
          </w:p>
          <w:p w14:paraId="27DE8A10">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（3）危险废物防治措施</w:t>
            </w:r>
          </w:p>
          <w:p w14:paraId="26BB495B">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1）危险废物收集要求</w:t>
            </w:r>
          </w:p>
          <w:p w14:paraId="10AE75CF">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①性质类似的废物可收集到同一容器中、性质不相容的危险废物不应混合包装；</w:t>
            </w:r>
          </w:p>
          <w:p w14:paraId="44A9C270">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②危险废物包装应能有效隔断危险废物迁移扩散途径，并达到防渗、防漏要求；</w:t>
            </w:r>
          </w:p>
          <w:p w14:paraId="5745DE32">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③在危险废物的收集和转运过程中，应采取相应的安全防护和污染防治措施，包括防风、防雨、防晒、防渗漏或其他防止污染环境的措施；</w:t>
            </w:r>
          </w:p>
          <w:p w14:paraId="36510FF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④危险废物内部转运应考虑厂区的实际情况确定转运路线，尽量避开办公区和生活区；</w:t>
            </w:r>
          </w:p>
          <w:p w14:paraId="2A185DD2">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⑤危险废物内部转运结束后，应对转运路线进行检查和清理，确保无危险废物遗失在转运路线上，并对转运工具进行清洗；</w:t>
            </w:r>
          </w:p>
          <w:p w14:paraId="6F81D4E9">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⑥收集过危险废物的容器、设备、设施、场所及其他物品转作他用时，应消除污染，确保其使用安全。</w:t>
            </w:r>
            <w:r>
              <w:rPr>
                <w:rFonts w:hint="eastAsia" w:cs="Times New Roman"/>
                <w:color w:val="auto"/>
                <w:sz w:val="24"/>
                <w:szCs w:val="24"/>
                <w:highlight w:val="none"/>
                <w:lang w:val="en-US" w:eastAsia="zh-CN"/>
              </w:rPr>
              <w:t xml:space="preserve">  </w:t>
            </w:r>
          </w:p>
          <w:p w14:paraId="4D0D077A">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2）危险废物贮存要求</w:t>
            </w:r>
          </w:p>
          <w:p w14:paraId="19FFE35B">
            <w:pPr>
              <w:spacing w:line="360" w:lineRule="auto"/>
              <w:ind w:firstLine="480" w:firstLineChars="200"/>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危险废物贮存设施应严格按照《危险废物贮存污染控制标准》（GB18597-2023）相关要求进行设计：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贮存设施或贮存分区内地面、墙面裙脚、堵截泄漏的围堰、接触危险废物的隔板和墙体等应采用坚固的材料建造，表面无裂缝；贮存设施地面与裙脚应采取表面防渗措施；表面防渗材料应与所接触的物料或污染物相容，可采用抗渗混凝土、高密度聚乙烯膜、钠基膨润土防水毯或其他防渗性能等效的材料；同一贮存设施宜采用相同的防渗、防腐工艺（包括防渗、防腐结构或材料），防渗、防腐材料应覆盖所有可能与废物及其渗滤液、渗漏液等接触的构筑物表面，采用不同防渗、防腐工艺应分别建设贮存分区；贮存设施应采取技术和管理措施防止无关人员进入。</w:t>
            </w:r>
            <w:r>
              <w:rPr>
                <w:rFonts w:hint="eastAsia" w:cs="Times New Roman"/>
                <w:color w:val="auto"/>
                <w:sz w:val="24"/>
                <w:szCs w:val="24"/>
                <w:highlight w:val="none"/>
                <w:lang w:val="en-US" w:eastAsia="zh-CN"/>
              </w:rPr>
              <w:t>危险废物</w:t>
            </w:r>
            <w:r>
              <w:rPr>
                <w:rFonts w:hint="default" w:ascii="Times New Roman" w:hAnsi="Times New Roman" w:eastAsia="宋体" w:cs="Times New Roman"/>
                <w:color w:val="auto"/>
                <w:sz w:val="24"/>
                <w:szCs w:val="24"/>
                <w:highlight w:val="none"/>
              </w:rPr>
              <w:t>密闭存贮、负压通风、定期清运</w:t>
            </w:r>
            <w:r>
              <w:rPr>
                <w:rFonts w:hint="eastAsia" w:cs="Times New Roman"/>
                <w:color w:val="auto"/>
                <w:sz w:val="24"/>
                <w:szCs w:val="24"/>
                <w:highlight w:val="none"/>
                <w:lang w:eastAsia="zh-CN"/>
              </w:rPr>
              <w:t>。</w:t>
            </w:r>
          </w:p>
          <w:p w14:paraId="54D0D291">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项目危险废物的暂存场所设置情况如下表。</w:t>
            </w:r>
          </w:p>
          <w:p w14:paraId="78BBDEA5">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 xml:space="preserve">39 </w:t>
            </w:r>
            <w:r>
              <w:rPr>
                <w:rFonts w:hint="default" w:ascii="Times New Roman" w:hAnsi="Times New Roman" w:eastAsia="宋体" w:cs="Times New Roman"/>
                <w:b/>
                <w:bCs/>
                <w:color w:val="auto"/>
                <w:sz w:val="21"/>
                <w:szCs w:val="21"/>
                <w:highlight w:val="none"/>
                <w:lang w:val="en-US" w:eastAsia="zh-CN"/>
              </w:rPr>
              <w:t>危险废物贮存场所基本情况表</w:t>
            </w:r>
          </w:p>
          <w:tbl>
            <w:tblPr>
              <w:tblStyle w:val="48"/>
              <w:tblW w:w="842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362"/>
              <w:gridCol w:w="1212"/>
              <w:gridCol w:w="1932"/>
              <w:gridCol w:w="780"/>
              <w:gridCol w:w="1087"/>
              <w:gridCol w:w="571"/>
              <w:gridCol w:w="652"/>
              <w:gridCol w:w="665"/>
              <w:gridCol w:w="653"/>
              <w:gridCol w:w="512"/>
            </w:tblGrid>
            <w:tr w14:paraId="5555EF3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5429EECA">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序号</w:t>
                  </w:r>
                </w:p>
              </w:tc>
              <w:tc>
                <w:tcPr>
                  <w:tcW w:w="1212" w:type="dxa"/>
                  <w:tcBorders>
                    <w:tl2br w:val="nil"/>
                    <w:tr2bl w:val="nil"/>
                  </w:tcBorders>
                  <w:noWrap w:val="0"/>
                  <w:vAlign w:val="center"/>
                </w:tcPr>
                <w:p w14:paraId="0A21A122">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贮存场所（设施）名称</w:t>
                  </w:r>
                </w:p>
              </w:tc>
              <w:tc>
                <w:tcPr>
                  <w:tcW w:w="1932" w:type="dxa"/>
                  <w:tcBorders>
                    <w:tl2br w:val="nil"/>
                    <w:tr2bl w:val="nil"/>
                  </w:tcBorders>
                  <w:noWrap w:val="0"/>
                  <w:vAlign w:val="center"/>
                </w:tcPr>
                <w:p w14:paraId="140257CF">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危险废物名称</w:t>
                  </w:r>
                </w:p>
              </w:tc>
              <w:tc>
                <w:tcPr>
                  <w:tcW w:w="780" w:type="dxa"/>
                  <w:tcBorders>
                    <w:tl2br w:val="nil"/>
                    <w:tr2bl w:val="nil"/>
                  </w:tcBorders>
                  <w:noWrap w:val="0"/>
                  <w:vAlign w:val="center"/>
                </w:tcPr>
                <w:p w14:paraId="6FCE655B">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危险废物类别</w:t>
                  </w:r>
                </w:p>
              </w:tc>
              <w:tc>
                <w:tcPr>
                  <w:tcW w:w="1087" w:type="dxa"/>
                  <w:tcBorders>
                    <w:tl2br w:val="nil"/>
                    <w:tr2bl w:val="nil"/>
                  </w:tcBorders>
                  <w:noWrap w:val="0"/>
                  <w:vAlign w:val="center"/>
                </w:tcPr>
                <w:p w14:paraId="1902C283">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危险废物代码</w:t>
                  </w:r>
                </w:p>
              </w:tc>
              <w:tc>
                <w:tcPr>
                  <w:tcW w:w="571" w:type="dxa"/>
                  <w:tcBorders>
                    <w:tl2br w:val="nil"/>
                    <w:tr2bl w:val="nil"/>
                  </w:tcBorders>
                  <w:noWrap w:val="0"/>
                  <w:vAlign w:val="center"/>
                </w:tcPr>
                <w:p w14:paraId="000B0C1C">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位置</w:t>
                  </w:r>
                </w:p>
              </w:tc>
              <w:tc>
                <w:tcPr>
                  <w:tcW w:w="652" w:type="dxa"/>
                  <w:tcBorders>
                    <w:tl2br w:val="nil"/>
                    <w:tr2bl w:val="nil"/>
                  </w:tcBorders>
                  <w:noWrap w:val="0"/>
                  <w:vAlign w:val="center"/>
                </w:tcPr>
                <w:p w14:paraId="4DA34DC1">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占地面积</w:t>
                  </w:r>
                </w:p>
              </w:tc>
              <w:tc>
                <w:tcPr>
                  <w:tcW w:w="665" w:type="dxa"/>
                  <w:tcBorders>
                    <w:tl2br w:val="nil"/>
                    <w:tr2bl w:val="nil"/>
                  </w:tcBorders>
                  <w:noWrap w:val="0"/>
                  <w:vAlign w:val="center"/>
                </w:tcPr>
                <w:p w14:paraId="260F6621">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贮存方式</w:t>
                  </w:r>
                </w:p>
              </w:tc>
              <w:tc>
                <w:tcPr>
                  <w:tcW w:w="653" w:type="dxa"/>
                  <w:tcBorders>
                    <w:tl2br w:val="nil"/>
                    <w:tr2bl w:val="nil"/>
                  </w:tcBorders>
                  <w:noWrap w:val="0"/>
                  <w:vAlign w:val="center"/>
                </w:tcPr>
                <w:p w14:paraId="1EE551D5">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贮存能力</w:t>
                  </w:r>
                </w:p>
              </w:tc>
              <w:tc>
                <w:tcPr>
                  <w:tcW w:w="512" w:type="dxa"/>
                  <w:tcBorders>
                    <w:tl2br w:val="nil"/>
                    <w:tr2bl w:val="nil"/>
                  </w:tcBorders>
                  <w:noWrap w:val="0"/>
                  <w:vAlign w:val="center"/>
                </w:tcPr>
                <w:p w14:paraId="14E9842D">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贮存周期</w:t>
                  </w:r>
                </w:p>
              </w:tc>
            </w:tr>
            <w:tr w14:paraId="0C6343E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46C6D9F2">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w:t>
                  </w:r>
                </w:p>
              </w:tc>
              <w:tc>
                <w:tcPr>
                  <w:tcW w:w="1212" w:type="dxa"/>
                  <w:vMerge w:val="restart"/>
                  <w:tcBorders>
                    <w:tl2br w:val="nil"/>
                    <w:tr2bl w:val="nil"/>
                  </w:tcBorders>
                  <w:noWrap w:val="0"/>
                  <w:vAlign w:val="center"/>
                </w:tcPr>
                <w:p w14:paraId="084AB766">
                  <w:pPr>
                    <w:widowControl/>
                    <w:spacing w:line="240" w:lineRule="auto"/>
                    <w:jc w:val="center"/>
                    <w:textAlignment w:val="center"/>
                    <w:rPr>
                      <w:rFonts w:hint="eastAsia" w:ascii="Times New Roman" w:hAnsi="Times New Roman" w:eastAsia="宋体" w:cs="Times New Roman"/>
                      <w:color w:val="auto"/>
                      <w:kern w:val="0"/>
                      <w:sz w:val="21"/>
                      <w:szCs w:val="21"/>
                      <w:highlight w:val="none"/>
                      <w:lang w:eastAsia="zh-CN" w:bidi="ar"/>
                    </w:rPr>
                  </w:pPr>
                  <w:r>
                    <w:rPr>
                      <w:rFonts w:hint="eastAsia" w:cs="Times New Roman"/>
                      <w:color w:val="auto"/>
                      <w:kern w:val="0"/>
                      <w:sz w:val="21"/>
                      <w:szCs w:val="21"/>
                      <w:highlight w:val="none"/>
                      <w:lang w:eastAsia="zh-CN" w:bidi="ar"/>
                    </w:rPr>
                    <w:t>危险废物贮存间</w:t>
                  </w:r>
                </w:p>
              </w:tc>
              <w:tc>
                <w:tcPr>
                  <w:tcW w:w="1932" w:type="dxa"/>
                  <w:tcBorders>
                    <w:bottom w:val="single" w:color="auto" w:sz="4" w:space="0"/>
                    <w:tl2br w:val="nil"/>
                    <w:tr2bl w:val="nil"/>
                  </w:tcBorders>
                  <w:noWrap w:val="0"/>
                  <w:vAlign w:val="center"/>
                </w:tcPr>
                <w:p w14:paraId="1E872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废表面处理剂包装桶</w:t>
                  </w:r>
                </w:p>
              </w:tc>
              <w:tc>
                <w:tcPr>
                  <w:tcW w:w="780" w:type="dxa"/>
                  <w:tcBorders>
                    <w:bottom w:val="single" w:color="auto" w:sz="4" w:space="0"/>
                    <w:tl2br w:val="nil"/>
                    <w:tr2bl w:val="nil"/>
                  </w:tcBorders>
                  <w:noWrap w:val="0"/>
                  <w:vAlign w:val="center"/>
                </w:tcPr>
                <w:p w14:paraId="4F6DFFFE">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1087" w:type="dxa"/>
                  <w:tcBorders>
                    <w:bottom w:val="single" w:color="auto" w:sz="4" w:space="0"/>
                    <w:tl2br w:val="nil"/>
                    <w:tr2bl w:val="nil"/>
                  </w:tcBorders>
                  <w:noWrap w:val="0"/>
                  <w:vAlign w:val="center"/>
                </w:tcPr>
                <w:p w14:paraId="4FFFF89A">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bCs/>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571" w:type="dxa"/>
                  <w:vMerge w:val="restart"/>
                  <w:tcBorders>
                    <w:tl2br w:val="nil"/>
                    <w:tr2bl w:val="nil"/>
                  </w:tcBorders>
                  <w:noWrap w:val="0"/>
                  <w:vAlign w:val="center"/>
                </w:tcPr>
                <w:p w14:paraId="27B425E4">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5</w:t>
                  </w:r>
                  <w:r>
                    <w:rPr>
                      <w:rFonts w:hint="default" w:ascii="Times New Roman" w:hAnsi="Times New Roman" w:eastAsia="宋体" w:cs="Times New Roman"/>
                      <w:color w:val="auto"/>
                      <w:kern w:val="0"/>
                      <w:sz w:val="21"/>
                      <w:szCs w:val="21"/>
                      <w:highlight w:val="none"/>
                      <w:lang w:val="en-US" w:eastAsia="zh-CN" w:bidi="ar"/>
                    </w:rPr>
                    <w:t>#厂房</w:t>
                  </w:r>
                  <w:r>
                    <w:rPr>
                      <w:rFonts w:hint="eastAsia" w:cs="Times New Roman"/>
                      <w:color w:val="auto"/>
                      <w:kern w:val="0"/>
                      <w:sz w:val="21"/>
                      <w:szCs w:val="21"/>
                      <w:highlight w:val="none"/>
                      <w:lang w:val="en-US" w:eastAsia="zh-CN" w:bidi="ar"/>
                    </w:rPr>
                    <w:t>东</w:t>
                  </w:r>
                  <w:r>
                    <w:rPr>
                      <w:rFonts w:hint="default" w:ascii="Times New Roman" w:hAnsi="Times New Roman" w:eastAsia="宋体" w:cs="Times New Roman"/>
                      <w:color w:val="auto"/>
                      <w:kern w:val="0"/>
                      <w:sz w:val="21"/>
                      <w:szCs w:val="21"/>
                      <w:highlight w:val="none"/>
                      <w:lang w:val="en-US" w:eastAsia="zh-CN" w:bidi="ar"/>
                    </w:rPr>
                    <w:t>北侧</w:t>
                  </w:r>
                </w:p>
              </w:tc>
              <w:tc>
                <w:tcPr>
                  <w:tcW w:w="652" w:type="dxa"/>
                  <w:vMerge w:val="restart"/>
                  <w:tcBorders>
                    <w:tl2br w:val="nil"/>
                    <w:tr2bl w:val="nil"/>
                  </w:tcBorders>
                  <w:noWrap w:val="0"/>
                  <w:vAlign w:val="center"/>
                </w:tcPr>
                <w:p w14:paraId="0FAE59FA">
                  <w:pPr>
                    <w:widowControl/>
                    <w:spacing w:line="240" w:lineRule="auto"/>
                    <w:jc w:val="center"/>
                    <w:textAlignment w:val="center"/>
                    <w:rPr>
                      <w:rFonts w:hint="default" w:ascii="Times New Roman" w:hAnsi="Times New Roman" w:eastAsia="宋体" w:cs="Times New Roman"/>
                      <w:color w:val="auto"/>
                      <w:kern w:val="0"/>
                      <w:sz w:val="21"/>
                      <w:szCs w:val="21"/>
                      <w:highlight w:val="none"/>
                      <w:vertAlign w:val="baseline"/>
                      <w:lang w:val="en-US" w:eastAsia="zh-CN" w:bidi="ar"/>
                    </w:rPr>
                  </w:pPr>
                  <w:r>
                    <w:rPr>
                      <w:rFonts w:hint="eastAsia" w:cs="Times New Roman"/>
                      <w:color w:val="auto"/>
                      <w:kern w:val="0"/>
                      <w:sz w:val="21"/>
                      <w:szCs w:val="21"/>
                      <w:highlight w:val="none"/>
                      <w:lang w:val="en-US" w:eastAsia="zh-CN" w:bidi="ar"/>
                    </w:rPr>
                    <w:t>5</w:t>
                  </w:r>
                  <w:r>
                    <w:rPr>
                      <w:rFonts w:hint="default" w:ascii="Times New Roman" w:hAnsi="Times New Roman" w:eastAsia="宋体" w:cs="Times New Roman"/>
                      <w:color w:val="auto"/>
                      <w:kern w:val="0"/>
                      <w:sz w:val="21"/>
                      <w:szCs w:val="21"/>
                      <w:highlight w:val="none"/>
                      <w:lang w:val="en-US" w:eastAsia="zh-CN" w:bidi="ar"/>
                    </w:rPr>
                    <w:t>0</w:t>
                  </w:r>
                  <w:r>
                    <w:rPr>
                      <w:rFonts w:hint="default" w:ascii="Times New Roman" w:hAnsi="Times New Roman" w:eastAsia="宋体" w:cs="Times New Roman"/>
                      <w:color w:val="auto"/>
                      <w:kern w:val="0"/>
                      <w:sz w:val="21"/>
                      <w:szCs w:val="21"/>
                      <w:highlight w:val="none"/>
                      <w:lang w:bidi="ar"/>
                    </w:rPr>
                    <w:t>m</w:t>
                  </w:r>
                  <w:r>
                    <w:rPr>
                      <w:rFonts w:hint="default" w:ascii="Times New Roman" w:hAnsi="Times New Roman" w:eastAsia="宋体" w:cs="Times New Roman"/>
                      <w:color w:val="auto"/>
                      <w:kern w:val="0"/>
                      <w:sz w:val="21"/>
                      <w:szCs w:val="21"/>
                      <w:highlight w:val="none"/>
                      <w:vertAlign w:val="superscript"/>
                      <w:lang w:bidi="ar"/>
                    </w:rPr>
                    <w:t>2</w:t>
                  </w:r>
                  <w:r>
                    <w:rPr>
                      <w:rFonts w:hint="eastAsia" w:cs="Times New Roman"/>
                      <w:color w:val="auto"/>
                      <w:kern w:val="0"/>
                      <w:sz w:val="21"/>
                      <w:szCs w:val="21"/>
                      <w:highlight w:val="none"/>
                      <w:vertAlign w:val="baseline"/>
                      <w:lang w:eastAsia="zh-CN" w:bidi="ar"/>
                    </w:rPr>
                    <w:t>，</w:t>
                  </w:r>
                  <w:r>
                    <w:rPr>
                      <w:rFonts w:hint="eastAsia" w:cs="Times New Roman"/>
                      <w:color w:val="auto"/>
                      <w:kern w:val="0"/>
                      <w:sz w:val="21"/>
                      <w:szCs w:val="21"/>
                      <w:highlight w:val="none"/>
                      <w:vertAlign w:val="baseline"/>
                      <w:lang w:val="en-US" w:eastAsia="zh-CN" w:bidi="ar"/>
                    </w:rPr>
                    <w:t>贮存能力45t</w:t>
                  </w:r>
                </w:p>
              </w:tc>
              <w:tc>
                <w:tcPr>
                  <w:tcW w:w="665" w:type="dxa"/>
                  <w:tcBorders>
                    <w:tl2br w:val="nil"/>
                    <w:tr2bl w:val="nil"/>
                  </w:tcBorders>
                  <w:noWrap w:val="0"/>
                  <w:vAlign w:val="center"/>
                </w:tcPr>
                <w:p w14:paraId="51DDCB7A">
                  <w:pPr>
                    <w:widowControl/>
                    <w:spacing w:line="240" w:lineRule="auto"/>
                    <w:jc w:val="center"/>
                    <w:textAlignment w:val="center"/>
                    <w:rPr>
                      <w:rFonts w:hint="default" w:ascii="Times New Roman" w:hAnsi="Times New Roman" w:eastAsia="宋体" w:cs="Times New Roman"/>
                      <w:color w:val="auto"/>
                      <w:kern w:val="0"/>
                      <w:sz w:val="21"/>
                      <w:szCs w:val="21"/>
                      <w:highlight w:val="none"/>
                      <w:lang w:eastAsia="zh-CN" w:bidi="ar"/>
                    </w:rPr>
                  </w:pPr>
                  <w:r>
                    <w:rPr>
                      <w:rFonts w:hint="default" w:ascii="Times New Roman" w:hAnsi="Times New Roman" w:eastAsia="宋体" w:cs="Times New Roman"/>
                      <w:color w:val="auto"/>
                      <w:kern w:val="0"/>
                      <w:sz w:val="21"/>
                      <w:szCs w:val="21"/>
                      <w:highlight w:val="none"/>
                      <w:lang w:val="en-US" w:eastAsia="zh-CN" w:bidi="ar"/>
                    </w:rPr>
                    <w:t>堆存</w:t>
                  </w:r>
                </w:p>
              </w:tc>
              <w:tc>
                <w:tcPr>
                  <w:tcW w:w="653" w:type="dxa"/>
                  <w:tcBorders>
                    <w:tl2br w:val="nil"/>
                    <w:tr2bl w:val="nil"/>
                  </w:tcBorders>
                  <w:noWrap w:val="0"/>
                  <w:vAlign w:val="center"/>
                </w:tcPr>
                <w:p w14:paraId="6A801FC1">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w:t>
                  </w:r>
                  <w:r>
                    <w:rPr>
                      <w:rFonts w:hint="default" w:ascii="Times New Roman" w:hAnsi="Times New Roman" w:eastAsia="宋体" w:cs="Times New Roman"/>
                      <w:color w:val="auto"/>
                      <w:kern w:val="0"/>
                      <w:sz w:val="21"/>
                      <w:szCs w:val="21"/>
                      <w:highlight w:val="none"/>
                      <w:lang w:val="en-US" w:eastAsia="zh-CN" w:bidi="ar"/>
                    </w:rPr>
                    <w:t>t</w:t>
                  </w:r>
                </w:p>
              </w:tc>
              <w:tc>
                <w:tcPr>
                  <w:tcW w:w="512" w:type="dxa"/>
                  <w:tcBorders>
                    <w:tl2br w:val="nil"/>
                    <w:tr2bl w:val="nil"/>
                  </w:tcBorders>
                  <w:noWrap w:val="0"/>
                  <w:vAlign w:val="center"/>
                </w:tcPr>
                <w:p w14:paraId="76BA2CB7">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1年</w:t>
                  </w:r>
                </w:p>
              </w:tc>
            </w:tr>
            <w:tr w14:paraId="71C5688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61C89A9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2</w:t>
                  </w:r>
                </w:p>
              </w:tc>
              <w:tc>
                <w:tcPr>
                  <w:tcW w:w="1212" w:type="dxa"/>
                  <w:vMerge w:val="continue"/>
                  <w:tcBorders>
                    <w:tl2br w:val="nil"/>
                    <w:tr2bl w:val="nil"/>
                  </w:tcBorders>
                  <w:noWrap w:val="0"/>
                  <w:vAlign w:val="center"/>
                </w:tcPr>
                <w:p w14:paraId="5648404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tcBorders>
                    <w:bottom w:val="single" w:color="auto" w:sz="4" w:space="0"/>
                    <w:tl2br w:val="nil"/>
                    <w:tr2bl w:val="nil"/>
                  </w:tcBorders>
                  <w:noWrap w:val="0"/>
                  <w:vAlign w:val="center"/>
                </w:tcPr>
                <w:p w14:paraId="1B3C89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预处理池泥渣及管道循环装置废物</w:t>
                  </w:r>
                </w:p>
              </w:tc>
              <w:tc>
                <w:tcPr>
                  <w:tcW w:w="780" w:type="dxa"/>
                  <w:tcBorders>
                    <w:top w:val="single" w:color="auto" w:sz="4" w:space="0"/>
                    <w:bottom w:val="single" w:color="auto" w:sz="4" w:space="0"/>
                    <w:tl2br w:val="nil"/>
                    <w:tr2bl w:val="nil"/>
                  </w:tcBorders>
                  <w:noWrap w:val="0"/>
                  <w:vAlign w:val="center"/>
                </w:tcPr>
                <w:p w14:paraId="5F769328">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HW17</w:t>
                  </w:r>
                </w:p>
              </w:tc>
              <w:tc>
                <w:tcPr>
                  <w:tcW w:w="1087" w:type="dxa"/>
                  <w:tcBorders>
                    <w:top w:val="single" w:color="auto" w:sz="4" w:space="0"/>
                    <w:tl2br w:val="nil"/>
                    <w:tr2bl w:val="nil"/>
                  </w:tcBorders>
                  <w:noWrap w:val="0"/>
                  <w:vAlign w:val="center"/>
                </w:tcPr>
                <w:p w14:paraId="2FEF642C">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571" w:type="dxa"/>
                  <w:vMerge w:val="continue"/>
                  <w:tcBorders>
                    <w:tl2br w:val="nil"/>
                    <w:tr2bl w:val="nil"/>
                  </w:tcBorders>
                  <w:noWrap w:val="0"/>
                  <w:vAlign w:val="center"/>
                </w:tcPr>
                <w:p w14:paraId="17F8811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652" w:type="dxa"/>
                  <w:vMerge w:val="continue"/>
                  <w:tcBorders>
                    <w:tl2br w:val="nil"/>
                    <w:tr2bl w:val="nil"/>
                  </w:tcBorders>
                  <w:noWrap w:val="0"/>
                  <w:vAlign w:val="center"/>
                </w:tcPr>
                <w:p w14:paraId="385E9CC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665" w:type="dxa"/>
                  <w:tcBorders>
                    <w:tl2br w:val="nil"/>
                    <w:tr2bl w:val="nil"/>
                  </w:tcBorders>
                  <w:noWrap w:val="0"/>
                  <w:vAlign w:val="center"/>
                </w:tcPr>
                <w:p w14:paraId="59B2C343">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tcBorders>
                    <w:tl2br w:val="nil"/>
                    <w:tr2bl w:val="nil"/>
                  </w:tcBorders>
                  <w:noWrap w:val="0"/>
                  <w:vAlign w:val="center"/>
                </w:tcPr>
                <w:p w14:paraId="4EE85D91">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w:t>
                  </w:r>
                  <w:r>
                    <w:rPr>
                      <w:rFonts w:hint="eastAsia" w:ascii="Times New Roman" w:hAnsi="Times New Roman" w:eastAsia="宋体" w:cs="Times New Roman"/>
                      <w:color w:val="auto"/>
                      <w:kern w:val="0"/>
                      <w:sz w:val="21"/>
                      <w:szCs w:val="21"/>
                      <w:highlight w:val="none"/>
                      <w:lang w:val="en-US" w:eastAsia="zh-CN" w:bidi="ar"/>
                    </w:rPr>
                    <w:t>t</w:t>
                  </w:r>
                </w:p>
              </w:tc>
              <w:tc>
                <w:tcPr>
                  <w:tcW w:w="512" w:type="dxa"/>
                  <w:tcBorders>
                    <w:tl2br w:val="nil"/>
                    <w:tr2bl w:val="nil"/>
                  </w:tcBorders>
                  <w:noWrap w:val="0"/>
                  <w:vAlign w:val="center"/>
                </w:tcPr>
                <w:p w14:paraId="6E12479D">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1年</w:t>
                  </w:r>
                </w:p>
              </w:tc>
            </w:tr>
            <w:tr w14:paraId="269B791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16BE3AC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3</w:t>
                  </w:r>
                </w:p>
              </w:tc>
              <w:tc>
                <w:tcPr>
                  <w:tcW w:w="1212" w:type="dxa"/>
                  <w:vMerge w:val="continue"/>
                  <w:tcBorders>
                    <w:tl2br w:val="nil"/>
                    <w:tr2bl w:val="nil"/>
                  </w:tcBorders>
                  <w:noWrap w:val="0"/>
                  <w:vAlign w:val="center"/>
                </w:tcPr>
                <w:p w14:paraId="74D71D6B">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tcBorders>
                    <w:top w:val="single" w:color="auto" w:sz="4" w:space="0"/>
                    <w:tl2br w:val="nil"/>
                    <w:tr2bl w:val="nil"/>
                  </w:tcBorders>
                  <w:noWrap w:val="0"/>
                  <w:vAlign w:val="center"/>
                </w:tcPr>
                <w:p w14:paraId="6D742F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无铬钝化池废槽液</w:t>
                  </w:r>
                </w:p>
              </w:tc>
              <w:tc>
                <w:tcPr>
                  <w:tcW w:w="780" w:type="dxa"/>
                  <w:tcBorders>
                    <w:top w:val="single" w:color="auto" w:sz="4" w:space="0"/>
                    <w:bottom w:val="single" w:color="auto" w:sz="4" w:space="0"/>
                    <w:tl2br w:val="nil"/>
                    <w:tr2bl w:val="nil"/>
                  </w:tcBorders>
                  <w:noWrap w:val="0"/>
                  <w:vAlign w:val="center"/>
                </w:tcPr>
                <w:p w14:paraId="1A4F874F">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HW17</w:t>
                  </w:r>
                </w:p>
              </w:tc>
              <w:tc>
                <w:tcPr>
                  <w:tcW w:w="1087" w:type="dxa"/>
                  <w:tcBorders>
                    <w:bottom w:val="single" w:color="auto" w:sz="4" w:space="0"/>
                    <w:tl2br w:val="nil"/>
                    <w:tr2bl w:val="nil"/>
                  </w:tcBorders>
                  <w:noWrap w:val="0"/>
                  <w:vAlign w:val="center"/>
                </w:tcPr>
                <w:p w14:paraId="4E57E677">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571" w:type="dxa"/>
                  <w:vMerge w:val="continue"/>
                  <w:tcBorders>
                    <w:tl2br w:val="nil"/>
                    <w:tr2bl w:val="nil"/>
                  </w:tcBorders>
                  <w:noWrap w:val="0"/>
                  <w:vAlign w:val="center"/>
                </w:tcPr>
                <w:p w14:paraId="4F7281B3">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tcBorders>
                    <w:tl2br w:val="nil"/>
                    <w:tr2bl w:val="nil"/>
                  </w:tcBorders>
                  <w:noWrap w:val="0"/>
                  <w:vAlign w:val="center"/>
                </w:tcPr>
                <w:p w14:paraId="7402CF9E">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tcBorders>
                    <w:tl2br w:val="nil"/>
                    <w:tr2bl w:val="nil"/>
                  </w:tcBorders>
                  <w:noWrap w:val="0"/>
                  <w:vAlign w:val="center"/>
                </w:tcPr>
                <w:p w14:paraId="11506E6E">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tcBorders>
                    <w:tl2br w:val="nil"/>
                    <w:tr2bl w:val="nil"/>
                  </w:tcBorders>
                  <w:noWrap w:val="0"/>
                  <w:vAlign w:val="center"/>
                </w:tcPr>
                <w:p w14:paraId="57F7DF8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15</w:t>
                  </w:r>
                  <w:r>
                    <w:rPr>
                      <w:rFonts w:hint="default" w:ascii="Times New Roman" w:hAnsi="Times New Roman" w:eastAsia="宋体" w:cs="Times New Roman"/>
                      <w:color w:val="auto"/>
                      <w:kern w:val="0"/>
                      <w:sz w:val="21"/>
                      <w:szCs w:val="21"/>
                      <w:highlight w:val="none"/>
                      <w:lang w:val="en-US" w:eastAsia="zh-CN" w:bidi="ar"/>
                    </w:rPr>
                    <w:t>t</w:t>
                  </w:r>
                </w:p>
              </w:tc>
              <w:tc>
                <w:tcPr>
                  <w:tcW w:w="512" w:type="dxa"/>
                  <w:tcBorders>
                    <w:tl2br w:val="nil"/>
                    <w:tr2bl w:val="nil"/>
                  </w:tcBorders>
                  <w:noWrap w:val="0"/>
                  <w:vAlign w:val="center"/>
                </w:tcPr>
                <w:p w14:paraId="48FDFFAB">
                  <w:pPr>
                    <w:widowControl/>
                    <w:spacing w:line="240" w:lineRule="auto"/>
                    <w:jc w:val="center"/>
                    <w:textAlignment w:val="center"/>
                    <w:rPr>
                      <w:rFonts w:hint="eastAsia" w:ascii="Times New Roman" w:hAnsi="Times New Roman" w:eastAsia="宋体" w:cs="Times New Roman"/>
                      <w:color w:val="auto"/>
                      <w:kern w:val="0"/>
                      <w:sz w:val="21"/>
                      <w:szCs w:val="21"/>
                      <w:highlight w:val="none"/>
                      <w:lang w:eastAsia="zh-CN" w:bidi="ar"/>
                    </w:rPr>
                  </w:pPr>
                  <w:r>
                    <w:rPr>
                      <w:rFonts w:hint="eastAsia" w:ascii="Times New Roman" w:hAnsi="Times New Roman" w:eastAsia="宋体" w:cs="Times New Roman"/>
                      <w:color w:val="auto"/>
                      <w:kern w:val="0"/>
                      <w:sz w:val="21"/>
                      <w:szCs w:val="21"/>
                      <w:highlight w:val="none"/>
                      <w:lang w:val="en-US" w:eastAsia="zh-CN" w:bidi="ar"/>
                    </w:rPr>
                    <w:t>半年</w:t>
                  </w:r>
                </w:p>
              </w:tc>
            </w:tr>
            <w:tr w14:paraId="22337F6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69F7EF3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4</w:t>
                  </w:r>
                </w:p>
              </w:tc>
              <w:tc>
                <w:tcPr>
                  <w:tcW w:w="1212" w:type="dxa"/>
                  <w:vMerge w:val="continue"/>
                  <w:tcBorders>
                    <w:tl2br w:val="nil"/>
                    <w:tr2bl w:val="nil"/>
                  </w:tcBorders>
                  <w:noWrap w:val="0"/>
                  <w:vAlign w:val="center"/>
                </w:tcPr>
                <w:p w14:paraId="24AAAA23">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tcBorders>
                    <w:tl2br w:val="nil"/>
                    <w:tr2bl w:val="nil"/>
                  </w:tcBorders>
                  <w:noWrap w:val="0"/>
                  <w:vAlign w:val="center"/>
                </w:tcPr>
                <w:p w14:paraId="281594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废水处理站污泥</w:t>
                  </w:r>
                </w:p>
              </w:tc>
              <w:tc>
                <w:tcPr>
                  <w:tcW w:w="780" w:type="dxa"/>
                  <w:tcBorders>
                    <w:top w:val="single" w:color="auto" w:sz="4" w:space="0"/>
                    <w:bottom w:val="single" w:color="auto" w:sz="4" w:space="0"/>
                    <w:tl2br w:val="nil"/>
                    <w:tr2bl w:val="nil"/>
                  </w:tcBorders>
                  <w:noWrap w:val="0"/>
                  <w:vAlign w:val="center"/>
                </w:tcPr>
                <w:p w14:paraId="49345C92">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HW17</w:t>
                  </w:r>
                </w:p>
              </w:tc>
              <w:tc>
                <w:tcPr>
                  <w:tcW w:w="1087" w:type="dxa"/>
                  <w:tcBorders>
                    <w:top w:val="single" w:color="auto" w:sz="4" w:space="0"/>
                    <w:bottom w:val="single" w:color="auto" w:sz="4" w:space="0"/>
                    <w:tl2br w:val="nil"/>
                    <w:tr2bl w:val="nil"/>
                  </w:tcBorders>
                  <w:noWrap w:val="0"/>
                  <w:vAlign w:val="center"/>
                </w:tcPr>
                <w:p w14:paraId="30376AF5">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336-064-17</w:t>
                  </w:r>
                </w:p>
              </w:tc>
              <w:tc>
                <w:tcPr>
                  <w:tcW w:w="571" w:type="dxa"/>
                  <w:vMerge w:val="continue"/>
                  <w:tcBorders>
                    <w:tl2br w:val="nil"/>
                    <w:tr2bl w:val="nil"/>
                  </w:tcBorders>
                  <w:noWrap w:val="0"/>
                  <w:vAlign w:val="center"/>
                </w:tcPr>
                <w:p w14:paraId="4A4EC00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tcBorders>
                    <w:tl2br w:val="nil"/>
                    <w:tr2bl w:val="nil"/>
                  </w:tcBorders>
                  <w:noWrap w:val="0"/>
                  <w:vAlign w:val="center"/>
                </w:tcPr>
                <w:p w14:paraId="2CDDFEC4">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tcBorders>
                    <w:tl2br w:val="nil"/>
                    <w:tr2bl w:val="nil"/>
                  </w:tcBorders>
                  <w:noWrap w:val="0"/>
                  <w:vAlign w:val="center"/>
                </w:tcPr>
                <w:p w14:paraId="3572E78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袋装</w:t>
                  </w:r>
                </w:p>
              </w:tc>
              <w:tc>
                <w:tcPr>
                  <w:tcW w:w="653" w:type="dxa"/>
                  <w:tcBorders>
                    <w:tl2br w:val="nil"/>
                    <w:tr2bl w:val="nil"/>
                  </w:tcBorders>
                  <w:noWrap w:val="0"/>
                  <w:vAlign w:val="center"/>
                </w:tcPr>
                <w:p w14:paraId="6B6A6F7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w:t>
                  </w:r>
                  <w:r>
                    <w:rPr>
                      <w:rFonts w:hint="default" w:ascii="Times New Roman" w:hAnsi="Times New Roman" w:eastAsia="宋体" w:cs="Times New Roman"/>
                      <w:color w:val="auto"/>
                      <w:kern w:val="0"/>
                      <w:sz w:val="21"/>
                      <w:szCs w:val="21"/>
                      <w:highlight w:val="none"/>
                      <w:lang w:val="en-US" w:eastAsia="zh-CN" w:bidi="ar"/>
                    </w:rPr>
                    <w:t>t</w:t>
                  </w:r>
                </w:p>
              </w:tc>
              <w:tc>
                <w:tcPr>
                  <w:tcW w:w="512" w:type="dxa"/>
                  <w:tcBorders>
                    <w:tl2br w:val="nil"/>
                    <w:tr2bl w:val="nil"/>
                  </w:tcBorders>
                  <w:noWrap w:val="0"/>
                  <w:vAlign w:val="center"/>
                </w:tcPr>
                <w:p w14:paraId="1ECEF3D6">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1年</w:t>
                  </w:r>
                </w:p>
              </w:tc>
            </w:tr>
            <w:tr w14:paraId="377972F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3358B52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5</w:t>
                  </w:r>
                </w:p>
              </w:tc>
              <w:tc>
                <w:tcPr>
                  <w:tcW w:w="1212" w:type="dxa"/>
                  <w:vMerge w:val="continue"/>
                  <w:tcBorders>
                    <w:tl2br w:val="nil"/>
                    <w:tr2bl w:val="nil"/>
                  </w:tcBorders>
                  <w:noWrap w:val="0"/>
                  <w:vAlign w:val="center"/>
                </w:tcPr>
                <w:p w14:paraId="529D3D98">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tcBorders>
                    <w:bottom w:val="single" w:color="auto" w:sz="4" w:space="0"/>
                    <w:tl2br w:val="nil"/>
                    <w:tr2bl w:val="nil"/>
                  </w:tcBorders>
                  <w:noWrap w:val="0"/>
                  <w:vAlign w:val="center"/>
                </w:tcPr>
                <w:p w14:paraId="394A8E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废pH调整剂包装桶</w:t>
                  </w:r>
                </w:p>
              </w:tc>
              <w:tc>
                <w:tcPr>
                  <w:tcW w:w="780" w:type="dxa"/>
                  <w:tcBorders>
                    <w:top w:val="single" w:color="auto" w:sz="4" w:space="0"/>
                    <w:bottom w:val="single" w:color="auto" w:sz="4" w:space="0"/>
                    <w:tl2br w:val="nil"/>
                    <w:tr2bl w:val="nil"/>
                  </w:tcBorders>
                  <w:noWrap w:val="0"/>
                  <w:vAlign w:val="center"/>
                </w:tcPr>
                <w:p w14:paraId="7820DC13">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1087" w:type="dxa"/>
                  <w:tcBorders>
                    <w:top w:val="single" w:color="auto" w:sz="4" w:space="0"/>
                    <w:bottom w:val="single" w:color="auto" w:sz="4" w:space="0"/>
                    <w:tl2br w:val="nil"/>
                    <w:tr2bl w:val="nil"/>
                  </w:tcBorders>
                  <w:noWrap w:val="0"/>
                  <w:vAlign w:val="center"/>
                </w:tcPr>
                <w:p w14:paraId="61597881">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571" w:type="dxa"/>
                  <w:vMerge w:val="continue"/>
                  <w:tcBorders>
                    <w:tl2br w:val="nil"/>
                    <w:tr2bl w:val="nil"/>
                  </w:tcBorders>
                  <w:noWrap w:val="0"/>
                  <w:vAlign w:val="center"/>
                </w:tcPr>
                <w:p w14:paraId="46767C6F">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tcBorders>
                    <w:tl2br w:val="nil"/>
                    <w:tr2bl w:val="nil"/>
                  </w:tcBorders>
                  <w:noWrap w:val="0"/>
                  <w:vAlign w:val="center"/>
                </w:tcPr>
                <w:p w14:paraId="66DD09C2">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tcBorders>
                    <w:tl2br w:val="nil"/>
                    <w:tr2bl w:val="nil"/>
                  </w:tcBorders>
                  <w:noWrap w:val="0"/>
                  <w:vAlign w:val="center"/>
                </w:tcPr>
                <w:p w14:paraId="28EAD26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堆存</w:t>
                  </w:r>
                </w:p>
              </w:tc>
              <w:tc>
                <w:tcPr>
                  <w:tcW w:w="653" w:type="dxa"/>
                  <w:tcBorders>
                    <w:tl2br w:val="nil"/>
                    <w:tr2bl w:val="nil"/>
                  </w:tcBorders>
                  <w:noWrap w:val="0"/>
                  <w:vAlign w:val="center"/>
                </w:tcPr>
                <w:p w14:paraId="3303DA2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0.1</w:t>
                  </w:r>
                  <w:r>
                    <w:rPr>
                      <w:rFonts w:hint="default" w:ascii="Times New Roman" w:hAnsi="Times New Roman" w:eastAsia="宋体" w:cs="Times New Roman"/>
                      <w:color w:val="auto"/>
                      <w:kern w:val="0"/>
                      <w:sz w:val="21"/>
                      <w:szCs w:val="21"/>
                      <w:highlight w:val="none"/>
                      <w:lang w:val="en-US" w:eastAsia="zh-CN" w:bidi="ar"/>
                    </w:rPr>
                    <w:t>t</w:t>
                  </w:r>
                </w:p>
              </w:tc>
              <w:tc>
                <w:tcPr>
                  <w:tcW w:w="512" w:type="dxa"/>
                  <w:tcBorders>
                    <w:tl2br w:val="nil"/>
                    <w:tr2bl w:val="nil"/>
                  </w:tcBorders>
                  <w:noWrap w:val="0"/>
                  <w:vAlign w:val="center"/>
                </w:tcPr>
                <w:p w14:paraId="270EF6A7">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1年</w:t>
                  </w:r>
                </w:p>
              </w:tc>
            </w:tr>
            <w:tr w14:paraId="56376C6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tcBorders>
                    <w:tl2br w:val="nil"/>
                    <w:tr2bl w:val="nil"/>
                  </w:tcBorders>
                  <w:noWrap w:val="0"/>
                  <w:vAlign w:val="center"/>
                </w:tcPr>
                <w:p w14:paraId="0100E9BF">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6</w:t>
                  </w:r>
                </w:p>
              </w:tc>
              <w:tc>
                <w:tcPr>
                  <w:tcW w:w="1212" w:type="dxa"/>
                  <w:vMerge w:val="continue"/>
                  <w:tcBorders>
                    <w:tl2br w:val="nil"/>
                    <w:tr2bl w:val="nil"/>
                  </w:tcBorders>
                  <w:noWrap w:val="0"/>
                  <w:vAlign w:val="center"/>
                </w:tcPr>
                <w:p w14:paraId="363ACA1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tcBorders>
                    <w:top w:val="single" w:color="auto" w:sz="4" w:space="0"/>
                    <w:tl2br w:val="nil"/>
                    <w:tr2bl w:val="nil"/>
                  </w:tcBorders>
                  <w:noWrap w:val="0"/>
                  <w:vAlign w:val="center"/>
                </w:tcPr>
                <w:p w14:paraId="3A8849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废机油桶</w:t>
                  </w:r>
                </w:p>
              </w:tc>
              <w:tc>
                <w:tcPr>
                  <w:tcW w:w="780" w:type="dxa"/>
                  <w:tcBorders>
                    <w:top w:val="single" w:color="auto" w:sz="4" w:space="0"/>
                    <w:tl2br w:val="nil"/>
                    <w:tr2bl w:val="nil"/>
                  </w:tcBorders>
                  <w:noWrap w:val="0"/>
                  <w:vAlign w:val="center"/>
                </w:tcPr>
                <w:p w14:paraId="572CE3B4">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1087" w:type="dxa"/>
                  <w:tcBorders>
                    <w:top w:val="single" w:color="auto" w:sz="4" w:space="0"/>
                    <w:tl2br w:val="nil"/>
                    <w:tr2bl w:val="nil"/>
                  </w:tcBorders>
                  <w:noWrap w:val="0"/>
                  <w:vAlign w:val="center"/>
                </w:tcPr>
                <w:p w14:paraId="54B5746A">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571" w:type="dxa"/>
                  <w:vMerge w:val="continue"/>
                  <w:tcBorders>
                    <w:tl2br w:val="nil"/>
                    <w:tr2bl w:val="nil"/>
                  </w:tcBorders>
                  <w:noWrap w:val="0"/>
                  <w:vAlign w:val="center"/>
                </w:tcPr>
                <w:p w14:paraId="3DB4AE2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tcBorders>
                    <w:tl2br w:val="nil"/>
                    <w:tr2bl w:val="nil"/>
                  </w:tcBorders>
                  <w:noWrap w:val="0"/>
                  <w:vAlign w:val="center"/>
                </w:tcPr>
                <w:p w14:paraId="4644DCA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tcBorders>
                    <w:tl2br w:val="nil"/>
                    <w:tr2bl w:val="nil"/>
                  </w:tcBorders>
                  <w:noWrap w:val="0"/>
                  <w:vAlign w:val="center"/>
                </w:tcPr>
                <w:p w14:paraId="22D1128B">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堆存</w:t>
                  </w:r>
                </w:p>
              </w:tc>
              <w:tc>
                <w:tcPr>
                  <w:tcW w:w="653" w:type="dxa"/>
                  <w:vMerge w:val="restart"/>
                  <w:tcBorders>
                    <w:tl2br w:val="nil"/>
                    <w:tr2bl w:val="nil"/>
                  </w:tcBorders>
                  <w:noWrap w:val="0"/>
                  <w:vAlign w:val="center"/>
                </w:tcPr>
                <w:p w14:paraId="21E3302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1.5</w:t>
                  </w:r>
                  <w:r>
                    <w:rPr>
                      <w:rFonts w:hint="default" w:ascii="Times New Roman" w:hAnsi="Times New Roman" w:eastAsia="宋体" w:cs="Times New Roman"/>
                      <w:color w:val="auto"/>
                      <w:kern w:val="0"/>
                      <w:sz w:val="21"/>
                      <w:szCs w:val="21"/>
                      <w:highlight w:val="none"/>
                      <w:lang w:val="en-US" w:eastAsia="zh-CN" w:bidi="ar"/>
                    </w:rPr>
                    <w:t>t</w:t>
                  </w:r>
                </w:p>
              </w:tc>
              <w:tc>
                <w:tcPr>
                  <w:tcW w:w="512" w:type="dxa"/>
                  <w:vMerge w:val="restart"/>
                  <w:tcBorders>
                    <w:tl2br w:val="nil"/>
                    <w:tr2bl w:val="nil"/>
                  </w:tcBorders>
                  <w:noWrap w:val="0"/>
                  <w:vAlign w:val="center"/>
                </w:tcPr>
                <w:p w14:paraId="29F1AC32">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1年</w:t>
                  </w:r>
                </w:p>
              </w:tc>
            </w:tr>
            <w:tr w14:paraId="4B0DED6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69A68A0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7</w:t>
                  </w:r>
                </w:p>
              </w:tc>
              <w:tc>
                <w:tcPr>
                  <w:tcW w:w="1212" w:type="dxa"/>
                  <w:vMerge w:val="continue"/>
                  <w:noWrap w:val="0"/>
                  <w:vAlign w:val="center"/>
                </w:tcPr>
                <w:p w14:paraId="471C36C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noWrap w:val="0"/>
                  <w:vAlign w:val="center"/>
                </w:tcPr>
                <w:p w14:paraId="45BAC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废机油</w:t>
                  </w:r>
                </w:p>
              </w:tc>
              <w:tc>
                <w:tcPr>
                  <w:tcW w:w="780" w:type="dxa"/>
                  <w:tcBorders>
                    <w:bottom w:val="single" w:color="auto" w:sz="4" w:space="0"/>
                  </w:tcBorders>
                  <w:noWrap w:val="0"/>
                  <w:vAlign w:val="center"/>
                </w:tcPr>
                <w:p w14:paraId="7D221734">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1087" w:type="dxa"/>
                  <w:tcBorders>
                    <w:bottom w:val="single" w:color="auto" w:sz="4" w:space="0"/>
                  </w:tcBorders>
                  <w:noWrap w:val="0"/>
                  <w:vAlign w:val="center"/>
                </w:tcPr>
                <w:p w14:paraId="25A88A8C">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571" w:type="dxa"/>
                  <w:vMerge w:val="continue"/>
                  <w:noWrap w:val="0"/>
                  <w:vAlign w:val="center"/>
                </w:tcPr>
                <w:p w14:paraId="7B527E7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0D477FF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364F478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vMerge w:val="continue"/>
                  <w:noWrap w:val="0"/>
                  <w:vAlign w:val="center"/>
                </w:tcPr>
                <w:p w14:paraId="10A550E4">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512" w:type="dxa"/>
                  <w:vMerge w:val="continue"/>
                  <w:noWrap w:val="0"/>
                  <w:vAlign w:val="center"/>
                </w:tcPr>
                <w:p w14:paraId="3087C1CE">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r>
            <w:tr w14:paraId="26EF629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5374C16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8</w:t>
                  </w:r>
                </w:p>
              </w:tc>
              <w:tc>
                <w:tcPr>
                  <w:tcW w:w="1212" w:type="dxa"/>
                  <w:vMerge w:val="continue"/>
                  <w:noWrap w:val="0"/>
                  <w:vAlign w:val="center"/>
                </w:tcPr>
                <w:p w14:paraId="5E9DED8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noWrap w:val="0"/>
                  <w:vAlign w:val="center"/>
                </w:tcPr>
                <w:p w14:paraId="2F090B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废含油抹布手套</w:t>
                  </w:r>
                </w:p>
              </w:tc>
              <w:tc>
                <w:tcPr>
                  <w:tcW w:w="780" w:type="dxa"/>
                  <w:tcBorders>
                    <w:top w:val="single" w:color="auto" w:sz="4" w:space="0"/>
                    <w:bottom w:val="single" w:color="auto" w:sz="4" w:space="0"/>
                  </w:tcBorders>
                  <w:noWrap w:val="0"/>
                  <w:vAlign w:val="center"/>
                </w:tcPr>
                <w:p w14:paraId="15D63402">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HW49</w:t>
                  </w:r>
                </w:p>
              </w:tc>
              <w:tc>
                <w:tcPr>
                  <w:tcW w:w="1087" w:type="dxa"/>
                  <w:tcBorders>
                    <w:top w:val="single" w:color="auto" w:sz="4" w:space="0"/>
                    <w:bottom w:val="single" w:color="auto" w:sz="4" w:space="0"/>
                  </w:tcBorders>
                  <w:noWrap w:val="0"/>
                  <w:vAlign w:val="center"/>
                </w:tcPr>
                <w:p w14:paraId="61F5F78E">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900-041-49</w:t>
                  </w:r>
                </w:p>
              </w:tc>
              <w:tc>
                <w:tcPr>
                  <w:tcW w:w="571" w:type="dxa"/>
                  <w:vMerge w:val="continue"/>
                  <w:noWrap w:val="0"/>
                  <w:vAlign w:val="center"/>
                </w:tcPr>
                <w:p w14:paraId="5A0EF46B">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6EE5F818">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2130FDF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袋装</w:t>
                  </w:r>
                </w:p>
              </w:tc>
              <w:tc>
                <w:tcPr>
                  <w:tcW w:w="653" w:type="dxa"/>
                  <w:vMerge w:val="continue"/>
                  <w:noWrap w:val="0"/>
                  <w:vAlign w:val="center"/>
                </w:tcPr>
                <w:p w14:paraId="5070F89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512" w:type="dxa"/>
                  <w:vMerge w:val="continue"/>
                  <w:noWrap w:val="0"/>
                  <w:vAlign w:val="center"/>
                </w:tcPr>
                <w:p w14:paraId="0F0F72F1">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r>
            <w:tr w14:paraId="452A565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428BA1A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9</w:t>
                  </w:r>
                </w:p>
              </w:tc>
              <w:tc>
                <w:tcPr>
                  <w:tcW w:w="1212" w:type="dxa"/>
                  <w:vMerge w:val="continue"/>
                  <w:noWrap w:val="0"/>
                  <w:vAlign w:val="center"/>
                </w:tcPr>
                <w:p w14:paraId="7A022721">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noWrap w:val="0"/>
                  <w:vAlign w:val="center"/>
                </w:tcPr>
                <w:p w14:paraId="32DF14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废液压油桶</w:t>
                  </w:r>
                </w:p>
              </w:tc>
              <w:tc>
                <w:tcPr>
                  <w:tcW w:w="780" w:type="dxa"/>
                  <w:tcBorders>
                    <w:top w:val="single" w:color="auto" w:sz="4" w:space="0"/>
                    <w:bottom w:val="single" w:color="auto" w:sz="4" w:space="0"/>
                  </w:tcBorders>
                  <w:noWrap w:val="0"/>
                  <w:vAlign w:val="center"/>
                </w:tcPr>
                <w:p w14:paraId="3FDA5673">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1087" w:type="dxa"/>
                  <w:tcBorders>
                    <w:top w:val="single" w:color="auto" w:sz="4" w:space="0"/>
                    <w:bottom w:val="single" w:color="auto" w:sz="4" w:space="0"/>
                  </w:tcBorders>
                  <w:noWrap w:val="0"/>
                  <w:vAlign w:val="center"/>
                </w:tcPr>
                <w:p w14:paraId="2FE4E062">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571" w:type="dxa"/>
                  <w:vMerge w:val="continue"/>
                  <w:noWrap w:val="0"/>
                  <w:vAlign w:val="center"/>
                </w:tcPr>
                <w:p w14:paraId="1B11BD58">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76A1F05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071994EA">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堆存</w:t>
                  </w:r>
                </w:p>
              </w:tc>
              <w:tc>
                <w:tcPr>
                  <w:tcW w:w="653" w:type="dxa"/>
                  <w:vMerge w:val="continue"/>
                  <w:noWrap w:val="0"/>
                  <w:vAlign w:val="center"/>
                </w:tcPr>
                <w:p w14:paraId="127A4D68">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512" w:type="dxa"/>
                  <w:vMerge w:val="continue"/>
                  <w:noWrap w:val="0"/>
                  <w:vAlign w:val="center"/>
                </w:tcPr>
                <w:p w14:paraId="479AD664">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r>
            <w:tr w14:paraId="3018C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351ACF0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10</w:t>
                  </w:r>
                </w:p>
              </w:tc>
              <w:tc>
                <w:tcPr>
                  <w:tcW w:w="1212" w:type="dxa"/>
                  <w:vMerge w:val="continue"/>
                  <w:noWrap w:val="0"/>
                  <w:vAlign w:val="center"/>
                </w:tcPr>
                <w:p w14:paraId="1ACCBED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noWrap w:val="0"/>
                  <w:vAlign w:val="center"/>
                </w:tcPr>
                <w:p w14:paraId="7D2ECB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废液压油</w:t>
                  </w:r>
                </w:p>
              </w:tc>
              <w:tc>
                <w:tcPr>
                  <w:tcW w:w="780" w:type="dxa"/>
                  <w:noWrap w:val="0"/>
                  <w:vAlign w:val="center"/>
                </w:tcPr>
                <w:p w14:paraId="2384DD4D">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1087" w:type="dxa"/>
                  <w:noWrap w:val="0"/>
                  <w:vAlign w:val="center"/>
                </w:tcPr>
                <w:p w14:paraId="235738B8">
                  <w:pPr>
                    <w:keepNext w:val="0"/>
                    <w:keepLines w:val="0"/>
                    <w:pageBreakBefore w:val="0"/>
                    <w:widowControl/>
                    <w:suppressLineNumbers w:val="0"/>
                    <w:kinsoku/>
                    <w:overflowPunct/>
                    <w:topLinePunct w:val="0"/>
                    <w:bidi w:val="0"/>
                    <w:snapToGrid/>
                    <w:spacing w:before="0" w:beforeAutospacing="0" w:after="0" w:afterAutospacing="0" w:line="240" w:lineRule="auto"/>
                    <w:ind w:left="0" w:leftChars="0" w:right="0" w:rightChars="0"/>
                    <w:jc w:val="center"/>
                    <w:textAlignment w:val="center"/>
                    <w:rPr>
                      <w:rFonts w:hint="default" w:ascii="Times New Roman" w:hAnsi="Times New Roman" w:cs="Times New Roman"/>
                      <w:color w:val="auto"/>
                      <w:kern w:val="2"/>
                      <w:positio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900-249-08</w:t>
                  </w:r>
                </w:p>
              </w:tc>
              <w:tc>
                <w:tcPr>
                  <w:tcW w:w="571" w:type="dxa"/>
                  <w:vMerge w:val="continue"/>
                  <w:noWrap w:val="0"/>
                  <w:vAlign w:val="center"/>
                </w:tcPr>
                <w:p w14:paraId="4ADBF48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20F641B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4A9E5F5D">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vMerge w:val="continue"/>
                  <w:noWrap w:val="0"/>
                  <w:vAlign w:val="center"/>
                </w:tcPr>
                <w:p w14:paraId="48668B7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512" w:type="dxa"/>
                  <w:vMerge w:val="continue"/>
                  <w:noWrap w:val="0"/>
                  <w:vAlign w:val="center"/>
                </w:tcPr>
                <w:p w14:paraId="41EF2AA6">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r>
            <w:tr w14:paraId="1007ECC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7D3C9858">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11</w:t>
                  </w:r>
                </w:p>
              </w:tc>
              <w:tc>
                <w:tcPr>
                  <w:tcW w:w="1212" w:type="dxa"/>
                  <w:vMerge w:val="continue"/>
                  <w:noWrap w:val="0"/>
                  <w:vAlign w:val="center"/>
                </w:tcPr>
                <w:p w14:paraId="5243574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5EBA5B7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废原料桶</w:t>
                  </w:r>
                </w:p>
              </w:tc>
              <w:tc>
                <w:tcPr>
                  <w:tcW w:w="780" w:type="dxa"/>
                  <w:shd w:val="clear" w:color="auto" w:fill="auto"/>
                  <w:noWrap w:val="0"/>
                  <w:vAlign w:val="center"/>
                </w:tcPr>
                <w:p w14:paraId="37AB28D7">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Cs w:val="21"/>
                    </w:rPr>
                    <w:t>HW49</w:t>
                  </w:r>
                </w:p>
              </w:tc>
              <w:tc>
                <w:tcPr>
                  <w:tcW w:w="1087" w:type="dxa"/>
                  <w:shd w:val="clear" w:color="auto" w:fill="auto"/>
                  <w:noWrap w:val="0"/>
                  <w:vAlign w:val="center"/>
                </w:tcPr>
                <w:p w14:paraId="2CC5693E">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kern w:val="0"/>
                      <w:szCs w:val="21"/>
                    </w:rPr>
                    <w:t>900-041-49</w:t>
                  </w:r>
                </w:p>
              </w:tc>
              <w:tc>
                <w:tcPr>
                  <w:tcW w:w="571" w:type="dxa"/>
                  <w:vMerge w:val="continue"/>
                  <w:noWrap w:val="0"/>
                  <w:vAlign w:val="center"/>
                </w:tcPr>
                <w:p w14:paraId="6811B807">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5F58CA63">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6B0C74E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堆存</w:t>
                  </w:r>
                </w:p>
              </w:tc>
              <w:tc>
                <w:tcPr>
                  <w:tcW w:w="653" w:type="dxa"/>
                  <w:noWrap w:val="0"/>
                  <w:vAlign w:val="center"/>
                </w:tcPr>
                <w:p w14:paraId="1332125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0.3t</w:t>
                  </w:r>
                </w:p>
              </w:tc>
              <w:tc>
                <w:tcPr>
                  <w:tcW w:w="512" w:type="dxa"/>
                  <w:noWrap w:val="0"/>
                  <w:vAlign w:val="center"/>
                </w:tcPr>
                <w:p w14:paraId="0290439F">
                  <w:pPr>
                    <w:widowControl/>
                    <w:spacing w:line="240" w:lineRule="auto"/>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1年</w:t>
                  </w:r>
                </w:p>
              </w:tc>
            </w:tr>
            <w:tr w14:paraId="10CD0DD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66D463E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r>
                    <w:rPr>
                      <w:rFonts w:hint="eastAsia" w:cs="Times New Roman"/>
                      <w:color w:val="auto"/>
                      <w:kern w:val="0"/>
                      <w:sz w:val="21"/>
                      <w:szCs w:val="21"/>
                      <w:highlight w:val="none"/>
                      <w:lang w:val="en-US" w:eastAsia="zh-CN" w:bidi="ar"/>
                    </w:rPr>
                    <w:t>2</w:t>
                  </w:r>
                </w:p>
              </w:tc>
              <w:tc>
                <w:tcPr>
                  <w:tcW w:w="1212" w:type="dxa"/>
                  <w:vMerge w:val="continue"/>
                  <w:noWrap w:val="0"/>
                  <w:vAlign w:val="center"/>
                </w:tcPr>
                <w:p w14:paraId="3E51FDDB">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276FEC0F">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Cs w:val="21"/>
                    </w:rPr>
                    <w:t>喷枪清洗液</w:t>
                  </w:r>
                </w:p>
              </w:tc>
              <w:tc>
                <w:tcPr>
                  <w:tcW w:w="780" w:type="dxa"/>
                  <w:shd w:val="clear" w:color="auto" w:fill="auto"/>
                  <w:noWrap w:val="0"/>
                  <w:vAlign w:val="center"/>
                </w:tcPr>
                <w:p w14:paraId="15BD30F3">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Cs w:val="21"/>
                    </w:rPr>
                    <w:t>HW06</w:t>
                  </w:r>
                </w:p>
              </w:tc>
              <w:tc>
                <w:tcPr>
                  <w:tcW w:w="1087" w:type="dxa"/>
                  <w:shd w:val="clear" w:color="auto" w:fill="auto"/>
                  <w:noWrap w:val="0"/>
                  <w:vAlign w:val="center"/>
                </w:tcPr>
                <w:p w14:paraId="0013D2A3">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zCs w:val="21"/>
                    </w:rPr>
                    <w:t>900-402-06</w:t>
                  </w:r>
                </w:p>
              </w:tc>
              <w:tc>
                <w:tcPr>
                  <w:tcW w:w="571" w:type="dxa"/>
                  <w:vMerge w:val="continue"/>
                  <w:noWrap w:val="0"/>
                  <w:vAlign w:val="center"/>
                </w:tcPr>
                <w:p w14:paraId="0F73B0C2">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05BE4C93">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67417954">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noWrap w:val="0"/>
                  <w:vAlign w:val="center"/>
                </w:tcPr>
                <w:p w14:paraId="3735B49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0.1t</w:t>
                  </w:r>
                </w:p>
              </w:tc>
              <w:tc>
                <w:tcPr>
                  <w:tcW w:w="512" w:type="dxa"/>
                  <w:noWrap w:val="0"/>
                  <w:vAlign w:val="center"/>
                </w:tcPr>
                <w:p w14:paraId="3B35CD21">
                  <w:pPr>
                    <w:widowControl/>
                    <w:spacing w:line="240" w:lineRule="auto"/>
                    <w:jc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半年</w:t>
                  </w:r>
                </w:p>
              </w:tc>
            </w:tr>
            <w:tr w14:paraId="3B0A9CC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1E36E67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r>
                    <w:rPr>
                      <w:rFonts w:hint="eastAsia" w:cs="Times New Roman"/>
                      <w:color w:val="auto"/>
                      <w:kern w:val="0"/>
                      <w:sz w:val="21"/>
                      <w:szCs w:val="21"/>
                      <w:highlight w:val="none"/>
                      <w:lang w:val="en-US" w:eastAsia="zh-CN" w:bidi="ar"/>
                    </w:rPr>
                    <w:t>3</w:t>
                  </w:r>
                </w:p>
              </w:tc>
              <w:tc>
                <w:tcPr>
                  <w:tcW w:w="1212" w:type="dxa"/>
                  <w:vMerge w:val="continue"/>
                  <w:noWrap w:val="0"/>
                  <w:vAlign w:val="center"/>
                </w:tcPr>
                <w:p w14:paraId="6BDCB54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55BBE6BD">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废滤芯静电喷粉</w:t>
                  </w:r>
                </w:p>
              </w:tc>
              <w:tc>
                <w:tcPr>
                  <w:tcW w:w="780" w:type="dxa"/>
                  <w:shd w:val="clear" w:color="auto" w:fill="auto"/>
                  <w:noWrap w:val="0"/>
                  <w:vAlign w:val="center"/>
                </w:tcPr>
                <w:p w14:paraId="203BF0B7">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spacing w:val="-2"/>
                      <w:kern w:val="44"/>
                      <w:sz w:val="21"/>
                      <w:szCs w:val="21"/>
                      <w:lang w:val="en-US" w:eastAsia="zh-CN" w:bidi="ar-SA"/>
                    </w:rPr>
                  </w:pPr>
                  <w:r>
                    <w:rPr>
                      <w:rFonts w:hint="default" w:ascii="Times New Roman" w:hAnsi="Times New Roman" w:cs="Times New Roman"/>
                      <w:color w:val="auto"/>
                      <w:szCs w:val="21"/>
                    </w:rPr>
                    <w:t>HW49</w:t>
                  </w:r>
                </w:p>
              </w:tc>
              <w:tc>
                <w:tcPr>
                  <w:tcW w:w="1087" w:type="dxa"/>
                  <w:shd w:val="clear" w:color="auto" w:fill="auto"/>
                  <w:noWrap w:val="0"/>
                  <w:vAlign w:val="center"/>
                </w:tcPr>
                <w:p w14:paraId="4CD0F252">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spacing w:val="-2"/>
                      <w:kern w:val="44"/>
                      <w:sz w:val="21"/>
                      <w:szCs w:val="21"/>
                      <w:lang w:val="en-US" w:eastAsia="zh-CN" w:bidi="ar-SA"/>
                    </w:rPr>
                  </w:pPr>
                  <w:r>
                    <w:rPr>
                      <w:rFonts w:hint="default" w:ascii="Times New Roman" w:hAnsi="Times New Roman" w:cs="Times New Roman"/>
                      <w:color w:val="auto"/>
                      <w:szCs w:val="21"/>
                    </w:rPr>
                    <w:t>900-041-49</w:t>
                  </w:r>
                </w:p>
              </w:tc>
              <w:tc>
                <w:tcPr>
                  <w:tcW w:w="571" w:type="dxa"/>
                  <w:vMerge w:val="continue"/>
                  <w:noWrap w:val="0"/>
                  <w:vAlign w:val="center"/>
                </w:tcPr>
                <w:p w14:paraId="385F9841">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2E6D4FE3">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401CF6A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noWrap w:val="0"/>
                  <w:vAlign w:val="center"/>
                </w:tcPr>
                <w:p w14:paraId="62A7D39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0.1t</w:t>
                  </w:r>
                </w:p>
              </w:tc>
              <w:tc>
                <w:tcPr>
                  <w:tcW w:w="512" w:type="dxa"/>
                  <w:noWrap w:val="0"/>
                  <w:vAlign w:val="center"/>
                </w:tcPr>
                <w:p w14:paraId="092119C4">
                  <w:pPr>
                    <w:widowControl/>
                    <w:spacing w:line="240" w:lineRule="auto"/>
                    <w:jc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1年</w:t>
                  </w:r>
                </w:p>
              </w:tc>
            </w:tr>
            <w:tr w14:paraId="7EF3FEF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3ABA0DE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r>
                    <w:rPr>
                      <w:rFonts w:hint="eastAsia" w:cs="Times New Roman"/>
                      <w:color w:val="auto"/>
                      <w:kern w:val="0"/>
                      <w:sz w:val="21"/>
                      <w:szCs w:val="21"/>
                      <w:highlight w:val="none"/>
                      <w:lang w:val="en-US" w:eastAsia="zh-CN" w:bidi="ar"/>
                    </w:rPr>
                    <w:t>4</w:t>
                  </w:r>
                </w:p>
              </w:tc>
              <w:tc>
                <w:tcPr>
                  <w:tcW w:w="1212" w:type="dxa"/>
                  <w:vMerge w:val="continue"/>
                  <w:noWrap w:val="0"/>
                  <w:vAlign w:val="center"/>
                </w:tcPr>
                <w:p w14:paraId="57E1D2E7">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5051D785">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废过滤棉</w:t>
                  </w:r>
                </w:p>
              </w:tc>
              <w:tc>
                <w:tcPr>
                  <w:tcW w:w="780" w:type="dxa"/>
                  <w:shd w:val="clear" w:color="auto" w:fill="auto"/>
                  <w:noWrap w:val="0"/>
                  <w:vAlign w:val="center"/>
                </w:tcPr>
                <w:p w14:paraId="2E78B76C">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HW49</w:t>
                  </w:r>
                </w:p>
              </w:tc>
              <w:tc>
                <w:tcPr>
                  <w:tcW w:w="1087" w:type="dxa"/>
                  <w:shd w:val="clear" w:color="auto" w:fill="auto"/>
                  <w:noWrap w:val="0"/>
                  <w:vAlign w:val="center"/>
                </w:tcPr>
                <w:p w14:paraId="36333CB8">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900-041-49</w:t>
                  </w:r>
                </w:p>
              </w:tc>
              <w:tc>
                <w:tcPr>
                  <w:tcW w:w="571" w:type="dxa"/>
                  <w:vMerge w:val="continue"/>
                  <w:noWrap w:val="0"/>
                  <w:vAlign w:val="center"/>
                </w:tcPr>
                <w:p w14:paraId="561D06A6">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746D4F9D">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7DC3B8A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noWrap w:val="0"/>
                  <w:vAlign w:val="center"/>
                </w:tcPr>
                <w:p w14:paraId="193846D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0.2</w:t>
                  </w:r>
                </w:p>
              </w:tc>
              <w:tc>
                <w:tcPr>
                  <w:tcW w:w="512" w:type="dxa"/>
                  <w:noWrap w:val="0"/>
                  <w:vAlign w:val="center"/>
                </w:tcPr>
                <w:p w14:paraId="4E8B6A52">
                  <w:pPr>
                    <w:widowControl/>
                    <w:spacing w:line="240" w:lineRule="auto"/>
                    <w:jc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半年</w:t>
                  </w:r>
                </w:p>
              </w:tc>
            </w:tr>
            <w:tr w14:paraId="6F00CB1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6F6FE54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r>
                    <w:rPr>
                      <w:rFonts w:hint="eastAsia" w:cs="Times New Roman"/>
                      <w:color w:val="auto"/>
                      <w:kern w:val="0"/>
                      <w:sz w:val="21"/>
                      <w:szCs w:val="21"/>
                      <w:highlight w:val="none"/>
                      <w:lang w:val="en-US" w:eastAsia="zh-CN" w:bidi="ar"/>
                    </w:rPr>
                    <w:t>5</w:t>
                  </w:r>
                </w:p>
              </w:tc>
              <w:tc>
                <w:tcPr>
                  <w:tcW w:w="1212" w:type="dxa"/>
                  <w:vMerge w:val="continue"/>
                  <w:noWrap w:val="0"/>
                  <w:vAlign w:val="center"/>
                </w:tcPr>
                <w:p w14:paraId="702ED97F">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24D01F74">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废活性炭</w:t>
                  </w:r>
                </w:p>
              </w:tc>
              <w:tc>
                <w:tcPr>
                  <w:tcW w:w="780" w:type="dxa"/>
                  <w:shd w:val="clear" w:color="auto" w:fill="auto"/>
                  <w:noWrap w:val="0"/>
                  <w:vAlign w:val="center"/>
                </w:tcPr>
                <w:p w14:paraId="5AFB1C73">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zCs w:val="21"/>
                    </w:rPr>
                    <w:t>HW49</w:t>
                  </w:r>
                </w:p>
              </w:tc>
              <w:tc>
                <w:tcPr>
                  <w:tcW w:w="1087" w:type="dxa"/>
                  <w:shd w:val="clear" w:color="auto" w:fill="auto"/>
                  <w:noWrap w:val="0"/>
                  <w:vAlign w:val="center"/>
                </w:tcPr>
                <w:p w14:paraId="0AEB6AF4">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bCs/>
                      <w:color w:val="auto"/>
                      <w:szCs w:val="21"/>
                    </w:rPr>
                    <w:t>900-039-49</w:t>
                  </w:r>
                </w:p>
              </w:tc>
              <w:tc>
                <w:tcPr>
                  <w:tcW w:w="571" w:type="dxa"/>
                  <w:vMerge w:val="continue"/>
                  <w:noWrap w:val="0"/>
                  <w:vAlign w:val="center"/>
                </w:tcPr>
                <w:p w14:paraId="058FD67A">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56CD562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0ACE044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堆存</w:t>
                  </w:r>
                </w:p>
              </w:tc>
              <w:tc>
                <w:tcPr>
                  <w:tcW w:w="653" w:type="dxa"/>
                  <w:noWrap w:val="0"/>
                  <w:vAlign w:val="center"/>
                </w:tcPr>
                <w:p w14:paraId="006B8C71">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9t</w:t>
                  </w:r>
                </w:p>
              </w:tc>
              <w:tc>
                <w:tcPr>
                  <w:tcW w:w="512" w:type="dxa"/>
                  <w:noWrap w:val="0"/>
                  <w:vAlign w:val="center"/>
                </w:tcPr>
                <w:p w14:paraId="1C733869">
                  <w:pPr>
                    <w:widowControl/>
                    <w:spacing w:line="240" w:lineRule="auto"/>
                    <w:jc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1年</w:t>
                  </w:r>
                </w:p>
              </w:tc>
            </w:tr>
            <w:tr w14:paraId="7575CB7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07F7267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1</w:t>
                  </w:r>
                  <w:r>
                    <w:rPr>
                      <w:rFonts w:hint="eastAsia" w:cs="Times New Roman"/>
                      <w:color w:val="auto"/>
                      <w:kern w:val="0"/>
                      <w:sz w:val="21"/>
                      <w:szCs w:val="21"/>
                      <w:highlight w:val="none"/>
                      <w:lang w:val="en-US" w:eastAsia="zh-CN" w:bidi="ar"/>
                    </w:rPr>
                    <w:t>6</w:t>
                  </w:r>
                </w:p>
              </w:tc>
              <w:tc>
                <w:tcPr>
                  <w:tcW w:w="1212" w:type="dxa"/>
                  <w:vMerge w:val="continue"/>
                  <w:noWrap w:val="0"/>
                  <w:vAlign w:val="center"/>
                </w:tcPr>
                <w:p w14:paraId="77D2130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40F19A1C">
                  <w:pPr>
                    <w:pStyle w:val="109"/>
                    <w:pageBreakBefore w:val="0"/>
                    <w:tabs>
                      <w:tab w:val="left" w:pos="-2848"/>
                    </w:tabs>
                    <w:wordWrap w:val="0"/>
                    <w:topLinePunct/>
                    <w:bidi w:val="0"/>
                    <w:spacing w:beforeAutospacing="0" w:afterAutospacing="0"/>
                    <w:rPr>
                      <w:rFonts w:hint="default" w:ascii="Times New Roman" w:hAnsi="Times New Roman" w:cs="Times New Roman"/>
                      <w:color w:val="auto"/>
                      <w:kern w:val="2"/>
                      <w:sz w:val="21"/>
                      <w:szCs w:val="21"/>
                      <w:lang w:val="en-US" w:eastAsia="zh-CN" w:bidi="ar-SA"/>
                    </w:rPr>
                  </w:pPr>
                  <w:r>
                    <w:rPr>
                      <w:rFonts w:hint="eastAsia" w:ascii="Times New Roman" w:hAnsi="Times New Roman" w:cs="Times New Roman"/>
                      <w:color w:val="auto"/>
                      <w:szCs w:val="21"/>
                      <w:lang w:val="en-US" w:eastAsia="zh-CN"/>
                    </w:rPr>
                    <w:t>废粉末涂料</w:t>
                  </w:r>
                </w:p>
              </w:tc>
              <w:tc>
                <w:tcPr>
                  <w:tcW w:w="780" w:type="dxa"/>
                  <w:shd w:val="clear" w:color="auto" w:fill="auto"/>
                  <w:noWrap w:val="0"/>
                  <w:vAlign w:val="center"/>
                </w:tcPr>
                <w:p w14:paraId="24290229">
                  <w:pPr>
                    <w:keepNext w:val="0"/>
                    <w:keepLines w:val="0"/>
                    <w:widowControl/>
                    <w:suppressLineNumbers w:val="0"/>
                    <w:spacing w:line="240" w:lineRule="auto"/>
                    <w:jc w:val="center"/>
                    <w:textAlignment w:val="center"/>
                    <w:rPr>
                      <w:rFonts w:hint="default" w:ascii="Times New Roman" w:hAnsi="Times New Roman" w:cs="Times New Roman"/>
                      <w:color w:val="auto"/>
                      <w:kern w:val="2"/>
                      <w:sz w:val="21"/>
                      <w:szCs w:val="21"/>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待鉴定</w:t>
                  </w:r>
                </w:p>
              </w:tc>
              <w:tc>
                <w:tcPr>
                  <w:tcW w:w="1087" w:type="dxa"/>
                  <w:shd w:val="clear" w:color="auto" w:fill="auto"/>
                  <w:noWrap w:val="0"/>
                  <w:vAlign w:val="center"/>
                </w:tcPr>
                <w:p w14:paraId="5D458E36">
                  <w:pPr>
                    <w:keepNext w:val="0"/>
                    <w:keepLines w:val="0"/>
                    <w:widowControl/>
                    <w:suppressLineNumbers w:val="0"/>
                    <w:spacing w:line="240" w:lineRule="auto"/>
                    <w:jc w:val="center"/>
                    <w:textAlignment w:val="center"/>
                    <w:rPr>
                      <w:rFonts w:hint="default" w:ascii="Times New Roman" w:hAnsi="Times New Roman" w:cs="Times New Roman"/>
                      <w:color w:val="auto"/>
                      <w:kern w:val="2"/>
                      <w:sz w:val="21"/>
                      <w:szCs w:val="21"/>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待鉴定</w:t>
                  </w:r>
                </w:p>
              </w:tc>
              <w:tc>
                <w:tcPr>
                  <w:tcW w:w="571" w:type="dxa"/>
                  <w:vMerge w:val="continue"/>
                  <w:noWrap w:val="0"/>
                  <w:vAlign w:val="center"/>
                </w:tcPr>
                <w:p w14:paraId="680B9FE6">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52490D0A">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0BC783C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noWrap w:val="0"/>
                  <w:vAlign w:val="center"/>
                </w:tcPr>
                <w:p w14:paraId="3710AD5A">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2t</w:t>
                  </w:r>
                </w:p>
              </w:tc>
              <w:tc>
                <w:tcPr>
                  <w:tcW w:w="512" w:type="dxa"/>
                  <w:noWrap w:val="0"/>
                  <w:vAlign w:val="center"/>
                </w:tcPr>
                <w:p w14:paraId="478B5E4B">
                  <w:pPr>
                    <w:widowControl/>
                    <w:spacing w:line="240" w:lineRule="auto"/>
                    <w:jc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1年</w:t>
                  </w:r>
                </w:p>
              </w:tc>
            </w:tr>
            <w:tr w14:paraId="518A9DD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27A9E716">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17</w:t>
                  </w:r>
                </w:p>
              </w:tc>
              <w:tc>
                <w:tcPr>
                  <w:tcW w:w="1212" w:type="dxa"/>
                  <w:vMerge w:val="continue"/>
                  <w:noWrap w:val="0"/>
                  <w:vAlign w:val="center"/>
                </w:tcPr>
                <w:p w14:paraId="02B7CE28">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59CA844A">
                  <w:pPr>
                    <w:pStyle w:val="109"/>
                    <w:pageBreakBefore w:val="0"/>
                    <w:tabs>
                      <w:tab w:val="left" w:pos="-2848"/>
                    </w:tabs>
                    <w:wordWrap w:val="0"/>
                    <w:topLinePunct/>
                    <w:bidi w:val="0"/>
                    <w:spacing w:beforeAutospacing="0" w:afterAutospacing="0"/>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Cs w:val="21"/>
                      <w:lang w:val="en-US" w:eastAsia="zh-CN"/>
                    </w:rPr>
                    <w:t>废催化剂</w:t>
                  </w:r>
                </w:p>
              </w:tc>
              <w:tc>
                <w:tcPr>
                  <w:tcW w:w="780" w:type="dxa"/>
                  <w:shd w:val="clear" w:color="auto" w:fill="auto"/>
                  <w:noWrap w:val="0"/>
                  <w:vAlign w:val="center"/>
                </w:tcPr>
                <w:p w14:paraId="7FFCE301">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Cs w:val="21"/>
                      <w:lang w:val="en-US" w:eastAsia="zh-CN"/>
                    </w:rPr>
                    <w:t>HW50</w:t>
                  </w:r>
                </w:p>
              </w:tc>
              <w:tc>
                <w:tcPr>
                  <w:tcW w:w="1087" w:type="dxa"/>
                  <w:shd w:val="clear" w:color="auto" w:fill="auto"/>
                  <w:noWrap w:val="0"/>
                  <w:vAlign w:val="center"/>
                </w:tcPr>
                <w:p w14:paraId="45E9AC04">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Cs w:val="21"/>
                      <w:lang w:val="en-US" w:eastAsia="zh-CN"/>
                    </w:rPr>
                    <w:t>900-049-50</w:t>
                  </w:r>
                </w:p>
              </w:tc>
              <w:tc>
                <w:tcPr>
                  <w:tcW w:w="571" w:type="dxa"/>
                  <w:vMerge w:val="continue"/>
                  <w:noWrap w:val="0"/>
                  <w:vAlign w:val="center"/>
                </w:tcPr>
                <w:p w14:paraId="2032A5F6">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66B31C17">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shd w:val="clear" w:color="auto" w:fill="auto"/>
                  <w:noWrap w:val="0"/>
                  <w:vAlign w:val="center"/>
                </w:tcPr>
                <w:p w14:paraId="7360B26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堆存</w:t>
                  </w:r>
                </w:p>
              </w:tc>
              <w:tc>
                <w:tcPr>
                  <w:tcW w:w="653" w:type="dxa"/>
                  <w:shd w:val="clear" w:color="auto" w:fill="auto"/>
                  <w:noWrap w:val="0"/>
                  <w:vAlign w:val="center"/>
                </w:tcPr>
                <w:p w14:paraId="4298F72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0.5t</w:t>
                  </w:r>
                </w:p>
              </w:tc>
              <w:tc>
                <w:tcPr>
                  <w:tcW w:w="512" w:type="dxa"/>
                  <w:shd w:val="clear" w:color="auto" w:fill="auto"/>
                  <w:noWrap w:val="0"/>
                  <w:vAlign w:val="center"/>
                </w:tcPr>
                <w:p w14:paraId="771DCAFE">
                  <w:pPr>
                    <w:widowControl/>
                    <w:spacing w:line="240" w:lineRule="auto"/>
                    <w:jc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1年</w:t>
                  </w:r>
                </w:p>
              </w:tc>
            </w:tr>
            <w:tr w14:paraId="05F9037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69" w:hRule="atLeast"/>
                <w:jc w:val="center"/>
              </w:trPr>
              <w:tc>
                <w:tcPr>
                  <w:tcW w:w="362" w:type="dxa"/>
                  <w:noWrap w:val="0"/>
                  <w:vAlign w:val="center"/>
                </w:tcPr>
                <w:p w14:paraId="03F34EE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18</w:t>
                  </w:r>
                </w:p>
              </w:tc>
              <w:tc>
                <w:tcPr>
                  <w:tcW w:w="1212" w:type="dxa"/>
                  <w:vMerge w:val="continue"/>
                  <w:noWrap w:val="0"/>
                  <w:vAlign w:val="center"/>
                </w:tcPr>
                <w:p w14:paraId="2EECDE8F">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1932" w:type="dxa"/>
                  <w:shd w:val="clear" w:color="auto" w:fill="auto"/>
                  <w:noWrap w:val="0"/>
                  <w:vAlign w:val="center"/>
                </w:tcPr>
                <w:p w14:paraId="50743357">
                  <w:pPr>
                    <w:pStyle w:val="109"/>
                    <w:pageBreakBefore w:val="0"/>
                    <w:tabs>
                      <w:tab w:val="left" w:pos="-2848"/>
                    </w:tabs>
                    <w:wordWrap w:val="0"/>
                    <w:topLinePunct/>
                    <w:bidi w:val="0"/>
                    <w:spacing w:beforeAutospacing="0" w:afterAutospacing="0"/>
                    <w:rPr>
                      <w:rFonts w:hint="default" w:ascii="Times New Roman" w:hAnsi="Times New Roman" w:cs="Times New Roman"/>
                      <w:color w:val="auto"/>
                      <w:szCs w:val="21"/>
                      <w:lang w:val="en-US" w:eastAsia="zh-CN"/>
                    </w:rPr>
                  </w:pPr>
                  <w:r>
                    <w:rPr>
                      <w:rFonts w:hint="eastAsia" w:ascii="Times New Roman" w:hAnsi="Times New Roman" w:cs="Times New Roman"/>
                      <w:color w:val="auto"/>
                      <w:szCs w:val="21"/>
                      <w:lang w:val="en-US" w:eastAsia="zh-CN"/>
                    </w:rPr>
                    <w:t>喷淋废液及沉渣</w:t>
                  </w:r>
                </w:p>
              </w:tc>
              <w:tc>
                <w:tcPr>
                  <w:tcW w:w="780" w:type="dxa"/>
                  <w:shd w:val="clear" w:color="auto" w:fill="auto"/>
                  <w:noWrap w:val="0"/>
                  <w:vAlign w:val="center"/>
                </w:tcPr>
                <w:p w14:paraId="5266EC3E">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HW12</w:t>
                  </w:r>
                </w:p>
              </w:tc>
              <w:tc>
                <w:tcPr>
                  <w:tcW w:w="1087" w:type="dxa"/>
                  <w:shd w:val="clear" w:color="auto" w:fill="auto"/>
                  <w:noWrap w:val="0"/>
                  <w:vAlign w:val="center"/>
                </w:tcPr>
                <w:p w14:paraId="3A014DD3">
                  <w:pPr>
                    <w:pStyle w:val="109"/>
                    <w:pageBreakBefore w:val="0"/>
                    <w:tabs>
                      <w:tab w:val="left" w:pos="-2848"/>
                    </w:tabs>
                    <w:wordWrap w:val="0"/>
                    <w:topLinePunct/>
                    <w:bidi w:val="0"/>
                    <w:spacing w:beforeAutospacing="0" w:afterAutospacing="0"/>
                    <w:rPr>
                      <w:rFonts w:hint="default" w:ascii="Times New Roman" w:hAnsi="Times New Roman" w:eastAsia="宋体" w:cs="Times New Roman"/>
                      <w:color w:val="auto"/>
                      <w:szCs w:val="21"/>
                      <w:lang w:val="en-US" w:eastAsia="zh-CN"/>
                    </w:rPr>
                  </w:pPr>
                  <w:r>
                    <w:rPr>
                      <w:rFonts w:hint="eastAsia" w:ascii="Times New Roman" w:hAnsi="Times New Roman" w:cs="Times New Roman"/>
                      <w:color w:val="auto"/>
                      <w:szCs w:val="21"/>
                      <w:lang w:val="en-US" w:eastAsia="zh-CN"/>
                    </w:rPr>
                    <w:t>900-252-12</w:t>
                  </w:r>
                </w:p>
              </w:tc>
              <w:tc>
                <w:tcPr>
                  <w:tcW w:w="571" w:type="dxa"/>
                  <w:vMerge w:val="continue"/>
                  <w:noWrap w:val="0"/>
                  <w:vAlign w:val="center"/>
                </w:tcPr>
                <w:p w14:paraId="20B1F61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52" w:type="dxa"/>
                  <w:vMerge w:val="continue"/>
                  <w:noWrap w:val="0"/>
                  <w:vAlign w:val="center"/>
                </w:tcPr>
                <w:p w14:paraId="1DB19C0A">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65" w:type="dxa"/>
                  <w:noWrap w:val="0"/>
                  <w:vAlign w:val="center"/>
                </w:tcPr>
                <w:p w14:paraId="3253D1F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桶装</w:t>
                  </w:r>
                </w:p>
              </w:tc>
              <w:tc>
                <w:tcPr>
                  <w:tcW w:w="653" w:type="dxa"/>
                  <w:noWrap w:val="0"/>
                  <w:vAlign w:val="center"/>
                </w:tcPr>
                <w:p w14:paraId="466713E2">
                  <w:pPr>
                    <w:widowControl/>
                    <w:spacing w:line="240" w:lineRule="auto"/>
                    <w:jc w:val="center"/>
                    <w:textAlignment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3t</w:t>
                  </w:r>
                </w:p>
              </w:tc>
              <w:tc>
                <w:tcPr>
                  <w:tcW w:w="512" w:type="dxa"/>
                  <w:noWrap w:val="0"/>
                  <w:vAlign w:val="center"/>
                </w:tcPr>
                <w:p w14:paraId="15171DD5">
                  <w:pPr>
                    <w:widowControl/>
                    <w:spacing w:line="240" w:lineRule="auto"/>
                    <w:jc w:val="center"/>
                    <w:rPr>
                      <w:rFonts w:hint="default"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1年</w:t>
                  </w:r>
                </w:p>
              </w:tc>
            </w:tr>
          </w:tbl>
          <w:p w14:paraId="1B1264C7">
            <w:pPr>
              <w:pStyle w:val="112"/>
              <w:keepNext w:val="0"/>
              <w:keepLines w:val="0"/>
              <w:pageBreakBefore w:val="0"/>
              <w:widowControl w:val="0"/>
              <w:kinsoku/>
              <w:wordWrap/>
              <w:overflowPunct/>
              <w:topLinePunct w:val="0"/>
              <w:autoSpaceDE/>
              <w:autoSpaceDN/>
              <w:bidi w:val="0"/>
              <w:adjustRightInd/>
              <w:snapToGrid/>
              <w:spacing w:line="120" w:lineRule="exact"/>
              <w:ind w:left="595"/>
              <w:textAlignment w:val="auto"/>
              <w:rPr>
                <w:rFonts w:hint="default" w:ascii="Times New Roman" w:hAnsi="Times New Roman" w:eastAsia="宋体" w:cs="Times New Roman"/>
                <w:color w:val="auto"/>
                <w:sz w:val="24"/>
                <w:highlight w:val="none"/>
                <w:lang w:eastAsia="zh-CN"/>
              </w:rPr>
            </w:pPr>
          </w:p>
          <w:p w14:paraId="2BB1B5F8">
            <w:pPr>
              <w:spacing w:line="360" w:lineRule="auto"/>
              <w:ind w:firstLine="480" w:firstLineChars="200"/>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lang w:val="en-US" w:eastAsia="zh-CN"/>
              </w:rPr>
              <w:t xml:space="preserve">3）危险废物运输要求 </w:t>
            </w:r>
          </w:p>
          <w:p w14:paraId="1C7B42A5">
            <w:pPr>
              <w:spacing w:line="360" w:lineRule="auto"/>
              <w:ind w:firstLine="480" w:firstLineChars="200"/>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项目危险废物经收集后交由有危险废物处理资质的单位外运处理。危险废物须严格按照《广东省危险废物经营许可证管理暂行规定》和《广东省危险废物转移报告联单管理暂行规定》中的有关要求管理。建设单位应委托具有相应资质的运输单位和利用处置经营单位，签订委托合同，依法委托运输、利用处置危险废物。在委托时，应详细核实运输单位、车辆、驾驶员及押运员的资质，并根据废物特性，选择运输工具，严防二次污染；应详细核实经营单位资质，严禁委托不具资质或资质不符的单位处置。转移前，产生单位应制定转移计划，向</w:t>
            </w:r>
            <w:r>
              <w:rPr>
                <w:rFonts w:hint="eastAsia" w:cs="Times New Roman"/>
                <w:b w:val="0"/>
                <w:bCs w:val="0"/>
                <w:color w:val="auto"/>
                <w:sz w:val="24"/>
                <w:highlight w:val="none"/>
                <w:lang w:val="en-US" w:eastAsia="zh-CN"/>
              </w:rPr>
              <w:t>生态环境主管部门</w:t>
            </w:r>
            <w:r>
              <w:rPr>
                <w:rFonts w:hint="default" w:ascii="Times New Roman" w:hAnsi="Times New Roman" w:eastAsia="宋体" w:cs="Times New Roman"/>
                <w:b w:val="0"/>
                <w:bCs w:val="0"/>
                <w:color w:val="auto"/>
                <w:sz w:val="24"/>
                <w:highlight w:val="none"/>
                <w:lang w:val="en-US" w:eastAsia="zh-CN"/>
              </w:rPr>
              <w:t>报备并领取联单；转移后，应按照转移实际，做到一转移一联单，并及时向</w:t>
            </w:r>
            <w:r>
              <w:rPr>
                <w:rFonts w:hint="eastAsia" w:cs="Times New Roman"/>
                <w:b w:val="0"/>
                <w:bCs w:val="0"/>
                <w:color w:val="auto"/>
                <w:sz w:val="24"/>
                <w:highlight w:val="none"/>
                <w:lang w:val="en-US" w:eastAsia="zh-CN"/>
              </w:rPr>
              <w:t>生态环境主管部门</w:t>
            </w:r>
            <w:r>
              <w:rPr>
                <w:rFonts w:hint="default" w:ascii="Times New Roman" w:hAnsi="Times New Roman" w:eastAsia="宋体" w:cs="Times New Roman"/>
                <w:b w:val="0"/>
                <w:bCs w:val="0"/>
                <w:color w:val="auto"/>
                <w:sz w:val="24"/>
                <w:highlight w:val="none"/>
                <w:lang w:val="en-US" w:eastAsia="zh-CN"/>
              </w:rPr>
              <w:t>提交转移联单，联单保存应在五年以上。</w:t>
            </w:r>
          </w:p>
          <w:p w14:paraId="7E0A5AF1">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4.3环境影响评价结论</w:t>
            </w:r>
          </w:p>
          <w:p w14:paraId="4E6DDD4E">
            <w:pPr>
              <w:spacing w:line="360" w:lineRule="auto"/>
              <w:ind w:firstLine="480" w:firstLineChars="200"/>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lang w:val="en-US" w:eastAsia="zh-CN"/>
              </w:rPr>
              <w:t>本项目产生的固体废物经上述措施处理后，项目产生的固废均能得到妥善处置，不会直接对环境造成明显不利影响。</w:t>
            </w:r>
          </w:p>
          <w:p w14:paraId="714AF595">
            <w:p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5、地下水、土壤</w:t>
            </w:r>
          </w:p>
          <w:p w14:paraId="35CFB153">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bookmarkStart w:id="35" w:name="bookmark4"/>
            <w:r>
              <w:rPr>
                <w:rFonts w:hint="default" w:ascii="Times New Roman" w:hAnsi="Times New Roman" w:eastAsia="宋体" w:cs="Times New Roman"/>
                <w:b/>
                <w:bCs/>
                <w:color w:val="auto"/>
                <w:sz w:val="24"/>
                <w:szCs w:val="24"/>
                <w:highlight w:val="none"/>
                <w:lang w:val="en-US" w:eastAsia="zh-CN"/>
              </w:rPr>
              <w:t>5.1地下水和土壤污染源及污染途径分析</w:t>
            </w:r>
          </w:p>
          <w:p w14:paraId="5A587D59">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地下水污染主要是由于污染物迁移穿过包气带进入含水层造成；土壤污染主要由大气沉降、地面漫流、垂直入渗等原因造成。</w:t>
            </w:r>
          </w:p>
          <w:p w14:paraId="5912D89E">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项目厂区地面已全部硬化，危废间、化学品仓地面硬化，并刷环氧树脂漆防渗层、设置围堰，地面防腐防渗措施良好，不存在露天生产或储存的情况，即不存受雨水冲刷、淋溶出污染物的情况。</w:t>
            </w:r>
          </w:p>
          <w:p w14:paraId="3257A191">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项目危险废物暂存仓按《危险废物贮存污染控制标准》（GB18597-2023）相关要求设置；污水处理站、生产车间均为硬底化地面，若生产设备发生渗漏可及时发现并检修，即使发生渗漏时也可以有效收集；事故废水设置导流沟连通事故应急池，以便收集事故废水，可有效避免消防废水流出厂外。因此，本项目不存在污染土壤和地下水环境的途径。</w:t>
            </w:r>
          </w:p>
          <w:p w14:paraId="5A8C8DC9">
            <w:pPr>
              <w:spacing w:line="360" w:lineRule="auto"/>
              <w:ind w:firstLine="482" w:firstLineChars="200"/>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5.2地下水和土壤污染防控措施</w:t>
            </w:r>
          </w:p>
          <w:p w14:paraId="75E2F632">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针对项目可能发生的地下水、土壤污染，按照“源头控制、末端防治、污染监控、应急响应”相结合的原则，从污染物的产生、入渗、扩散、应急响应全阶段进行控制；进行污染防治分区，按照要求进行分区防渗处理。为进一步降低项目运行过程对地下水、土壤环境的影响，本环评建议建设单位做好以下内容：</w:t>
            </w:r>
          </w:p>
          <w:p w14:paraId="7C7DB490">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（1）生产中严格落实废水收集、治理措施。生产中加强废水收集巡检，发现泄漏后采取堵截措施，将泄漏的废污水控制在厂区范围内，并妥善处理。</w:t>
            </w:r>
          </w:p>
          <w:p w14:paraId="1171F969">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（2）加强废气处理设备的管理和维护，确保设备处于良好的运行状态，做到源头控制，减少颗粒物的排放。</w:t>
            </w:r>
          </w:p>
          <w:p w14:paraId="7E51584F">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（3）车间地面做好防渗、防腐工作。地下水、土壤污染防治工作统筹考虑，项目生产厂房、</w:t>
            </w:r>
            <w:r>
              <w:rPr>
                <w:rFonts w:hint="eastAsia" w:cs="Times New Roman"/>
                <w:b w:val="0"/>
                <w:bCs w:val="0"/>
                <w:color w:val="auto"/>
                <w:sz w:val="24"/>
                <w:szCs w:val="24"/>
                <w:highlight w:val="none"/>
                <w:lang w:val="en-US" w:eastAsia="zh-CN"/>
              </w:rPr>
              <w:t>危险废物贮存间</w:t>
            </w:r>
            <w:r>
              <w:rPr>
                <w:rFonts w:hint="default" w:ascii="Times New Roman" w:hAnsi="Times New Roman" w:eastAsia="宋体" w:cs="Times New Roman"/>
                <w:b w:val="0"/>
                <w:bCs w:val="0"/>
                <w:color w:val="auto"/>
                <w:sz w:val="24"/>
                <w:szCs w:val="24"/>
                <w:highlight w:val="none"/>
                <w:lang w:val="en-US" w:eastAsia="zh-CN"/>
              </w:rPr>
              <w:t>、污水处理站属于重点污染区，做好各区域的地面防渗方案，采用符合防渗标准要求的防渗材料。</w:t>
            </w:r>
          </w:p>
          <w:p w14:paraId="681DCBF7">
            <w:pPr>
              <w:spacing w:line="360" w:lineRule="auto"/>
              <w:ind w:firstLine="480" w:firstLineChars="200"/>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4）原料及产品转运、贮存等各环节做好防风、防水、防渗措施，避免有害物质流失禁止随意弃置、堆放、填埋。固体废物应分类收集暂存，严格按照《危险废物贮存污染控制标准》（GB18597-2023）相关要求对危险废物进行收集、暂存，并委托持有《危险废物经营许可证》的单位进行无害化处理处置。化学品存放区应备有泄漏应急处理设备（防渗托盘）和合适的收容材料，储存、运输过程中应当进行密闭，采取塑料包装物进行密闭等措施，避免化学品泄漏。</w:t>
            </w:r>
          </w:p>
          <w:p w14:paraId="5BAD6BEF">
            <w:pPr>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b w:val="0"/>
                <w:bCs w:val="0"/>
                <w:color w:val="auto"/>
                <w:sz w:val="24"/>
                <w:szCs w:val="24"/>
                <w:highlight w:val="none"/>
                <w:lang w:val="en-US" w:eastAsia="zh-CN"/>
              </w:rPr>
              <w:t>综上，本项目采取以上措施后，不会对地下水和土壤产生明显的不利影响。</w:t>
            </w:r>
            <w:bookmarkEnd w:id="35"/>
          </w:p>
          <w:p w14:paraId="68019EC1">
            <w:pPr>
              <w:numPr>
                <w:ilvl w:val="0"/>
                <w:numId w:val="15"/>
              </w:numPr>
              <w:spacing w:line="360" w:lineRule="auto"/>
              <w:ind w:firstLine="482"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生态</w:t>
            </w:r>
          </w:p>
          <w:p w14:paraId="07DFA4E2">
            <w:pPr>
              <w:spacing w:line="360" w:lineRule="auto"/>
              <w:ind w:firstLine="480" w:firstLineChars="200"/>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color w:val="auto"/>
                <w:sz w:val="24"/>
                <w:highlight w:val="none"/>
              </w:rPr>
              <w:t>本项目所在区域无特殊的生态环境和需特别保护的野生动植物，不属于生态环境敏感区。因此，本项目的建设不会对周边生态环境造成明显影响。</w:t>
            </w:r>
          </w:p>
          <w:p w14:paraId="5446807F">
            <w:pPr>
              <w:pStyle w:val="43"/>
              <w:spacing w:after="0" w:line="360" w:lineRule="auto"/>
              <w:ind w:firstLine="482"/>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7、环境风险</w:t>
            </w:r>
          </w:p>
          <w:p w14:paraId="1F472F84">
            <w:pPr>
              <w:pStyle w:val="43"/>
              <w:spacing w:after="0" w:line="360" w:lineRule="auto"/>
              <w:ind w:firstLine="482"/>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en-US" w:eastAsia="zh-CN"/>
              </w:rPr>
              <w:t>7.1环境风险物质识别</w:t>
            </w:r>
          </w:p>
          <w:p w14:paraId="0518E4A4">
            <w:pPr>
              <w:pStyle w:val="43"/>
              <w:spacing w:after="0" w:line="360" w:lineRule="auto"/>
              <w:ind w:firstLine="482"/>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本项目涉及《建设项目环境风险评价技术导则》（HJ169-2018）附录B表B.1及表B.2所列部分危险物质</w:t>
            </w:r>
            <w:r>
              <w:rPr>
                <w:rFonts w:hint="default" w:ascii="Times New Roman" w:hAnsi="Times New Roman" w:eastAsia="宋体" w:cs="Times New Roman"/>
                <w:color w:val="auto"/>
                <w:sz w:val="24"/>
                <w:szCs w:val="24"/>
                <w:highlight w:val="none"/>
                <w:lang w:val="en-US" w:eastAsia="zh-CN"/>
              </w:rPr>
              <w:t>包括无铬钝化剂、pH调整剂</w:t>
            </w:r>
            <w:r>
              <w:rPr>
                <w:rFonts w:hint="default" w:ascii="Times New Roman" w:hAnsi="Times New Roman" w:eastAsia="宋体" w:cs="Times New Roman"/>
                <w:color w:val="auto"/>
                <w:sz w:val="24"/>
                <w:szCs w:val="24"/>
                <w:highlight w:val="none"/>
                <w:lang w:eastAsia="zh-CN"/>
              </w:rPr>
              <w:t>、机油、</w:t>
            </w:r>
            <w:r>
              <w:rPr>
                <w:rFonts w:hint="default" w:ascii="Times New Roman" w:hAnsi="Times New Roman" w:eastAsia="宋体" w:cs="Times New Roman"/>
                <w:color w:val="auto"/>
                <w:sz w:val="24"/>
                <w:szCs w:val="24"/>
                <w:highlight w:val="none"/>
                <w:lang w:val="en-US" w:eastAsia="zh-CN"/>
              </w:rPr>
              <w:t>液压油、天然气以及</w:t>
            </w:r>
            <w:r>
              <w:rPr>
                <w:rFonts w:hint="default" w:ascii="Times New Roman" w:hAnsi="Times New Roman" w:eastAsia="宋体" w:cs="Times New Roman"/>
                <w:color w:val="auto"/>
                <w:sz w:val="24"/>
                <w:szCs w:val="24"/>
                <w:highlight w:val="none"/>
                <w:lang w:eastAsia="zh-CN"/>
              </w:rPr>
              <w:t>危险废物。根据《建设项目环境风险评价技术导则》（HJ169-2018）附录C（规范性附录）危险物质及工艺系统危险性（P）的分级，计算本项目涉及的危险物质最大存在总量与其在附录B中对应临界量的比值Q。当只涉及一种环境风险物质时，计算该物质的总数量与其临界量比值，即为Q；当存在多种环境风险物质时，则按下式计算物质数量与其临界量比值（Q）：</w:t>
            </w:r>
          </w:p>
          <w:p w14:paraId="4C6AABB0">
            <w:pPr>
              <w:pStyle w:val="43"/>
              <w:spacing w:after="0" w:line="360" w:lineRule="auto"/>
              <w:jc w:val="center"/>
              <w:rPr>
                <w:rFonts w:hint="default" w:ascii="Times New Roman" w:hAnsi="Times New Roman" w:eastAsia="宋体" w:cs="Times New Roman"/>
                <w:color w:val="auto"/>
                <w:spacing w:val="-5"/>
                <w:sz w:val="24"/>
                <w:szCs w:val="24"/>
                <w:highlight w:val="none"/>
                <w:lang w:eastAsia="zh-CN"/>
              </w:rPr>
            </w:pPr>
            <w:r>
              <w:rPr>
                <w:rFonts w:hint="default" w:ascii="Times New Roman" w:hAnsi="Times New Roman" w:eastAsia="宋体" w:cs="Times New Roman"/>
                <w:color w:val="auto"/>
                <w:spacing w:val="-5"/>
                <w:position w:val="-30"/>
                <w:sz w:val="24"/>
                <w:szCs w:val="24"/>
                <w:highlight w:val="none"/>
                <w:lang w:eastAsia="zh-CN"/>
              </w:rPr>
              <w:object>
                <v:shape id="_x0000_i1036" o:spt="75" type="#_x0000_t75" style="height:34pt;width:101pt;" o:ole="t" filled="f" o:preferrelative="t" stroked="f" coordsize="21600,21600">
                  <v:path/>
                  <v:fill on="f" focussize="0,0"/>
                  <v:stroke on="f"/>
                  <v:imagedata r:id="rId48" o:title=""/>
                  <o:lock v:ext="edit" aspectratio="t"/>
                  <w10:wrap type="none"/>
                  <w10:anchorlock/>
                </v:shape>
                <o:OLEObject Type="Embed" ProgID="Equation.KSEE3" ShapeID="_x0000_i1036" DrawAspect="Content" ObjectID="_1468075736" r:id="rId47">
                  <o:LockedField>false</o:LockedField>
                </o:OLEObject>
              </w:object>
            </w:r>
          </w:p>
          <w:p w14:paraId="3732F0A9">
            <w:pPr>
              <w:pStyle w:val="43"/>
              <w:spacing w:after="0" w:line="360" w:lineRule="auto"/>
              <w:ind w:firstLine="482"/>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5"/>
                <w:sz w:val="24"/>
                <w:szCs w:val="24"/>
                <w:highlight w:val="none"/>
              </w:rPr>
              <w:t>式中：</w:t>
            </w:r>
            <w:r>
              <w:rPr>
                <w:rFonts w:hint="default" w:ascii="Times New Roman" w:hAnsi="Times New Roman" w:eastAsia="Times New Roman" w:cs="Times New Roman"/>
                <w:color w:val="auto"/>
                <w:spacing w:val="-5"/>
                <w:sz w:val="24"/>
                <w:szCs w:val="24"/>
                <w:highlight w:val="none"/>
              </w:rPr>
              <w:t>q</w:t>
            </w:r>
            <w:r>
              <w:rPr>
                <w:rFonts w:hint="default" w:ascii="Times New Roman" w:hAnsi="Times New Roman" w:eastAsia="Times New Roman" w:cs="Times New Roman"/>
                <w:color w:val="auto"/>
                <w:spacing w:val="-5"/>
                <w:sz w:val="24"/>
                <w:szCs w:val="24"/>
                <w:highlight w:val="none"/>
                <w:vertAlign w:val="subscript"/>
              </w:rPr>
              <w:t>1</w:t>
            </w:r>
            <w:r>
              <w:rPr>
                <w:rFonts w:hint="default" w:ascii="Times New Roman" w:hAnsi="Times New Roman" w:cs="Times New Roman"/>
                <w:color w:val="auto"/>
                <w:spacing w:val="-5"/>
                <w:sz w:val="24"/>
                <w:szCs w:val="24"/>
                <w:highlight w:val="none"/>
              </w:rPr>
              <w:t>，</w:t>
            </w:r>
            <w:r>
              <w:rPr>
                <w:rFonts w:hint="default" w:ascii="Times New Roman" w:hAnsi="Times New Roman" w:eastAsia="Times New Roman" w:cs="Times New Roman"/>
                <w:color w:val="auto"/>
                <w:spacing w:val="-5"/>
                <w:sz w:val="24"/>
                <w:szCs w:val="24"/>
                <w:highlight w:val="none"/>
              </w:rPr>
              <w:t>q</w:t>
            </w:r>
            <w:r>
              <w:rPr>
                <w:rFonts w:hint="default" w:ascii="Times New Roman" w:hAnsi="Times New Roman" w:eastAsia="Times New Roman" w:cs="Times New Roman"/>
                <w:color w:val="auto"/>
                <w:spacing w:val="-5"/>
                <w:sz w:val="24"/>
                <w:szCs w:val="24"/>
                <w:highlight w:val="none"/>
                <w:vertAlign w:val="subscript"/>
              </w:rPr>
              <w:t>2</w:t>
            </w:r>
            <w:r>
              <w:rPr>
                <w:rFonts w:hint="default" w:ascii="Times New Roman" w:hAnsi="Times New Roman" w:cs="Times New Roman"/>
                <w:color w:val="auto"/>
                <w:spacing w:val="-5"/>
                <w:sz w:val="24"/>
                <w:szCs w:val="24"/>
                <w:highlight w:val="none"/>
              </w:rPr>
              <w:t>，</w:t>
            </w:r>
            <w:r>
              <w:rPr>
                <w:rFonts w:hint="default" w:ascii="Times New Roman" w:hAnsi="Times New Roman" w:cs="Times New Roman"/>
                <w:color w:val="auto"/>
                <w:spacing w:val="-5"/>
                <w:sz w:val="24"/>
                <w:szCs w:val="24"/>
                <w:highlight w:val="none"/>
                <w:lang w:val="en-US" w:eastAsia="zh-CN"/>
              </w:rPr>
              <w:t>...</w:t>
            </w:r>
            <w:r>
              <w:rPr>
                <w:rFonts w:hint="default" w:ascii="Times New Roman" w:hAnsi="Times New Roman" w:cs="Times New Roman"/>
                <w:color w:val="auto"/>
                <w:spacing w:val="-5"/>
                <w:sz w:val="24"/>
                <w:szCs w:val="24"/>
                <w:highlight w:val="none"/>
                <w:lang w:eastAsia="zh-CN"/>
              </w:rPr>
              <w:t>，</w:t>
            </w:r>
            <w:r>
              <w:rPr>
                <w:rFonts w:hint="default" w:ascii="Times New Roman" w:hAnsi="Times New Roman" w:eastAsia="Times New Roman" w:cs="Times New Roman"/>
                <w:color w:val="auto"/>
                <w:spacing w:val="-5"/>
                <w:sz w:val="24"/>
                <w:szCs w:val="24"/>
                <w:highlight w:val="none"/>
              </w:rPr>
              <w:t>q</w:t>
            </w:r>
            <w:r>
              <w:rPr>
                <w:rFonts w:hint="default" w:ascii="Times New Roman" w:hAnsi="Times New Roman" w:eastAsia="Times New Roman" w:cs="Times New Roman"/>
                <w:color w:val="auto"/>
                <w:spacing w:val="-5"/>
                <w:sz w:val="24"/>
                <w:szCs w:val="24"/>
                <w:highlight w:val="none"/>
                <w:vertAlign w:val="subscript"/>
              </w:rPr>
              <w:t>n</w:t>
            </w:r>
            <w:r>
              <w:rPr>
                <w:rFonts w:hint="default" w:ascii="Times New Roman" w:hAnsi="Times New Roman" w:eastAsia="Times New Roman" w:cs="Times New Roman"/>
                <w:color w:val="auto"/>
                <w:spacing w:val="-5"/>
                <w:sz w:val="24"/>
                <w:szCs w:val="24"/>
                <w:highlight w:val="none"/>
              </w:rPr>
              <w:t>—</w:t>
            </w:r>
            <w:r>
              <w:rPr>
                <w:rFonts w:hint="default" w:ascii="Times New Roman" w:hAnsi="Times New Roman" w:cs="Times New Roman"/>
                <w:color w:val="auto"/>
                <w:spacing w:val="-5"/>
                <w:sz w:val="24"/>
                <w:szCs w:val="24"/>
                <w:highlight w:val="none"/>
              </w:rPr>
              <w:t>每种危险物质的最大存在总量，</w:t>
            </w:r>
            <w:r>
              <w:rPr>
                <w:rFonts w:hint="default" w:ascii="Times New Roman" w:hAnsi="Times New Roman" w:eastAsia="Times New Roman" w:cs="Times New Roman"/>
                <w:color w:val="auto"/>
                <w:spacing w:val="-5"/>
                <w:sz w:val="24"/>
                <w:szCs w:val="24"/>
                <w:highlight w:val="none"/>
              </w:rPr>
              <w:t>t</w:t>
            </w:r>
            <w:r>
              <w:rPr>
                <w:rFonts w:hint="default" w:ascii="Times New Roman" w:hAnsi="Times New Roman" w:cs="Times New Roman"/>
                <w:color w:val="auto"/>
                <w:spacing w:val="-5"/>
                <w:sz w:val="24"/>
                <w:szCs w:val="24"/>
                <w:highlight w:val="none"/>
              </w:rPr>
              <w:t>；</w:t>
            </w:r>
            <w:r>
              <w:rPr>
                <w:rFonts w:hint="default" w:ascii="Times New Roman" w:hAnsi="Times New Roman" w:eastAsia="Times New Roman" w:cs="Times New Roman"/>
                <w:color w:val="auto"/>
                <w:spacing w:val="-2"/>
                <w:sz w:val="24"/>
                <w:szCs w:val="24"/>
                <w:highlight w:val="none"/>
              </w:rPr>
              <w:t>Q</w:t>
            </w:r>
            <w:r>
              <w:rPr>
                <w:rFonts w:hint="default" w:ascii="Times New Roman" w:hAnsi="Times New Roman" w:eastAsia="Times New Roman" w:cs="Times New Roman"/>
                <w:color w:val="auto"/>
                <w:spacing w:val="-5"/>
                <w:sz w:val="24"/>
                <w:szCs w:val="24"/>
                <w:highlight w:val="none"/>
                <w:vertAlign w:val="subscript"/>
              </w:rPr>
              <w:t>1</w:t>
            </w:r>
            <w:r>
              <w:rPr>
                <w:rFonts w:hint="default" w:ascii="Times New Roman" w:hAnsi="Times New Roman" w:cs="Times New Roman"/>
                <w:color w:val="auto"/>
                <w:spacing w:val="-2"/>
                <w:sz w:val="24"/>
                <w:szCs w:val="24"/>
                <w:highlight w:val="none"/>
              </w:rPr>
              <w:t>，</w:t>
            </w:r>
            <w:r>
              <w:rPr>
                <w:rFonts w:hint="default" w:ascii="Times New Roman" w:hAnsi="Times New Roman" w:eastAsia="Times New Roman" w:cs="Times New Roman"/>
                <w:color w:val="auto"/>
                <w:spacing w:val="-2"/>
                <w:sz w:val="24"/>
                <w:szCs w:val="24"/>
                <w:highlight w:val="none"/>
              </w:rPr>
              <w:t>Q</w:t>
            </w:r>
            <w:r>
              <w:rPr>
                <w:rFonts w:hint="default" w:ascii="Times New Roman" w:hAnsi="Times New Roman" w:eastAsia="Times New Roman" w:cs="Times New Roman"/>
                <w:color w:val="auto"/>
                <w:spacing w:val="-5"/>
                <w:sz w:val="24"/>
                <w:szCs w:val="24"/>
                <w:highlight w:val="none"/>
                <w:vertAlign w:val="subscript"/>
              </w:rPr>
              <w:t>2</w:t>
            </w:r>
            <w:r>
              <w:rPr>
                <w:rFonts w:hint="default" w:ascii="Times New Roman" w:hAnsi="Times New Roman" w:cs="Times New Roman"/>
                <w:color w:val="auto"/>
                <w:spacing w:val="-2"/>
                <w:sz w:val="24"/>
                <w:szCs w:val="24"/>
                <w:highlight w:val="none"/>
              </w:rPr>
              <w:t>，</w:t>
            </w:r>
            <w:r>
              <w:rPr>
                <w:rFonts w:hint="default" w:ascii="Times New Roman" w:hAnsi="Times New Roman" w:eastAsia="宋体" w:cs="Times New Roman"/>
                <w:color w:val="auto"/>
                <w:spacing w:val="-2"/>
                <w:sz w:val="24"/>
                <w:szCs w:val="24"/>
                <w:highlight w:val="none"/>
                <w:lang w:val="en-US" w:eastAsia="zh-CN"/>
              </w:rPr>
              <w:t>...</w:t>
            </w:r>
            <w:r>
              <w:rPr>
                <w:rFonts w:hint="default" w:ascii="Times New Roman" w:hAnsi="Times New Roman" w:eastAsia="宋体" w:cs="Times New Roman"/>
                <w:color w:val="auto"/>
                <w:spacing w:val="-2"/>
                <w:sz w:val="24"/>
                <w:szCs w:val="24"/>
                <w:highlight w:val="none"/>
                <w:lang w:eastAsia="zh-CN"/>
              </w:rPr>
              <w:t>，</w:t>
            </w:r>
            <w:r>
              <w:rPr>
                <w:rFonts w:hint="default" w:ascii="Times New Roman" w:hAnsi="Times New Roman" w:eastAsia="Times New Roman" w:cs="Times New Roman"/>
                <w:color w:val="auto"/>
                <w:spacing w:val="-2"/>
                <w:sz w:val="24"/>
                <w:szCs w:val="24"/>
                <w:highlight w:val="none"/>
              </w:rPr>
              <w:t>Q</w:t>
            </w:r>
            <w:r>
              <w:rPr>
                <w:rFonts w:hint="default" w:ascii="Times New Roman" w:hAnsi="Times New Roman" w:eastAsia="Times New Roman" w:cs="Times New Roman"/>
                <w:color w:val="auto"/>
                <w:spacing w:val="-5"/>
                <w:sz w:val="24"/>
                <w:szCs w:val="24"/>
                <w:highlight w:val="none"/>
                <w:vertAlign w:val="subscript"/>
              </w:rPr>
              <w:t>n</w:t>
            </w:r>
            <w:r>
              <w:rPr>
                <w:rFonts w:hint="default" w:ascii="Times New Roman" w:hAnsi="Times New Roman" w:eastAsia="Times New Roman" w:cs="Times New Roman"/>
                <w:color w:val="auto"/>
                <w:spacing w:val="-2"/>
                <w:sz w:val="24"/>
                <w:szCs w:val="24"/>
                <w:highlight w:val="none"/>
              </w:rPr>
              <w:t>—</w:t>
            </w:r>
            <w:r>
              <w:rPr>
                <w:rFonts w:hint="default" w:ascii="Times New Roman" w:hAnsi="Times New Roman" w:cs="Times New Roman"/>
                <w:color w:val="auto"/>
                <w:spacing w:val="-2"/>
                <w:sz w:val="24"/>
                <w:szCs w:val="24"/>
                <w:highlight w:val="none"/>
              </w:rPr>
              <w:t>每种环境风险物质相</w:t>
            </w:r>
            <w:r>
              <w:rPr>
                <w:rFonts w:hint="default" w:ascii="Times New Roman" w:hAnsi="Times New Roman" w:cs="Times New Roman"/>
                <w:color w:val="auto"/>
                <w:spacing w:val="-3"/>
                <w:sz w:val="24"/>
                <w:szCs w:val="24"/>
                <w:highlight w:val="none"/>
              </w:rPr>
              <w:t>对应的临界量，</w:t>
            </w:r>
            <w:r>
              <w:rPr>
                <w:rFonts w:hint="default" w:ascii="Times New Roman" w:hAnsi="Times New Roman" w:eastAsia="Times New Roman" w:cs="Times New Roman"/>
                <w:color w:val="auto"/>
                <w:spacing w:val="-3"/>
                <w:sz w:val="24"/>
                <w:szCs w:val="24"/>
                <w:highlight w:val="none"/>
              </w:rPr>
              <w:t>t</w:t>
            </w:r>
            <w:r>
              <w:rPr>
                <w:rFonts w:hint="default" w:ascii="Times New Roman" w:hAnsi="Times New Roman" w:cs="Times New Roman"/>
                <w:color w:val="auto"/>
                <w:spacing w:val="-3"/>
                <w:sz w:val="24"/>
                <w:szCs w:val="24"/>
                <w:highlight w:val="none"/>
              </w:rPr>
              <w:t>。</w:t>
            </w:r>
          </w:p>
          <w:p w14:paraId="43CD6DE7">
            <w:pPr>
              <w:pStyle w:val="43"/>
              <w:spacing w:after="0" w:line="360" w:lineRule="auto"/>
              <w:ind w:firstLine="482"/>
              <w:rPr>
                <w:rFonts w:hint="default" w:ascii="Times New Roman" w:hAnsi="Times New Roman" w:cs="Times New Roman"/>
                <w:color w:val="auto"/>
                <w:spacing w:val="-1"/>
                <w:sz w:val="24"/>
                <w:szCs w:val="24"/>
                <w:highlight w:val="none"/>
              </w:rPr>
            </w:pPr>
            <w:r>
              <w:rPr>
                <w:rFonts w:hint="default" w:ascii="Times New Roman" w:hAnsi="Times New Roman" w:eastAsia="宋体" w:cs="Times New Roman"/>
                <w:color w:val="auto"/>
                <w:sz w:val="24"/>
                <w:szCs w:val="24"/>
                <w:highlight w:val="none"/>
              </w:rPr>
              <w:t>本项目建成投产后，风险物质</w:t>
            </w:r>
            <w:r>
              <w:rPr>
                <w:rFonts w:hint="default" w:ascii="Times New Roman" w:hAnsi="Times New Roman" w:cs="Times New Roman"/>
                <w:color w:val="auto"/>
                <w:spacing w:val="-1"/>
                <w:sz w:val="24"/>
                <w:szCs w:val="24"/>
                <w:highlight w:val="none"/>
              </w:rPr>
              <w:t>危险物质数量、分布情况及</w:t>
            </w:r>
            <w:r>
              <w:rPr>
                <w:rFonts w:hint="default" w:ascii="Times New Roman" w:hAnsi="Times New Roman" w:eastAsia="Times New Roman" w:cs="Times New Roman"/>
                <w:color w:val="auto"/>
                <w:spacing w:val="-1"/>
                <w:sz w:val="24"/>
                <w:szCs w:val="24"/>
                <w:highlight w:val="none"/>
              </w:rPr>
              <w:t>Q</w:t>
            </w:r>
            <w:r>
              <w:rPr>
                <w:rFonts w:hint="default" w:ascii="Times New Roman" w:hAnsi="Times New Roman" w:cs="Times New Roman"/>
                <w:color w:val="auto"/>
                <w:spacing w:val="-1"/>
                <w:sz w:val="24"/>
                <w:szCs w:val="24"/>
                <w:highlight w:val="none"/>
              </w:rPr>
              <w:t>值核算情况如下表所示。</w:t>
            </w:r>
          </w:p>
          <w:p w14:paraId="5CDDFAA0">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 xml:space="preserve">40 </w:t>
            </w:r>
            <w:r>
              <w:rPr>
                <w:rFonts w:hint="default" w:ascii="Times New Roman" w:hAnsi="Times New Roman" w:eastAsia="宋体" w:cs="Times New Roman"/>
                <w:b/>
                <w:bCs/>
                <w:color w:val="auto"/>
                <w:sz w:val="21"/>
                <w:szCs w:val="21"/>
                <w:highlight w:val="none"/>
                <w:lang w:val="en-US" w:eastAsia="zh-CN"/>
              </w:rPr>
              <w:t>全厂风险物质Q值表</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26"/>
              <w:gridCol w:w="911"/>
              <w:gridCol w:w="1792"/>
              <w:gridCol w:w="1530"/>
              <w:gridCol w:w="1340"/>
              <w:gridCol w:w="943"/>
              <w:gridCol w:w="1284"/>
            </w:tblGrid>
            <w:tr w14:paraId="42C2D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25" w:hRule="atLeast"/>
                <w:jc w:val="center"/>
              </w:trPr>
              <w:tc>
                <w:tcPr>
                  <w:tcW w:w="626" w:type="dxa"/>
                  <w:shd w:val="clear" w:color="auto" w:fill="auto"/>
                  <w:vAlign w:val="center"/>
                </w:tcPr>
                <w:p w14:paraId="4C88CFA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序号</w:t>
                  </w:r>
                </w:p>
              </w:tc>
              <w:tc>
                <w:tcPr>
                  <w:tcW w:w="911" w:type="dxa"/>
                  <w:shd w:val="clear" w:color="auto" w:fill="auto"/>
                  <w:vAlign w:val="center"/>
                </w:tcPr>
                <w:p w14:paraId="6ACEE1A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类别</w:t>
                  </w:r>
                </w:p>
              </w:tc>
              <w:tc>
                <w:tcPr>
                  <w:tcW w:w="1792" w:type="dxa"/>
                  <w:shd w:val="clear" w:color="auto" w:fill="auto"/>
                  <w:vAlign w:val="center"/>
                </w:tcPr>
                <w:p w14:paraId="2354C40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风险组份及含量</w:t>
                  </w:r>
                </w:p>
              </w:tc>
              <w:tc>
                <w:tcPr>
                  <w:tcW w:w="1530" w:type="dxa"/>
                  <w:shd w:val="clear" w:color="auto" w:fill="auto"/>
                  <w:vAlign w:val="center"/>
                </w:tcPr>
                <w:p w14:paraId="06C6BDF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CAS号</w:t>
                  </w:r>
                </w:p>
              </w:tc>
              <w:tc>
                <w:tcPr>
                  <w:tcW w:w="1340" w:type="dxa"/>
                  <w:shd w:val="clear" w:color="auto" w:fill="auto"/>
                  <w:vAlign w:val="center"/>
                </w:tcPr>
                <w:p w14:paraId="5F56182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最大储存量t</w:t>
                  </w:r>
                </w:p>
              </w:tc>
              <w:tc>
                <w:tcPr>
                  <w:tcW w:w="943" w:type="dxa"/>
                  <w:shd w:val="clear" w:color="auto" w:fill="auto"/>
                  <w:vAlign w:val="center"/>
                </w:tcPr>
                <w:p w14:paraId="633E6F2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临界值t</w:t>
                  </w:r>
                </w:p>
              </w:tc>
              <w:tc>
                <w:tcPr>
                  <w:tcW w:w="1284" w:type="dxa"/>
                  <w:shd w:val="clear" w:color="auto" w:fill="auto"/>
                  <w:vAlign w:val="center"/>
                </w:tcPr>
                <w:p w14:paraId="11BD69E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比值/Q</w:t>
                  </w:r>
                </w:p>
              </w:tc>
            </w:tr>
            <w:tr w14:paraId="03BAF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6BE356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911" w:type="dxa"/>
                  <w:shd w:val="clear" w:color="auto" w:fill="auto"/>
                  <w:vAlign w:val="center"/>
                </w:tcPr>
                <w:p w14:paraId="195A54D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天然气</w:t>
                  </w:r>
                </w:p>
              </w:tc>
              <w:tc>
                <w:tcPr>
                  <w:tcW w:w="1792" w:type="dxa"/>
                  <w:shd w:val="clear" w:color="auto" w:fill="auto"/>
                  <w:vAlign w:val="center"/>
                </w:tcPr>
                <w:p w14:paraId="2E4293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甲烷</w:t>
                  </w:r>
                </w:p>
              </w:tc>
              <w:tc>
                <w:tcPr>
                  <w:tcW w:w="1530" w:type="dxa"/>
                  <w:shd w:val="clear" w:color="auto" w:fill="auto"/>
                  <w:vAlign w:val="center"/>
                </w:tcPr>
                <w:p w14:paraId="1DC96B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8006-14-2</w:t>
                  </w:r>
                </w:p>
              </w:tc>
              <w:tc>
                <w:tcPr>
                  <w:tcW w:w="1340" w:type="dxa"/>
                  <w:shd w:val="clear" w:color="auto" w:fill="auto"/>
                  <w:vAlign w:val="center"/>
                </w:tcPr>
                <w:p w14:paraId="1D8D9A1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0.00032</w:t>
                  </w:r>
                </w:p>
              </w:tc>
              <w:tc>
                <w:tcPr>
                  <w:tcW w:w="943" w:type="dxa"/>
                  <w:shd w:val="clear" w:color="auto" w:fill="auto"/>
                  <w:vAlign w:val="center"/>
                </w:tcPr>
                <w:p w14:paraId="5FA05D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02AB7A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0.000032</w:t>
                  </w:r>
                </w:p>
              </w:tc>
            </w:tr>
            <w:tr w14:paraId="2FB75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433F9D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911" w:type="dxa"/>
                  <w:shd w:val="clear" w:color="auto" w:fill="auto"/>
                  <w:vAlign w:val="center"/>
                </w:tcPr>
                <w:p w14:paraId="6242081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底漆</w:t>
                  </w:r>
                </w:p>
              </w:tc>
              <w:tc>
                <w:tcPr>
                  <w:tcW w:w="1792" w:type="dxa"/>
                  <w:shd w:val="clear" w:color="auto" w:fill="auto"/>
                  <w:vAlign w:val="center"/>
                </w:tcPr>
                <w:p w14:paraId="7B5810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二甲苯（33%）</w:t>
                  </w:r>
                </w:p>
              </w:tc>
              <w:tc>
                <w:tcPr>
                  <w:tcW w:w="1530" w:type="dxa"/>
                  <w:shd w:val="clear" w:color="auto" w:fill="auto"/>
                  <w:vAlign w:val="center"/>
                </w:tcPr>
                <w:p w14:paraId="596CAB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1330-20-7</w:t>
                  </w:r>
                </w:p>
              </w:tc>
              <w:tc>
                <w:tcPr>
                  <w:tcW w:w="1340" w:type="dxa"/>
                  <w:shd w:val="clear" w:color="auto" w:fill="auto"/>
                  <w:vAlign w:val="center"/>
                </w:tcPr>
                <w:p w14:paraId="1CFC0F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0.018</w:t>
                  </w:r>
                </w:p>
              </w:tc>
              <w:tc>
                <w:tcPr>
                  <w:tcW w:w="943" w:type="dxa"/>
                  <w:shd w:val="clear" w:color="auto" w:fill="auto"/>
                  <w:vAlign w:val="center"/>
                </w:tcPr>
                <w:p w14:paraId="330B59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6F0716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0.0018</w:t>
                  </w:r>
                </w:p>
              </w:tc>
            </w:tr>
            <w:tr w14:paraId="3F15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24555D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911" w:type="dxa"/>
                  <w:shd w:val="clear" w:color="auto" w:fill="auto"/>
                  <w:vAlign w:val="center"/>
                </w:tcPr>
                <w:p w14:paraId="708C78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面漆</w:t>
                  </w:r>
                </w:p>
              </w:tc>
              <w:tc>
                <w:tcPr>
                  <w:tcW w:w="1792" w:type="dxa"/>
                  <w:shd w:val="clear" w:color="auto" w:fill="auto"/>
                  <w:vAlign w:val="center"/>
                </w:tcPr>
                <w:p w14:paraId="338F91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二甲苯（27%）</w:t>
                  </w:r>
                </w:p>
              </w:tc>
              <w:tc>
                <w:tcPr>
                  <w:tcW w:w="1530" w:type="dxa"/>
                  <w:shd w:val="clear" w:color="auto" w:fill="auto"/>
                  <w:vAlign w:val="center"/>
                </w:tcPr>
                <w:p w14:paraId="6FF0CB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1330-20-7</w:t>
                  </w:r>
                </w:p>
              </w:tc>
              <w:tc>
                <w:tcPr>
                  <w:tcW w:w="1340" w:type="dxa"/>
                  <w:shd w:val="clear" w:color="auto" w:fill="auto"/>
                  <w:vAlign w:val="center"/>
                </w:tcPr>
                <w:p w14:paraId="6D5875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0.0385</w:t>
                  </w:r>
                </w:p>
              </w:tc>
              <w:tc>
                <w:tcPr>
                  <w:tcW w:w="943" w:type="dxa"/>
                  <w:shd w:val="clear" w:color="auto" w:fill="auto"/>
                  <w:vAlign w:val="center"/>
                </w:tcPr>
                <w:p w14:paraId="68F557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3834E8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0.00385</w:t>
                  </w:r>
                </w:p>
              </w:tc>
            </w:tr>
            <w:tr w14:paraId="34A12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046CF9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911" w:type="dxa"/>
                  <w:shd w:val="clear" w:color="auto" w:fill="auto"/>
                  <w:vAlign w:val="center"/>
                </w:tcPr>
                <w:p w14:paraId="4F83EE6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清漆</w:t>
                  </w:r>
                </w:p>
              </w:tc>
              <w:tc>
                <w:tcPr>
                  <w:tcW w:w="1792" w:type="dxa"/>
                  <w:shd w:val="clear" w:color="auto" w:fill="auto"/>
                  <w:vAlign w:val="center"/>
                </w:tcPr>
                <w:p w14:paraId="3D28ED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二甲苯（30%）</w:t>
                  </w:r>
                </w:p>
              </w:tc>
              <w:tc>
                <w:tcPr>
                  <w:tcW w:w="1530" w:type="dxa"/>
                  <w:shd w:val="clear" w:color="auto" w:fill="auto"/>
                  <w:vAlign w:val="center"/>
                </w:tcPr>
                <w:p w14:paraId="63CCBA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1330-20-7</w:t>
                  </w:r>
                </w:p>
              </w:tc>
              <w:tc>
                <w:tcPr>
                  <w:tcW w:w="1340" w:type="dxa"/>
                  <w:shd w:val="clear" w:color="auto" w:fill="auto"/>
                  <w:vAlign w:val="center"/>
                </w:tcPr>
                <w:p w14:paraId="663C003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0.01118</w:t>
                  </w:r>
                </w:p>
              </w:tc>
              <w:tc>
                <w:tcPr>
                  <w:tcW w:w="943" w:type="dxa"/>
                  <w:shd w:val="clear" w:color="auto" w:fill="auto"/>
                  <w:vAlign w:val="center"/>
                </w:tcPr>
                <w:p w14:paraId="4C0E57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5E5971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0.001118</w:t>
                  </w:r>
                </w:p>
              </w:tc>
            </w:tr>
            <w:tr w14:paraId="772E6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vMerge w:val="restart"/>
                  <w:shd w:val="clear" w:color="auto" w:fill="auto"/>
                  <w:vAlign w:val="center"/>
                </w:tcPr>
                <w:p w14:paraId="786ADA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911" w:type="dxa"/>
                  <w:vMerge w:val="restart"/>
                  <w:shd w:val="clear" w:color="auto" w:fill="auto"/>
                  <w:vAlign w:val="center"/>
                </w:tcPr>
                <w:p w14:paraId="3477FA0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稀释剂</w:t>
                  </w:r>
                </w:p>
              </w:tc>
              <w:tc>
                <w:tcPr>
                  <w:tcW w:w="1792" w:type="dxa"/>
                  <w:shd w:val="clear" w:color="auto" w:fill="auto"/>
                  <w:vAlign w:val="center"/>
                </w:tcPr>
                <w:p w14:paraId="703915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二甲苯（70%）</w:t>
                  </w:r>
                </w:p>
              </w:tc>
              <w:tc>
                <w:tcPr>
                  <w:tcW w:w="1530" w:type="dxa"/>
                  <w:shd w:val="clear" w:color="auto" w:fill="auto"/>
                  <w:vAlign w:val="center"/>
                </w:tcPr>
                <w:p w14:paraId="25A83C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1330-20-7</w:t>
                  </w:r>
                </w:p>
              </w:tc>
              <w:tc>
                <w:tcPr>
                  <w:tcW w:w="1340" w:type="dxa"/>
                  <w:shd w:val="clear" w:color="auto" w:fill="auto"/>
                  <w:vAlign w:val="center"/>
                </w:tcPr>
                <w:p w14:paraId="59098E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0.077</w:t>
                  </w:r>
                </w:p>
              </w:tc>
              <w:tc>
                <w:tcPr>
                  <w:tcW w:w="943" w:type="dxa"/>
                  <w:shd w:val="clear" w:color="auto" w:fill="auto"/>
                  <w:vAlign w:val="center"/>
                </w:tcPr>
                <w:p w14:paraId="653B34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3BC5CC5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0.0077</w:t>
                  </w:r>
                </w:p>
              </w:tc>
            </w:tr>
            <w:tr w14:paraId="7F88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626" w:type="dxa"/>
                  <w:vMerge w:val="continue"/>
                  <w:shd w:val="clear" w:color="auto" w:fill="auto"/>
                  <w:vAlign w:val="center"/>
                </w:tcPr>
                <w:p w14:paraId="59857743">
                  <w:pPr>
                    <w:jc w:val="center"/>
                    <w:rPr>
                      <w:rFonts w:hint="default" w:ascii="Times New Roman" w:hAnsi="Times New Roman" w:eastAsia="宋体" w:cs="Times New Roman"/>
                      <w:i w:val="0"/>
                      <w:iCs w:val="0"/>
                      <w:color w:val="auto"/>
                      <w:sz w:val="21"/>
                      <w:szCs w:val="21"/>
                      <w:u w:val="none"/>
                    </w:rPr>
                  </w:pPr>
                </w:p>
              </w:tc>
              <w:tc>
                <w:tcPr>
                  <w:tcW w:w="911" w:type="dxa"/>
                  <w:vMerge w:val="continue"/>
                  <w:shd w:val="clear" w:color="auto" w:fill="auto"/>
                  <w:vAlign w:val="center"/>
                </w:tcPr>
                <w:p w14:paraId="4608BE8D">
                  <w:pPr>
                    <w:jc w:val="center"/>
                    <w:rPr>
                      <w:rFonts w:hint="default" w:ascii="Times New Roman" w:hAnsi="Times New Roman" w:eastAsia="宋体" w:cs="Times New Roman"/>
                      <w:i w:val="0"/>
                      <w:iCs w:val="0"/>
                      <w:color w:val="auto"/>
                      <w:sz w:val="21"/>
                      <w:szCs w:val="21"/>
                      <w:u w:val="none"/>
                    </w:rPr>
                  </w:pPr>
                </w:p>
              </w:tc>
              <w:tc>
                <w:tcPr>
                  <w:tcW w:w="1792" w:type="dxa"/>
                  <w:shd w:val="clear" w:color="auto" w:fill="auto"/>
                  <w:vAlign w:val="center"/>
                </w:tcPr>
                <w:p w14:paraId="07E050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乙二醇单丁醚（30%）</w:t>
                  </w:r>
                </w:p>
              </w:tc>
              <w:tc>
                <w:tcPr>
                  <w:tcW w:w="1530" w:type="dxa"/>
                  <w:shd w:val="clear" w:color="auto" w:fill="auto"/>
                  <w:vAlign w:val="center"/>
                </w:tcPr>
                <w:p w14:paraId="573D08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111-76-2</w:t>
                  </w:r>
                </w:p>
              </w:tc>
              <w:tc>
                <w:tcPr>
                  <w:tcW w:w="1340" w:type="dxa"/>
                  <w:shd w:val="clear" w:color="auto" w:fill="auto"/>
                  <w:vAlign w:val="center"/>
                </w:tcPr>
                <w:p w14:paraId="31F0EE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0.033</w:t>
                  </w:r>
                </w:p>
              </w:tc>
              <w:tc>
                <w:tcPr>
                  <w:tcW w:w="943" w:type="dxa"/>
                  <w:shd w:val="clear" w:color="auto" w:fill="auto"/>
                  <w:vAlign w:val="center"/>
                </w:tcPr>
                <w:p w14:paraId="78B8CB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38015C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0.0033</w:t>
                  </w:r>
                </w:p>
              </w:tc>
            </w:tr>
            <w:tr w14:paraId="3B14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4CE372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911" w:type="dxa"/>
                  <w:shd w:val="clear" w:color="auto" w:fill="auto"/>
                  <w:vAlign w:val="center"/>
                </w:tcPr>
                <w:p w14:paraId="18D5B9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pH调整剂</w:t>
                  </w:r>
                </w:p>
              </w:tc>
              <w:tc>
                <w:tcPr>
                  <w:tcW w:w="1792" w:type="dxa"/>
                  <w:shd w:val="clear" w:color="auto" w:fill="auto"/>
                  <w:vAlign w:val="center"/>
                </w:tcPr>
                <w:p w14:paraId="6CA1A8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70%硫酸</w:t>
                  </w:r>
                </w:p>
              </w:tc>
              <w:tc>
                <w:tcPr>
                  <w:tcW w:w="1530" w:type="dxa"/>
                  <w:shd w:val="clear" w:color="auto" w:fill="auto"/>
                  <w:vAlign w:val="center"/>
                </w:tcPr>
                <w:p w14:paraId="678BE1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7664-93-9</w:t>
                  </w:r>
                </w:p>
              </w:tc>
              <w:tc>
                <w:tcPr>
                  <w:tcW w:w="1340" w:type="dxa"/>
                  <w:shd w:val="clear" w:color="auto" w:fill="auto"/>
                  <w:vAlign w:val="center"/>
                </w:tcPr>
                <w:p w14:paraId="4293B88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0.14</w:t>
                  </w:r>
                </w:p>
              </w:tc>
              <w:tc>
                <w:tcPr>
                  <w:tcW w:w="943" w:type="dxa"/>
                  <w:shd w:val="clear" w:color="auto" w:fill="auto"/>
                  <w:vAlign w:val="center"/>
                </w:tcPr>
                <w:p w14:paraId="14F0AA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84" w:type="dxa"/>
                  <w:shd w:val="clear" w:color="auto" w:fill="auto"/>
                  <w:vAlign w:val="center"/>
                </w:tcPr>
                <w:p w14:paraId="5C5EAA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0.014</w:t>
                  </w:r>
                </w:p>
              </w:tc>
            </w:tr>
            <w:tr w14:paraId="3E81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5510EBF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w:t>
                  </w:r>
                </w:p>
              </w:tc>
              <w:tc>
                <w:tcPr>
                  <w:tcW w:w="911" w:type="dxa"/>
                  <w:shd w:val="clear" w:color="auto" w:fill="auto"/>
                  <w:vAlign w:val="center"/>
                </w:tcPr>
                <w:p w14:paraId="1247E3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危险废物</w:t>
                  </w:r>
                </w:p>
              </w:tc>
              <w:tc>
                <w:tcPr>
                  <w:tcW w:w="1792" w:type="dxa"/>
                  <w:shd w:val="clear" w:color="auto" w:fill="auto"/>
                  <w:vAlign w:val="center"/>
                </w:tcPr>
                <w:p w14:paraId="0A58DE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530" w:type="dxa"/>
                  <w:shd w:val="clear" w:color="auto" w:fill="auto"/>
                  <w:vAlign w:val="center"/>
                </w:tcPr>
                <w:p w14:paraId="1FCC49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40" w:type="dxa"/>
                  <w:shd w:val="clear" w:color="auto" w:fill="auto"/>
                  <w:vAlign w:val="center"/>
                </w:tcPr>
                <w:p w14:paraId="23B146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45</w:t>
                  </w:r>
                </w:p>
              </w:tc>
              <w:tc>
                <w:tcPr>
                  <w:tcW w:w="943" w:type="dxa"/>
                  <w:shd w:val="clear" w:color="auto" w:fill="auto"/>
                  <w:vAlign w:val="center"/>
                </w:tcPr>
                <w:p w14:paraId="558B00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284" w:type="dxa"/>
                  <w:shd w:val="clear" w:color="auto" w:fill="auto"/>
                  <w:vAlign w:val="center"/>
                </w:tcPr>
                <w:p w14:paraId="178FB7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0.9</w:t>
                  </w:r>
                </w:p>
              </w:tc>
            </w:tr>
            <w:tr w14:paraId="3249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2FCDD0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911" w:type="dxa"/>
                  <w:shd w:val="clear" w:color="auto" w:fill="auto"/>
                  <w:vAlign w:val="center"/>
                </w:tcPr>
                <w:p w14:paraId="101E5C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机油</w:t>
                  </w:r>
                </w:p>
              </w:tc>
              <w:tc>
                <w:tcPr>
                  <w:tcW w:w="1792" w:type="dxa"/>
                  <w:shd w:val="clear" w:color="auto" w:fill="auto"/>
                  <w:vAlign w:val="center"/>
                </w:tcPr>
                <w:p w14:paraId="24E290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530" w:type="dxa"/>
                  <w:shd w:val="clear" w:color="auto" w:fill="auto"/>
                  <w:vAlign w:val="center"/>
                </w:tcPr>
                <w:p w14:paraId="54D48D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40" w:type="dxa"/>
                  <w:shd w:val="clear" w:color="auto" w:fill="auto"/>
                  <w:noWrap/>
                  <w:vAlign w:val="center"/>
                </w:tcPr>
                <w:p w14:paraId="427814A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943" w:type="dxa"/>
                  <w:shd w:val="clear" w:color="auto" w:fill="auto"/>
                  <w:vAlign w:val="center"/>
                </w:tcPr>
                <w:p w14:paraId="303A18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2500</w:t>
                  </w:r>
                </w:p>
              </w:tc>
              <w:tc>
                <w:tcPr>
                  <w:tcW w:w="1284" w:type="dxa"/>
                  <w:shd w:val="clear" w:color="auto" w:fill="auto"/>
                  <w:vAlign w:val="center"/>
                </w:tcPr>
                <w:p w14:paraId="11D61A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0.00004</w:t>
                  </w:r>
                </w:p>
              </w:tc>
            </w:tr>
            <w:tr w14:paraId="760E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shd w:val="clear" w:color="auto" w:fill="auto"/>
                  <w:vAlign w:val="center"/>
                </w:tcPr>
                <w:p w14:paraId="769D94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911" w:type="dxa"/>
                  <w:shd w:val="clear" w:color="auto" w:fill="auto"/>
                  <w:vAlign w:val="center"/>
                </w:tcPr>
                <w:p w14:paraId="20798F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液压油</w:t>
                  </w:r>
                </w:p>
              </w:tc>
              <w:tc>
                <w:tcPr>
                  <w:tcW w:w="1792" w:type="dxa"/>
                  <w:shd w:val="clear" w:color="auto" w:fill="auto"/>
                  <w:vAlign w:val="center"/>
                </w:tcPr>
                <w:p w14:paraId="6D7900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530" w:type="dxa"/>
                  <w:shd w:val="clear" w:color="auto" w:fill="auto"/>
                  <w:vAlign w:val="center"/>
                </w:tcPr>
                <w:p w14:paraId="6FB934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340" w:type="dxa"/>
                  <w:shd w:val="clear" w:color="auto" w:fill="auto"/>
                  <w:vAlign w:val="center"/>
                </w:tcPr>
                <w:p w14:paraId="4FD94A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943" w:type="dxa"/>
                  <w:shd w:val="clear" w:color="auto" w:fill="auto"/>
                  <w:vAlign w:val="center"/>
                </w:tcPr>
                <w:p w14:paraId="66CE18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2500</w:t>
                  </w:r>
                </w:p>
              </w:tc>
              <w:tc>
                <w:tcPr>
                  <w:tcW w:w="1284" w:type="dxa"/>
                  <w:shd w:val="clear" w:color="auto" w:fill="auto"/>
                  <w:vAlign w:val="center"/>
                </w:tcPr>
                <w:p w14:paraId="4572CE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0.00004</w:t>
                  </w:r>
                </w:p>
              </w:tc>
            </w:tr>
            <w:tr w14:paraId="19B1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vMerge w:val="restart"/>
                  <w:shd w:val="clear" w:color="auto" w:fill="auto"/>
                  <w:vAlign w:val="center"/>
                </w:tcPr>
                <w:p w14:paraId="360470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911" w:type="dxa"/>
                  <w:vMerge w:val="restart"/>
                  <w:shd w:val="clear" w:color="auto" w:fill="auto"/>
                  <w:vAlign w:val="center"/>
                </w:tcPr>
                <w:p w14:paraId="4264AB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无铬钝化剂</w:t>
                  </w:r>
                </w:p>
              </w:tc>
              <w:tc>
                <w:tcPr>
                  <w:tcW w:w="1792" w:type="dxa"/>
                  <w:shd w:val="clear" w:color="auto" w:fill="auto"/>
                  <w:vAlign w:val="center"/>
                </w:tcPr>
                <w:p w14:paraId="183E5F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氟锆酸（10%）</w:t>
                  </w:r>
                </w:p>
              </w:tc>
              <w:tc>
                <w:tcPr>
                  <w:tcW w:w="1530" w:type="dxa"/>
                  <w:shd w:val="clear" w:color="auto" w:fill="auto"/>
                  <w:vAlign w:val="center"/>
                </w:tcPr>
                <w:p w14:paraId="3B49E6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12021-95-3</w:t>
                  </w:r>
                </w:p>
              </w:tc>
              <w:tc>
                <w:tcPr>
                  <w:tcW w:w="1340" w:type="dxa"/>
                  <w:shd w:val="clear" w:color="auto" w:fill="auto"/>
                  <w:vAlign w:val="center"/>
                </w:tcPr>
                <w:p w14:paraId="5E63A0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943" w:type="dxa"/>
                  <w:shd w:val="clear" w:color="auto" w:fill="auto"/>
                  <w:vAlign w:val="center"/>
                </w:tcPr>
                <w:p w14:paraId="2D8CB9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284" w:type="dxa"/>
                  <w:shd w:val="clear" w:color="auto" w:fill="auto"/>
                  <w:vAlign w:val="center"/>
                </w:tcPr>
                <w:p w14:paraId="122FAF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4A2C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626" w:type="dxa"/>
                  <w:vMerge w:val="continue"/>
                  <w:shd w:val="clear" w:color="auto" w:fill="auto"/>
                  <w:vAlign w:val="center"/>
                </w:tcPr>
                <w:p w14:paraId="65D9DC17">
                  <w:pPr>
                    <w:jc w:val="center"/>
                    <w:rPr>
                      <w:rFonts w:hint="default" w:ascii="Times New Roman" w:hAnsi="Times New Roman" w:eastAsia="宋体" w:cs="Times New Roman"/>
                      <w:i w:val="0"/>
                      <w:iCs w:val="0"/>
                      <w:color w:val="auto"/>
                      <w:sz w:val="21"/>
                      <w:szCs w:val="21"/>
                      <w:u w:val="none"/>
                    </w:rPr>
                  </w:pPr>
                </w:p>
              </w:tc>
              <w:tc>
                <w:tcPr>
                  <w:tcW w:w="911" w:type="dxa"/>
                  <w:vMerge w:val="continue"/>
                  <w:shd w:val="clear" w:color="auto" w:fill="auto"/>
                  <w:vAlign w:val="center"/>
                </w:tcPr>
                <w:p w14:paraId="5EC3B944">
                  <w:pPr>
                    <w:jc w:val="center"/>
                    <w:rPr>
                      <w:rFonts w:hint="default" w:ascii="Times New Roman" w:hAnsi="Times New Roman" w:eastAsia="宋体" w:cs="Times New Roman"/>
                      <w:i w:val="0"/>
                      <w:iCs w:val="0"/>
                      <w:color w:val="auto"/>
                      <w:sz w:val="21"/>
                      <w:szCs w:val="21"/>
                      <w:u w:val="none"/>
                    </w:rPr>
                  </w:pPr>
                </w:p>
              </w:tc>
              <w:tc>
                <w:tcPr>
                  <w:tcW w:w="1792" w:type="dxa"/>
                  <w:shd w:val="clear" w:color="auto" w:fill="auto"/>
                  <w:vAlign w:val="center"/>
                </w:tcPr>
                <w:p w14:paraId="1970AA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氟钛酸（10%）</w:t>
                  </w:r>
                </w:p>
              </w:tc>
              <w:tc>
                <w:tcPr>
                  <w:tcW w:w="1530" w:type="dxa"/>
                  <w:shd w:val="clear" w:color="auto" w:fill="auto"/>
                  <w:vAlign w:val="center"/>
                </w:tcPr>
                <w:p w14:paraId="5B8369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17439-11-1</w:t>
                  </w:r>
                </w:p>
              </w:tc>
              <w:tc>
                <w:tcPr>
                  <w:tcW w:w="1340" w:type="dxa"/>
                  <w:shd w:val="clear" w:color="auto" w:fill="auto"/>
                  <w:vAlign w:val="center"/>
                </w:tcPr>
                <w:p w14:paraId="350DEA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c>
                <w:tcPr>
                  <w:tcW w:w="943" w:type="dxa"/>
                  <w:shd w:val="clear" w:color="auto" w:fill="auto"/>
                  <w:vAlign w:val="center"/>
                </w:tcPr>
                <w:p w14:paraId="7B7B11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284" w:type="dxa"/>
                  <w:shd w:val="clear" w:color="auto" w:fill="auto"/>
                  <w:vAlign w:val="center"/>
                </w:tcPr>
                <w:p w14:paraId="1C0166C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3541C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626" w:type="dxa"/>
                  <w:shd w:val="clear" w:color="auto" w:fill="auto"/>
                  <w:vAlign w:val="center"/>
                </w:tcPr>
                <w:p w14:paraId="5D37A74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w:t>
                  </w:r>
                </w:p>
              </w:tc>
              <w:tc>
                <w:tcPr>
                  <w:tcW w:w="911" w:type="dxa"/>
                  <w:shd w:val="clear" w:color="auto" w:fill="auto"/>
                  <w:vAlign w:val="center"/>
                </w:tcPr>
                <w:p w14:paraId="1F96FC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除油</w:t>
                  </w:r>
                  <w:r>
                    <w:rPr>
                      <w:rFonts w:hint="default" w:ascii="Times New Roman" w:hAnsi="Times New Roman" w:eastAsia="宋体" w:cs="Times New Roman"/>
                      <w:i w:val="0"/>
                      <w:iCs w:val="0"/>
                      <w:color w:val="auto"/>
                      <w:kern w:val="0"/>
                      <w:sz w:val="21"/>
                      <w:szCs w:val="21"/>
                      <w:u w:val="none"/>
                      <w:lang w:val="en-US" w:eastAsia="zh-CN" w:bidi="ar"/>
                    </w:rPr>
                    <w:t>剂</w:t>
                  </w:r>
                </w:p>
              </w:tc>
              <w:tc>
                <w:tcPr>
                  <w:tcW w:w="1792" w:type="dxa"/>
                  <w:shd w:val="clear" w:color="auto" w:fill="auto"/>
                  <w:vAlign w:val="center"/>
                </w:tcPr>
                <w:p w14:paraId="4DCBC0F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表面活性剂（5%）</w:t>
                  </w:r>
                </w:p>
              </w:tc>
              <w:tc>
                <w:tcPr>
                  <w:tcW w:w="1530" w:type="dxa"/>
                  <w:shd w:val="clear" w:color="auto" w:fill="auto"/>
                  <w:vAlign w:val="center"/>
                </w:tcPr>
                <w:p w14:paraId="7ED618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68084-34-4</w:t>
                  </w:r>
                </w:p>
              </w:tc>
              <w:tc>
                <w:tcPr>
                  <w:tcW w:w="1340" w:type="dxa"/>
                  <w:shd w:val="clear" w:color="auto" w:fill="auto"/>
                  <w:vAlign w:val="center"/>
                </w:tcPr>
                <w:p w14:paraId="3A2130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w:t>
                  </w:r>
                </w:p>
              </w:tc>
              <w:tc>
                <w:tcPr>
                  <w:tcW w:w="943" w:type="dxa"/>
                  <w:shd w:val="clear" w:color="auto" w:fill="auto"/>
                  <w:vAlign w:val="center"/>
                </w:tcPr>
                <w:p w14:paraId="7889FE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1284" w:type="dxa"/>
                  <w:shd w:val="clear" w:color="auto" w:fill="auto"/>
                  <w:vAlign w:val="center"/>
                </w:tcPr>
                <w:p w14:paraId="6B1728D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0.004</w:t>
                  </w:r>
                </w:p>
              </w:tc>
            </w:tr>
            <w:tr w14:paraId="54C1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626" w:type="dxa"/>
                  <w:shd w:val="clear" w:color="auto" w:fill="auto"/>
                  <w:vAlign w:val="center"/>
                </w:tcPr>
                <w:p w14:paraId="3ADBDEC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12</w:t>
                  </w:r>
                </w:p>
              </w:tc>
              <w:tc>
                <w:tcPr>
                  <w:tcW w:w="911" w:type="dxa"/>
                  <w:vMerge w:val="restart"/>
                  <w:shd w:val="clear" w:color="auto" w:fill="auto"/>
                  <w:vAlign w:val="center"/>
                </w:tcPr>
                <w:p w14:paraId="127382EE">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清洗剂</w:t>
                  </w:r>
                </w:p>
              </w:tc>
              <w:tc>
                <w:tcPr>
                  <w:tcW w:w="1792" w:type="dxa"/>
                  <w:shd w:val="clear" w:color="auto" w:fill="auto"/>
                  <w:vAlign w:val="center"/>
                </w:tcPr>
                <w:p w14:paraId="26CF1D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乙酸乙酯</w:t>
                  </w:r>
                </w:p>
              </w:tc>
              <w:tc>
                <w:tcPr>
                  <w:tcW w:w="1530" w:type="dxa"/>
                  <w:shd w:val="clear" w:color="auto" w:fill="auto"/>
                  <w:vAlign w:val="center"/>
                </w:tcPr>
                <w:p w14:paraId="145184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141</w:t>
                  </w:r>
                  <w:r>
                    <w:rPr>
                      <w:rFonts w:hint="default" w:ascii="Times New Roman" w:hAnsi="Times New Roman" w:eastAsia="宋体" w:cs="Times New Roman"/>
                      <w:i w:val="0"/>
                      <w:iCs w:val="0"/>
                      <w:color w:val="auto"/>
                      <w:kern w:val="0"/>
                      <w:sz w:val="21"/>
                      <w:szCs w:val="21"/>
                      <w:u w:val="none"/>
                      <w:lang w:val="en-US" w:eastAsia="zh-CN" w:bidi="ar"/>
                    </w:rPr>
                    <w:noBreakHyphen/>
                  </w:r>
                  <w:r>
                    <w:rPr>
                      <w:rFonts w:hint="default" w:ascii="Times New Roman" w:hAnsi="Times New Roman" w:eastAsia="宋体" w:cs="Times New Roman"/>
                      <w:i w:val="0"/>
                      <w:iCs w:val="0"/>
                      <w:color w:val="auto"/>
                      <w:kern w:val="0"/>
                      <w:sz w:val="21"/>
                      <w:szCs w:val="21"/>
                      <w:u w:val="none"/>
                      <w:lang w:val="en-US" w:eastAsia="zh-CN" w:bidi="ar"/>
                    </w:rPr>
                    <w:t>78</w:t>
                  </w:r>
                  <w:r>
                    <w:rPr>
                      <w:rFonts w:hint="default" w:ascii="Times New Roman" w:hAnsi="Times New Roman" w:eastAsia="宋体" w:cs="Times New Roman"/>
                      <w:i w:val="0"/>
                      <w:iCs w:val="0"/>
                      <w:color w:val="auto"/>
                      <w:kern w:val="0"/>
                      <w:sz w:val="21"/>
                      <w:szCs w:val="21"/>
                      <w:u w:val="none"/>
                      <w:lang w:val="en-US" w:eastAsia="zh-CN" w:bidi="ar"/>
                    </w:rPr>
                    <w:noBreakHyphen/>
                  </w:r>
                  <w:r>
                    <w:rPr>
                      <w:rFonts w:hint="default" w:ascii="Times New Roman" w:hAnsi="Times New Roman" w:eastAsia="宋体" w:cs="Times New Roman"/>
                      <w:i w:val="0"/>
                      <w:iCs w:val="0"/>
                      <w:color w:val="auto"/>
                      <w:kern w:val="0"/>
                      <w:sz w:val="21"/>
                      <w:szCs w:val="21"/>
                      <w:u w:val="none"/>
                      <w:lang w:val="en-US" w:eastAsia="zh-CN" w:bidi="ar"/>
                    </w:rPr>
                    <w:t>6</w:t>
                  </w:r>
                </w:p>
              </w:tc>
              <w:tc>
                <w:tcPr>
                  <w:tcW w:w="1340" w:type="dxa"/>
                  <w:shd w:val="clear" w:color="auto" w:fill="auto"/>
                  <w:vAlign w:val="center"/>
                </w:tcPr>
                <w:p w14:paraId="672482D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0.025</w:t>
                  </w:r>
                </w:p>
              </w:tc>
              <w:tc>
                <w:tcPr>
                  <w:tcW w:w="943" w:type="dxa"/>
                  <w:shd w:val="clear" w:color="auto" w:fill="auto"/>
                  <w:vAlign w:val="center"/>
                </w:tcPr>
                <w:p w14:paraId="5D7F0A9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500</w:t>
                  </w:r>
                </w:p>
              </w:tc>
              <w:tc>
                <w:tcPr>
                  <w:tcW w:w="1284" w:type="dxa"/>
                  <w:shd w:val="clear" w:color="auto" w:fill="auto"/>
                  <w:vAlign w:val="center"/>
                </w:tcPr>
                <w:p w14:paraId="1FCC0B7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0.00005</w:t>
                  </w:r>
                </w:p>
              </w:tc>
            </w:tr>
            <w:tr w14:paraId="2127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jc w:val="center"/>
              </w:trPr>
              <w:tc>
                <w:tcPr>
                  <w:tcW w:w="626" w:type="dxa"/>
                  <w:shd w:val="clear" w:color="auto" w:fill="auto"/>
                  <w:vAlign w:val="center"/>
                </w:tcPr>
                <w:p w14:paraId="3BEE6A3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13</w:t>
                  </w:r>
                </w:p>
              </w:tc>
              <w:tc>
                <w:tcPr>
                  <w:tcW w:w="911" w:type="dxa"/>
                  <w:vMerge w:val="continue"/>
                  <w:shd w:val="clear" w:color="auto" w:fill="auto"/>
                  <w:vAlign w:val="center"/>
                </w:tcPr>
                <w:p w14:paraId="23383224">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p>
              </w:tc>
              <w:tc>
                <w:tcPr>
                  <w:tcW w:w="1792" w:type="dxa"/>
                  <w:shd w:val="clear" w:color="auto" w:fill="auto"/>
                  <w:vAlign w:val="center"/>
                </w:tcPr>
                <w:p w14:paraId="7773B4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乙酸正乙酯</w:t>
                  </w:r>
                </w:p>
              </w:tc>
              <w:tc>
                <w:tcPr>
                  <w:tcW w:w="1530" w:type="dxa"/>
                  <w:shd w:val="clear" w:color="auto" w:fill="auto"/>
                  <w:vAlign w:val="center"/>
                </w:tcPr>
                <w:p w14:paraId="38D7EEF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123</w:t>
                  </w:r>
                  <w:r>
                    <w:rPr>
                      <w:rFonts w:hint="default" w:ascii="Times New Roman" w:hAnsi="Times New Roman" w:eastAsia="宋体" w:cs="Times New Roman"/>
                      <w:i w:val="0"/>
                      <w:iCs w:val="0"/>
                      <w:color w:val="auto"/>
                      <w:kern w:val="0"/>
                      <w:sz w:val="21"/>
                      <w:szCs w:val="21"/>
                      <w:u w:val="none"/>
                      <w:lang w:val="en-US" w:eastAsia="zh-CN" w:bidi="ar"/>
                    </w:rPr>
                    <w:noBreakHyphen/>
                  </w:r>
                  <w:r>
                    <w:rPr>
                      <w:rFonts w:hint="default" w:ascii="Times New Roman" w:hAnsi="Times New Roman" w:eastAsia="宋体" w:cs="Times New Roman"/>
                      <w:i w:val="0"/>
                      <w:iCs w:val="0"/>
                      <w:color w:val="auto"/>
                      <w:kern w:val="0"/>
                      <w:sz w:val="21"/>
                      <w:szCs w:val="21"/>
                      <w:u w:val="none"/>
                      <w:lang w:val="en-US" w:eastAsia="zh-CN" w:bidi="ar"/>
                    </w:rPr>
                    <w:t>86</w:t>
                  </w:r>
                  <w:r>
                    <w:rPr>
                      <w:rFonts w:hint="default" w:ascii="Times New Roman" w:hAnsi="Times New Roman" w:eastAsia="宋体" w:cs="Times New Roman"/>
                      <w:i w:val="0"/>
                      <w:iCs w:val="0"/>
                      <w:color w:val="auto"/>
                      <w:kern w:val="0"/>
                      <w:sz w:val="21"/>
                      <w:szCs w:val="21"/>
                      <w:u w:val="none"/>
                      <w:lang w:val="en-US" w:eastAsia="zh-CN" w:bidi="ar"/>
                    </w:rPr>
                    <w:noBreakHyphen/>
                  </w:r>
                  <w:r>
                    <w:rPr>
                      <w:rFonts w:hint="default" w:ascii="Times New Roman" w:hAnsi="Times New Roman" w:eastAsia="宋体" w:cs="Times New Roman"/>
                      <w:i w:val="0"/>
                      <w:iCs w:val="0"/>
                      <w:color w:val="auto"/>
                      <w:kern w:val="0"/>
                      <w:sz w:val="21"/>
                      <w:szCs w:val="21"/>
                      <w:u w:val="none"/>
                      <w:lang w:val="en-US" w:eastAsia="zh-CN" w:bidi="ar"/>
                    </w:rPr>
                    <w:t>4</w:t>
                  </w:r>
                </w:p>
              </w:tc>
              <w:tc>
                <w:tcPr>
                  <w:tcW w:w="1340" w:type="dxa"/>
                  <w:shd w:val="clear" w:color="auto" w:fill="auto"/>
                  <w:vAlign w:val="center"/>
                </w:tcPr>
                <w:p w14:paraId="47DB239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0.025</w:t>
                  </w:r>
                </w:p>
              </w:tc>
              <w:tc>
                <w:tcPr>
                  <w:tcW w:w="943" w:type="dxa"/>
                  <w:shd w:val="clear" w:color="auto" w:fill="auto"/>
                  <w:vAlign w:val="center"/>
                </w:tcPr>
                <w:p w14:paraId="25D36BA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500</w:t>
                  </w:r>
                </w:p>
              </w:tc>
              <w:tc>
                <w:tcPr>
                  <w:tcW w:w="1284" w:type="dxa"/>
                  <w:shd w:val="clear" w:color="auto" w:fill="auto"/>
                  <w:vAlign w:val="center"/>
                </w:tcPr>
                <w:p w14:paraId="1743A8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0.00005</w:t>
                  </w:r>
                </w:p>
              </w:tc>
            </w:tr>
            <w:tr w14:paraId="33C82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5" w:hRule="atLeast"/>
                <w:jc w:val="center"/>
              </w:trPr>
              <w:tc>
                <w:tcPr>
                  <w:tcW w:w="7142" w:type="dxa"/>
                  <w:gridSpan w:val="6"/>
                  <w:shd w:val="clear" w:color="auto" w:fill="auto"/>
                  <w:vAlign w:val="center"/>
                </w:tcPr>
                <w:p w14:paraId="550533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项目Q值</w:t>
                  </w:r>
                </w:p>
              </w:tc>
              <w:tc>
                <w:tcPr>
                  <w:tcW w:w="1284" w:type="dxa"/>
                  <w:shd w:val="clear" w:color="auto" w:fill="auto"/>
                  <w:vAlign w:val="center"/>
                </w:tcPr>
                <w:p w14:paraId="06C979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0.9</w:t>
                  </w:r>
                  <w:r>
                    <w:rPr>
                      <w:rFonts w:hint="default" w:ascii="Times New Roman" w:hAnsi="Times New Roman" w:cs="Times New Roman"/>
                      <w:i w:val="0"/>
                      <w:iCs w:val="0"/>
                      <w:color w:val="auto"/>
                      <w:kern w:val="0"/>
                      <w:sz w:val="21"/>
                      <w:szCs w:val="21"/>
                      <w:u w:val="none"/>
                      <w:lang w:val="en-US" w:eastAsia="zh-CN" w:bidi="ar"/>
                    </w:rPr>
                    <w:t>38</w:t>
                  </w:r>
                </w:p>
              </w:tc>
            </w:tr>
            <w:tr w14:paraId="6CDD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8426" w:type="dxa"/>
                  <w:gridSpan w:val="7"/>
                  <w:shd w:val="clear" w:color="auto" w:fill="auto"/>
                  <w:vAlign w:val="center"/>
                </w:tcPr>
                <w:p w14:paraId="65558BB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注：底漆（最大贮存量0.18t）、稀释剂（最大贮存量0.11t）、面漆（最大贮存量0.35t）、清漆（最大贮存量0.13t）原料中对应风险组份的最大储存量按其对应原料最大储存量折算得出；危险废物（最大贮存量以贮存能力计）临界量参考《建设项目环境风险评价技术导则》（HJ-2018）表b.2的健康危险急性毒性物质（类别2、类别3）进行计算；无铬钝化剂、</w:t>
                  </w:r>
                  <w:r>
                    <w:rPr>
                      <w:rFonts w:hint="default" w:ascii="Times New Roman" w:hAnsi="Times New Roman" w:cs="Times New Roman"/>
                      <w:i w:val="0"/>
                      <w:iCs w:val="0"/>
                      <w:color w:val="auto"/>
                      <w:kern w:val="0"/>
                      <w:sz w:val="21"/>
                      <w:szCs w:val="21"/>
                      <w:u w:val="none"/>
                      <w:lang w:val="en-US" w:eastAsia="zh-CN" w:bidi="ar"/>
                    </w:rPr>
                    <w:t>除油</w:t>
                  </w:r>
                  <w:r>
                    <w:rPr>
                      <w:rFonts w:hint="default" w:ascii="Times New Roman" w:hAnsi="Times New Roman" w:eastAsia="宋体" w:cs="Times New Roman"/>
                      <w:i w:val="0"/>
                      <w:iCs w:val="0"/>
                      <w:color w:val="auto"/>
                      <w:kern w:val="0"/>
                      <w:sz w:val="21"/>
                      <w:szCs w:val="21"/>
                      <w:u w:val="none"/>
                      <w:lang w:val="en-US" w:eastAsia="zh-CN" w:bidi="ar"/>
                    </w:rPr>
                    <w:t>剂参考表b.2危害水环境物质（类别3）进行计算；机油、液压油属于矿物质油，其临界量参考《建设项目环境风险评价技术导则》（HJ-2018）油类物质（矿物油类，如石油、汽油、柴油等；生物柴油等）的临界量；厂区内不设天然气储存装置，故本项目按管道中的天然气量计算最大储存量，厂区内天然气管道总长度约</w:t>
                  </w:r>
                  <w:r>
                    <w:rPr>
                      <w:rFonts w:hint="default" w:ascii="Times New Roman" w:hAnsi="Times New Roman" w:cs="Times New Roman"/>
                      <w:i w:val="0"/>
                      <w:iCs w:val="0"/>
                      <w:color w:val="auto"/>
                      <w:kern w:val="0"/>
                      <w:sz w:val="21"/>
                      <w:szCs w:val="21"/>
                      <w:u w:val="none"/>
                      <w:lang w:val="en-US" w:eastAsia="zh-CN" w:bidi="ar"/>
                    </w:rPr>
                    <w:t>360</w:t>
                  </w:r>
                  <w:r>
                    <w:rPr>
                      <w:rFonts w:hint="default" w:ascii="Times New Roman" w:hAnsi="Times New Roman" w:eastAsia="宋体" w:cs="Times New Roman"/>
                      <w:i w:val="0"/>
                      <w:iCs w:val="0"/>
                      <w:color w:val="auto"/>
                      <w:kern w:val="0"/>
                      <w:sz w:val="21"/>
                      <w:szCs w:val="21"/>
                      <w:u w:val="none"/>
                      <w:lang w:val="en-US" w:eastAsia="zh-CN" w:bidi="ar"/>
                    </w:rPr>
                    <w:t>m，管径40mm，密度0.7174kg/m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。则本项目厂区内最大储存量=天然气管道截面积×厂区内长度×密度，约为0.000</w:t>
                  </w:r>
                  <w:r>
                    <w:rPr>
                      <w:rFonts w:hint="default" w:ascii="Times New Roman" w:hAnsi="Times New Roman" w:cs="Times New Roman"/>
                      <w:i w:val="0"/>
                      <w:iCs w:val="0"/>
                      <w:color w:val="auto"/>
                      <w:kern w:val="0"/>
                      <w:sz w:val="21"/>
                      <w:szCs w:val="21"/>
                      <w:u w:val="none"/>
                      <w:lang w:val="en-US" w:eastAsia="zh-CN" w:bidi="ar"/>
                    </w:rPr>
                    <w:t>32t</w:t>
                  </w:r>
                  <w:r>
                    <w:rPr>
                      <w:rFonts w:hint="default" w:ascii="Times New Roman" w:hAnsi="Times New Roman" w:eastAsia="宋体" w:cs="Times New Roman"/>
                      <w:i w:val="0"/>
                      <w:iCs w:val="0"/>
                      <w:color w:val="auto"/>
                      <w:kern w:val="0"/>
                      <w:sz w:val="21"/>
                      <w:szCs w:val="21"/>
                      <w:u w:val="none"/>
                      <w:lang w:val="en-US" w:eastAsia="zh-CN" w:bidi="ar"/>
                    </w:rPr>
                    <w:t>/a。</w:t>
                  </w:r>
                </w:p>
              </w:tc>
            </w:tr>
          </w:tbl>
          <w:p w14:paraId="3ED8DB9D">
            <w:pPr>
              <w:keepNext w:val="0"/>
              <w:keepLines w:val="0"/>
              <w:pageBreakBefore w:val="0"/>
              <w:widowControl w:val="0"/>
              <w:kinsoku/>
              <w:wordWrap/>
              <w:overflowPunct/>
              <w:topLinePunct w:val="0"/>
              <w:autoSpaceDE/>
              <w:autoSpaceDN/>
              <w:bidi w:val="0"/>
              <w:adjustRightInd/>
              <w:snapToGrid/>
              <w:spacing w:line="120" w:lineRule="exact"/>
              <w:textAlignment w:val="auto"/>
              <w:rPr>
                <w:rFonts w:hint="default" w:ascii="Times New Roman" w:hAnsi="Times New Roman" w:cs="Times New Roman"/>
                <w:color w:val="auto"/>
                <w:highlight w:val="none"/>
              </w:rPr>
            </w:pPr>
          </w:p>
          <w:p w14:paraId="1C928166">
            <w:pPr>
              <w:pStyle w:val="43"/>
              <w:spacing w:after="0" w:line="360" w:lineRule="auto"/>
              <w:ind w:firstLine="48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套入公式所得结果为（Q）=∑q</w:t>
            </w:r>
            <w:r>
              <w:rPr>
                <w:rFonts w:hint="default" w:ascii="Times New Roman" w:hAnsi="Times New Roman" w:eastAsia="宋体" w:cs="Times New Roman"/>
                <w:color w:val="auto"/>
                <w:sz w:val="24"/>
                <w:szCs w:val="24"/>
                <w:highlight w:val="none"/>
                <w:lang w:val="en-US" w:eastAsia="zh-CN"/>
              </w:rPr>
              <w:t>n</w:t>
            </w:r>
            <w:r>
              <w:rPr>
                <w:rFonts w:hint="default" w:ascii="Times New Roman" w:hAnsi="Times New Roman" w:eastAsia="宋体" w:cs="Times New Roman"/>
                <w:color w:val="auto"/>
                <w:sz w:val="24"/>
                <w:szCs w:val="24"/>
                <w:highlight w:val="none"/>
              </w:rPr>
              <w:t>/Q</w:t>
            </w:r>
            <w:r>
              <w:rPr>
                <w:rFonts w:hint="default" w:ascii="Times New Roman" w:hAnsi="Times New Roman" w:eastAsia="宋体" w:cs="Times New Roman"/>
                <w:color w:val="auto"/>
                <w:sz w:val="24"/>
                <w:szCs w:val="24"/>
                <w:highlight w:val="none"/>
                <w:lang w:val="en-US" w:eastAsia="zh-CN"/>
              </w:rPr>
              <w:t>n</w:t>
            </w: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b w:val="0"/>
                <w:bCs/>
                <w:color w:val="auto"/>
                <w:sz w:val="24"/>
                <w:szCs w:val="24"/>
                <w:highlight w:val="none"/>
                <w:lang w:val="en-US" w:eastAsia="zh-CN"/>
              </w:rPr>
              <w:t>0.</w:t>
            </w:r>
            <w:r>
              <w:rPr>
                <w:rFonts w:hint="eastAsia" w:cs="Times New Roman"/>
                <w:b w:val="0"/>
                <w:bCs/>
                <w:color w:val="auto"/>
                <w:sz w:val="24"/>
                <w:szCs w:val="24"/>
                <w:highlight w:val="none"/>
                <w:lang w:val="en-US" w:eastAsia="zh-CN"/>
              </w:rPr>
              <w:t>937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Q</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w:t>
            </w:r>
          </w:p>
          <w:p w14:paraId="712CBF0B">
            <w:pPr>
              <w:pStyle w:val="43"/>
              <w:spacing w:after="0" w:line="360" w:lineRule="auto"/>
              <w:ind w:firstLine="482"/>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7.2</w:t>
            </w:r>
            <w:r>
              <w:rPr>
                <w:rFonts w:hint="default" w:ascii="Times New Roman" w:hAnsi="Times New Roman" w:eastAsia="宋体" w:cs="Times New Roman"/>
                <w:b/>
                <w:bCs/>
                <w:color w:val="auto"/>
                <w:sz w:val="24"/>
                <w:szCs w:val="24"/>
                <w:highlight w:val="none"/>
              </w:rPr>
              <w:t>风险源分布情况及可能影响途径</w:t>
            </w:r>
          </w:p>
          <w:p w14:paraId="01A2DAA2">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表4-4</w:t>
            </w:r>
            <w:r>
              <w:rPr>
                <w:rFonts w:hint="eastAsia" w:cs="Times New Roman"/>
                <w:b/>
                <w:bCs/>
                <w:color w:val="auto"/>
                <w:kern w:val="2"/>
                <w:sz w:val="21"/>
                <w:szCs w:val="21"/>
                <w:lang w:val="en-US" w:eastAsia="zh-CN" w:bidi="ar-SA"/>
              </w:rPr>
              <w:t>1</w:t>
            </w:r>
            <w:r>
              <w:rPr>
                <w:rFonts w:hint="default" w:ascii="Times New Roman" w:hAnsi="Times New Roman" w:eastAsia="宋体" w:cs="Times New Roman"/>
                <w:b/>
                <w:bCs/>
                <w:color w:val="auto"/>
                <w:sz w:val="21"/>
                <w:szCs w:val="21"/>
                <w:highlight w:val="none"/>
                <w:lang w:val="en-US" w:eastAsia="zh-CN"/>
              </w:rPr>
              <w:t>危险单元风险类型识别</w:t>
            </w:r>
          </w:p>
          <w:tbl>
            <w:tblPr>
              <w:tblStyle w:val="132"/>
              <w:tblW w:w="4997"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64"/>
              <w:gridCol w:w="1021"/>
              <w:gridCol w:w="1064"/>
              <w:gridCol w:w="1965"/>
              <w:gridCol w:w="1551"/>
              <w:gridCol w:w="1842"/>
            </w:tblGrid>
            <w:tr w14:paraId="0013D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tcBorders>
                    <w:tl2br w:val="nil"/>
                    <w:tr2bl w:val="nil"/>
                  </w:tcBorders>
                  <w:noWrap w:val="0"/>
                  <w:vAlign w:val="center"/>
                </w:tcPr>
                <w:p w14:paraId="3CB63831">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val="en-US" w:eastAsia="zh-CN" w:bidi="ar"/>
                    </w:rPr>
                    <w:t>风险</w:t>
                  </w:r>
                  <w:r>
                    <w:rPr>
                      <w:rFonts w:hint="default" w:ascii="Times New Roman" w:hAnsi="Times New Roman" w:eastAsia="宋体" w:cs="Times New Roman"/>
                      <w:b/>
                      <w:bCs/>
                      <w:color w:val="auto"/>
                      <w:kern w:val="0"/>
                      <w:sz w:val="21"/>
                      <w:szCs w:val="21"/>
                      <w:highlight w:val="none"/>
                      <w:lang w:bidi="ar"/>
                    </w:rPr>
                    <w:t>单元</w:t>
                  </w:r>
                </w:p>
              </w:tc>
              <w:tc>
                <w:tcPr>
                  <w:tcW w:w="614" w:type="pct"/>
                  <w:tcBorders>
                    <w:tl2br w:val="nil"/>
                    <w:tr2bl w:val="nil"/>
                  </w:tcBorders>
                  <w:noWrap w:val="0"/>
                  <w:vAlign w:val="center"/>
                </w:tcPr>
                <w:p w14:paraId="77938C34">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风险源</w:t>
                  </w:r>
                </w:p>
              </w:tc>
              <w:tc>
                <w:tcPr>
                  <w:tcW w:w="640" w:type="pct"/>
                  <w:tcBorders>
                    <w:tl2br w:val="nil"/>
                    <w:tr2bl w:val="nil"/>
                  </w:tcBorders>
                  <w:noWrap w:val="0"/>
                  <w:vAlign w:val="center"/>
                </w:tcPr>
                <w:p w14:paraId="22D6311A">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val="en-US" w:eastAsia="zh-CN" w:bidi="ar"/>
                    </w:rPr>
                    <w:t>风险</w:t>
                  </w:r>
                  <w:r>
                    <w:rPr>
                      <w:rFonts w:hint="default" w:ascii="Times New Roman" w:hAnsi="Times New Roman" w:eastAsia="宋体" w:cs="Times New Roman"/>
                      <w:b/>
                      <w:bCs/>
                      <w:color w:val="auto"/>
                      <w:kern w:val="0"/>
                      <w:sz w:val="21"/>
                      <w:szCs w:val="21"/>
                      <w:highlight w:val="none"/>
                      <w:lang w:bidi="ar"/>
                    </w:rPr>
                    <w:t>物质</w:t>
                  </w:r>
                </w:p>
              </w:tc>
              <w:tc>
                <w:tcPr>
                  <w:tcW w:w="1182" w:type="pct"/>
                  <w:tcBorders>
                    <w:tl2br w:val="nil"/>
                    <w:tr2bl w:val="nil"/>
                  </w:tcBorders>
                  <w:noWrap w:val="0"/>
                  <w:vAlign w:val="center"/>
                </w:tcPr>
                <w:p w14:paraId="12E50592">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环境风险类型</w:t>
                  </w:r>
                </w:p>
              </w:tc>
              <w:tc>
                <w:tcPr>
                  <w:tcW w:w="933" w:type="pct"/>
                  <w:tcBorders>
                    <w:tl2br w:val="nil"/>
                    <w:tr2bl w:val="nil"/>
                  </w:tcBorders>
                  <w:noWrap w:val="0"/>
                  <w:vAlign w:val="center"/>
                </w:tcPr>
                <w:p w14:paraId="00532FBA">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环境影响途径</w:t>
                  </w:r>
                </w:p>
              </w:tc>
              <w:tc>
                <w:tcPr>
                  <w:tcW w:w="1108" w:type="pct"/>
                  <w:tcBorders>
                    <w:tl2br w:val="nil"/>
                    <w:tr2bl w:val="nil"/>
                  </w:tcBorders>
                  <w:noWrap w:val="0"/>
                  <w:vAlign w:val="center"/>
                </w:tcPr>
                <w:p w14:paraId="03079E47">
                  <w:pPr>
                    <w:widowControl/>
                    <w:spacing w:line="240" w:lineRule="auto"/>
                    <w:jc w:val="center"/>
                    <w:textAlignment w:val="center"/>
                    <w:rPr>
                      <w:rFonts w:hint="default" w:ascii="Times New Roman" w:hAnsi="Times New Roman" w:eastAsia="宋体" w:cs="Times New Roman"/>
                      <w:b/>
                      <w:bCs/>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可能受影响的环境敏感目标</w:t>
                  </w:r>
                </w:p>
              </w:tc>
            </w:tr>
            <w:tr w14:paraId="240D2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tcBorders>
                    <w:bottom w:val="single" w:color="auto" w:sz="4" w:space="0"/>
                    <w:tl2br w:val="nil"/>
                    <w:tr2bl w:val="nil"/>
                  </w:tcBorders>
                  <w:noWrap w:val="0"/>
                  <w:vAlign w:val="center"/>
                </w:tcPr>
                <w:p w14:paraId="7627CFF4">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生产装置</w:t>
                  </w:r>
                </w:p>
              </w:tc>
              <w:tc>
                <w:tcPr>
                  <w:tcW w:w="614" w:type="pct"/>
                  <w:tcBorders>
                    <w:bottom w:val="single" w:color="auto" w:sz="4" w:space="0"/>
                    <w:tl2br w:val="nil"/>
                    <w:tr2bl w:val="nil"/>
                  </w:tcBorders>
                  <w:noWrap w:val="0"/>
                  <w:vAlign w:val="center"/>
                </w:tcPr>
                <w:p w14:paraId="5CEFB25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工件表面预处理</w:t>
                  </w:r>
                  <w:r>
                    <w:rPr>
                      <w:rFonts w:hint="default" w:ascii="Times New Roman" w:hAnsi="Times New Roman" w:eastAsia="宋体" w:cs="Times New Roman"/>
                      <w:color w:val="auto"/>
                      <w:kern w:val="0"/>
                      <w:sz w:val="21"/>
                      <w:szCs w:val="21"/>
                      <w:highlight w:val="none"/>
                      <w:lang w:val="en-US" w:eastAsia="zh-CN" w:bidi="ar"/>
                    </w:rPr>
                    <w:t>生产线</w:t>
                  </w:r>
                </w:p>
              </w:tc>
              <w:tc>
                <w:tcPr>
                  <w:tcW w:w="640" w:type="pct"/>
                  <w:tcBorders>
                    <w:tl2br w:val="nil"/>
                    <w:tr2bl w:val="nil"/>
                  </w:tcBorders>
                  <w:noWrap w:val="0"/>
                  <w:vAlign w:val="center"/>
                </w:tcPr>
                <w:p w14:paraId="753831C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表面处理废水</w:t>
                  </w:r>
                </w:p>
              </w:tc>
              <w:tc>
                <w:tcPr>
                  <w:tcW w:w="1182" w:type="pct"/>
                  <w:tcBorders>
                    <w:tl2br w:val="nil"/>
                    <w:tr2bl w:val="nil"/>
                  </w:tcBorders>
                  <w:noWrap w:val="0"/>
                  <w:vAlign w:val="center"/>
                </w:tcPr>
                <w:p w14:paraId="3CDB99A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泄漏</w:t>
                  </w:r>
                </w:p>
              </w:tc>
              <w:tc>
                <w:tcPr>
                  <w:tcW w:w="933" w:type="pct"/>
                  <w:tcBorders>
                    <w:tl2br w:val="nil"/>
                    <w:tr2bl w:val="nil"/>
                  </w:tcBorders>
                  <w:noWrap w:val="0"/>
                  <w:vAlign w:val="center"/>
                </w:tcPr>
                <w:p w14:paraId="531EFF9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地表径流、下渗</w:t>
                  </w:r>
                </w:p>
              </w:tc>
              <w:tc>
                <w:tcPr>
                  <w:tcW w:w="1108" w:type="pct"/>
                  <w:tcBorders>
                    <w:tl2br w:val="nil"/>
                    <w:tr2bl w:val="nil"/>
                  </w:tcBorders>
                  <w:noWrap w:val="0"/>
                  <w:vAlign w:val="center"/>
                </w:tcPr>
                <w:p w14:paraId="7A47906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地表水、地下水环境</w:t>
                  </w:r>
                </w:p>
              </w:tc>
            </w:tr>
            <w:tr w14:paraId="1EF13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tcBorders>
                    <w:top w:val="single" w:color="auto" w:sz="4" w:space="0"/>
                    <w:bottom w:val="single" w:color="auto" w:sz="4" w:space="0"/>
                    <w:tl2br w:val="nil"/>
                    <w:tr2bl w:val="nil"/>
                  </w:tcBorders>
                  <w:noWrap w:val="0"/>
                  <w:vAlign w:val="center"/>
                </w:tcPr>
                <w:p w14:paraId="232E6C88">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辅助生产设施</w:t>
                  </w:r>
                </w:p>
              </w:tc>
              <w:tc>
                <w:tcPr>
                  <w:tcW w:w="614" w:type="pct"/>
                  <w:tcBorders>
                    <w:top w:val="single" w:color="auto" w:sz="4" w:space="0"/>
                    <w:bottom w:val="single" w:color="auto" w:sz="4" w:space="0"/>
                    <w:tl2br w:val="nil"/>
                    <w:tr2bl w:val="nil"/>
                  </w:tcBorders>
                  <w:noWrap w:val="0"/>
                  <w:vAlign w:val="center"/>
                </w:tcPr>
                <w:p w14:paraId="2F8FCBC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天然气管道</w:t>
                  </w:r>
                </w:p>
              </w:tc>
              <w:tc>
                <w:tcPr>
                  <w:tcW w:w="640" w:type="pct"/>
                  <w:tcBorders>
                    <w:tl2br w:val="nil"/>
                    <w:tr2bl w:val="nil"/>
                  </w:tcBorders>
                  <w:noWrap w:val="0"/>
                  <w:vAlign w:val="center"/>
                </w:tcPr>
                <w:p w14:paraId="1E8082F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甲烷</w:t>
                  </w:r>
                </w:p>
              </w:tc>
              <w:tc>
                <w:tcPr>
                  <w:tcW w:w="1182" w:type="pct"/>
                  <w:tcBorders>
                    <w:tl2br w:val="nil"/>
                    <w:tr2bl w:val="nil"/>
                  </w:tcBorders>
                  <w:noWrap w:val="0"/>
                  <w:vAlign w:val="center"/>
                </w:tcPr>
                <w:p w14:paraId="4BC5A00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泄漏、火灾引发的伴生/次生污染</w:t>
                  </w:r>
                </w:p>
              </w:tc>
              <w:tc>
                <w:tcPr>
                  <w:tcW w:w="933" w:type="pct"/>
                  <w:tcBorders>
                    <w:tl2br w:val="nil"/>
                    <w:tr2bl w:val="nil"/>
                  </w:tcBorders>
                  <w:noWrap w:val="0"/>
                  <w:vAlign w:val="center"/>
                </w:tcPr>
                <w:p w14:paraId="30ADC220">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大气扩散</w:t>
                  </w:r>
                </w:p>
              </w:tc>
              <w:tc>
                <w:tcPr>
                  <w:tcW w:w="1108" w:type="pct"/>
                  <w:tcBorders>
                    <w:tl2br w:val="nil"/>
                    <w:tr2bl w:val="nil"/>
                  </w:tcBorders>
                  <w:noWrap w:val="0"/>
                  <w:vAlign w:val="center"/>
                </w:tcPr>
                <w:p w14:paraId="382606D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大气环境</w:t>
                  </w:r>
                </w:p>
              </w:tc>
            </w:tr>
            <w:tr w14:paraId="67D0D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tcBorders>
                    <w:top w:val="single" w:color="auto" w:sz="4" w:space="0"/>
                    <w:tl2br w:val="nil"/>
                    <w:tr2bl w:val="nil"/>
                  </w:tcBorders>
                  <w:noWrap w:val="0"/>
                  <w:vAlign w:val="center"/>
                </w:tcPr>
                <w:p w14:paraId="035B986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储运设施</w:t>
                  </w:r>
                </w:p>
              </w:tc>
              <w:tc>
                <w:tcPr>
                  <w:tcW w:w="614" w:type="pct"/>
                  <w:tcBorders>
                    <w:top w:val="single" w:color="auto" w:sz="4" w:space="0"/>
                    <w:tl2br w:val="nil"/>
                    <w:tr2bl w:val="nil"/>
                  </w:tcBorders>
                  <w:noWrap w:val="0"/>
                  <w:vAlign w:val="center"/>
                </w:tcPr>
                <w:p w14:paraId="20A5237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化学品仓库</w:t>
                  </w:r>
                </w:p>
              </w:tc>
              <w:tc>
                <w:tcPr>
                  <w:tcW w:w="640" w:type="pct"/>
                  <w:tcBorders>
                    <w:tl2br w:val="nil"/>
                    <w:tr2bl w:val="nil"/>
                  </w:tcBorders>
                  <w:noWrap w:val="0"/>
                  <w:vAlign w:val="center"/>
                </w:tcPr>
                <w:p w14:paraId="4CEF8C2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pH调整剂、无铬钝化剂、机油、润滑油</w:t>
                  </w:r>
                  <w:r>
                    <w:rPr>
                      <w:rFonts w:hint="eastAsia" w:cs="Times New Roman"/>
                      <w:color w:val="auto"/>
                      <w:kern w:val="0"/>
                      <w:sz w:val="21"/>
                      <w:szCs w:val="21"/>
                      <w:highlight w:val="none"/>
                      <w:lang w:val="en-US" w:eastAsia="zh-CN" w:bidi="ar"/>
                    </w:rPr>
                    <w:t>、油漆、稀释剂、清洗剂等</w:t>
                  </w:r>
                </w:p>
              </w:tc>
              <w:tc>
                <w:tcPr>
                  <w:tcW w:w="1182" w:type="pct"/>
                  <w:tcBorders>
                    <w:tl2br w:val="nil"/>
                    <w:tr2bl w:val="nil"/>
                  </w:tcBorders>
                  <w:noWrap w:val="0"/>
                  <w:vAlign w:val="center"/>
                </w:tcPr>
                <w:p w14:paraId="5342457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泄漏</w:t>
                  </w:r>
                </w:p>
              </w:tc>
              <w:tc>
                <w:tcPr>
                  <w:tcW w:w="933" w:type="pct"/>
                  <w:tcBorders>
                    <w:tl2br w:val="nil"/>
                    <w:tr2bl w:val="nil"/>
                  </w:tcBorders>
                  <w:noWrap w:val="0"/>
                  <w:vAlign w:val="center"/>
                </w:tcPr>
                <w:p w14:paraId="5B0D517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地表径流、下渗</w:t>
                  </w:r>
                  <w:r>
                    <w:rPr>
                      <w:rFonts w:hint="default" w:ascii="Times New Roman" w:hAnsi="Times New Roman" w:eastAsia="宋体" w:cs="Times New Roman"/>
                      <w:color w:val="auto"/>
                      <w:kern w:val="0"/>
                      <w:sz w:val="21"/>
                      <w:szCs w:val="21"/>
                      <w:highlight w:val="none"/>
                      <w:lang w:eastAsia="zh-CN" w:bidi="ar"/>
                    </w:rPr>
                    <w:t>、</w:t>
                  </w:r>
                </w:p>
              </w:tc>
              <w:tc>
                <w:tcPr>
                  <w:tcW w:w="1108" w:type="pct"/>
                  <w:tcBorders>
                    <w:tl2br w:val="nil"/>
                    <w:tr2bl w:val="nil"/>
                  </w:tcBorders>
                  <w:noWrap w:val="0"/>
                  <w:vAlign w:val="center"/>
                </w:tcPr>
                <w:p w14:paraId="5AA744E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地表水、地下水环境</w:t>
                  </w:r>
                </w:p>
              </w:tc>
            </w:tr>
            <w:tr w14:paraId="598D4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restart"/>
                  <w:tcBorders>
                    <w:tl2br w:val="nil"/>
                    <w:tr2bl w:val="nil"/>
                  </w:tcBorders>
                  <w:noWrap w:val="0"/>
                  <w:vAlign w:val="center"/>
                </w:tcPr>
                <w:p w14:paraId="3B6C1F68">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bidi="ar"/>
                    </w:rPr>
                  </w:pPr>
                  <w:r>
                    <w:rPr>
                      <w:rFonts w:hint="default" w:ascii="Times New Roman" w:hAnsi="Times New Roman" w:eastAsia="宋体" w:cs="Times New Roman"/>
                      <w:color w:val="auto"/>
                      <w:kern w:val="0"/>
                      <w:sz w:val="21"/>
                      <w:szCs w:val="21"/>
                      <w:highlight w:val="none"/>
                      <w:lang w:val="en-US" w:eastAsia="zh-CN" w:bidi="ar"/>
                    </w:rPr>
                    <w:t>储运设施</w:t>
                  </w:r>
                </w:p>
              </w:tc>
              <w:tc>
                <w:tcPr>
                  <w:tcW w:w="614" w:type="pct"/>
                  <w:vMerge w:val="restart"/>
                  <w:tcBorders>
                    <w:tl2br w:val="nil"/>
                    <w:tr2bl w:val="nil"/>
                  </w:tcBorders>
                  <w:noWrap w:val="0"/>
                  <w:vAlign w:val="center"/>
                </w:tcPr>
                <w:p w14:paraId="0C4B879C">
                  <w:pPr>
                    <w:widowControl/>
                    <w:spacing w:line="240" w:lineRule="auto"/>
                    <w:jc w:val="center"/>
                    <w:textAlignment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eastAsia="zh-CN" w:bidi="ar"/>
                    </w:rPr>
                    <w:t>危险废物贮存间</w:t>
                  </w:r>
                </w:p>
              </w:tc>
              <w:tc>
                <w:tcPr>
                  <w:tcW w:w="640" w:type="pct"/>
                  <w:tcBorders>
                    <w:tl2br w:val="nil"/>
                    <w:tr2bl w:val="nil"/>
                  </w:tcBorders>
                  <w:noWrap w:val="0"/>
                  <w:vAlign w:val="center"/>
                </w:tcPr>
                <w:p w14:paraId="3D2A445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废机油</w:t>
                  </w:r>
                </w:p>
              </w:tc>
              <w:tc>
                <w:tcPr>
                  <w:tcW w:w="1182" w:type="pct"/>
                  <w:tcBorders>
                    <w:tl2br w:val="nil"/>
                    <w:tr2bl w:val="nil"/>
                  </w:tcBorders>
                  <w:noWrap w:val="0"/>
                  <w:vAlign w:val="center"/>
                </w:tcPr>
                <w:p w14:paraId="5D108107">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泄漏</w:t>
                  </w:r>
                </w:p>
              </w:tc>
              <w:tc>
                <w:tcPr>
                  <w:tcW w:w="933" w:type="pct"/>
                  <w:tcBorders>
                    <w:tl2br w:val="nil"/>
                    <w:tr2bl w:val="nil"/>
                  </w:tcBorders>
                  <w:noWrap w:val="0"/>
                  <w:vAlign w:val="center"/>
                </w:tcPr>
                <w:p w14:paraId="6D6EB9A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地表径流、下渗</w:t>
                  </w:r>
                </w:p>
              </w:tc>
              <w:tc>
                <w:tcPr>
                  <w:tcW w:w="1108" w:type="pct"/>
                  <w:tcBorders>
                    <w:tl2br w:val="nil"/>
                    <w:tr2bl w:val="nil"/>
                  </w:tcBorders>
                  <w:noWrap w:val="0"/>
                  <w:vAlign w:val="center"/>
                </w:tcPr>
                <w:p w14:paraId="14DBB14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地表水、地下水环境</w:t>
                  </w:r>
                </w:p>
              </w:tc>
            </w:tr>
            <w:tr w14:paraId="64DDF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continue"/>
                  <w:tcBorders>
                    <w:tl2br w:val="nil"/>
                    <w:tr2bl w:val="nil"/>
                  </w:tcBorders>
                  <w:noWrap w:val="0"/>
                  <w:vAlign w:val="center"/>
                </w:tcPr>
                <w:p w14:paraId="44A61FEB">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14" w:type="pct"/>
                  <w:vMerge w:val="continue"/>
                  <w:tcBorders>
                    <w:tl2br w:val="nil"/>
                    <w:tr2bl w:val="nil"/>
                  </w:tcBorders>
                  <w:noWrap w:val="0"/>
                  <w:vAlign w:val="center"/>
                </w:tcPr>
                <w:p w14:paraId="16122C22">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640" w:type="pct"/>
                  <w:tcBorders>
                    <w:tl2br w:val="nil"/>
                    <w:tr2bl w:val="nil"/>
                  </w:tcBorders>
                  <w:noWrap w:val="0"/>
                  <w:vAlign w:val="center"/>
                </w:tcPr>
                <w:p w14:paraId="3B8A185F">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废润滑油</w:t>
                  </w:r>
                </w:p>
              </w:tc>
              <w:tc>
                <w:tcPr>
                  <w:tcW w:w="1182" w:type="pct"/>
                  <w:tcBorders>
                    <w:tl2br w:val="nil"/>
                    <w:tr2bl w:val="nil"/>
                  </w:tcBorders>
                  <w:noWrap w:val="0"/>
                  <w:vAlign w:val="center"/>
                </w:tcPr>
                <w:p w14:paraId="0453ACC5">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泄漏</w:t>
                  </w:r>
                </w:p>
              </w:tc>
              <w:tc>
                <w:tcPr>
                  <w:tcW w:w="933" w:type="pct"/>
                  <w:tcBorders>
                    <w:tl2br w:val="nil"/>
                    <w:tr2bl w:val="nil"/>
                  </w:tcBorders>
                  <w:noWrap w:val="0"/>
                  <w:vAlign w:val="center"/>
                </w:tcPr>
                <w:p w14:paraId="761A05F3">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地表径流、下渗</w:t>
                  </w:r>
                </w:p>
              </w:tc>
              <w:tc>
                <w:tcPr>
                  <w:tcW w:w="1108" w:type="pct"/>
                  <w:tcBorders>
                    <w:tl2br w:val="nil"/>
                    <w:tr2bl w:val="nil"/>
                  </w:tcBorders>
                  <w:noWrap w:val="0"/>
                  <w:vAlign w:val="center"/>
                </w:tcPr>
                <w:p w14:paraId="533ED139">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地表水、地下水环境</w:t>
                  </w:r>
                </w:p>
              </w:tc>
            </w:tr>
            <w:tr w14:paraId="5827F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continue"/>
                  <w:tcBorders>
                    <w:tl2br w:val="nil"/>
                    <w:tr2bl w:val="nil"/>
                  </w:tcBorders>
                  <w:noWrap w:val="0"/>
                  <w:vAlign w:val="center"/>
                </w:tcPr>
                <w:p w14:paraId="76F125FD">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14" w:type="pct"/>
                  <w:vMerge w:val="continue"/>
                  <w:tcBorders>
                    <w:tl2br w:val="nil"/>
                    <w:tr2bl w:val="nil"/>
                  </w:tcBorders>
                  <w:noWrap w:val="0"/>
                  <w:vAlign w:val="center"/>
                </w:tcPr>
                <w:p w14:paraId="6A740D2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p>
              </w:tc>
              <w:tc>
                <w:tcPr>
                  <w:tcW w:w="640" w:type="pct"/>
                  <w:tcBorders>
                    <w:tl2br w:val="nil"/>
                    <w:tr2bl w:val="nil"/>
                  </w:tcBorders>
                  <w:noWrap w:val="0"/>
                  <w:vAlign w:val="center"/>
                </w:tcPr>
                <w:p w14:paraId="088976ED">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无铬钝化池废槽液</w:t>
                  </w:r>
                  <w:r>
                    <w:rPr>
                      <w:rFonts w:hint="eastAsia" w:cs="Times New Roman"/>
                      <w:color w:val="auto"/>
                      <w:kern w:val="0"/>
                      <w:sz w:val="21"/>
                      <w:szCs w:val="21"/>
                      <w:highlight w:val="none"/>
                      <w:lang w:val="en-US" w:eastAsia="zh-CN" w:bidi="ar"/>
                    </w:rPr>
                    <w:t>等</w:t>
                  </w:r>
                </w:p>
              </w:tc>
              <w:tc>
                <w:tcPr>
                  <w:tcW w:w="1182" w:type="pct"/>
                  <w:tcBorders>
                    <w:tl2br w:val="nil"/>
                    <w:tr2bl w:val="nil"/>
                  </w:tcBorders>
                  <w:noWrap w:val="0"/>
                  <w:vAlign w:val="center"/>
                </w:tcPr>
                <w:p w14:paraId="58FCA471">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泄漏</w:t>
                  </w:r>
                </w:p>
              </w:tc>
              <w:tc>
                <w:tcPr>
                  <w:tcW w:w="933" w:type="pct"/>
                  <w:tcBorders>
                    <w:tl2br w:val="nil"/>
                    <w:tr2bl w:val="nil"/>
                  </w:tcBorders>
                  <w:noWrap w:val="0"/>
                  <w:vAlign w:val="center"/>
                </w:tcPr>
                <w:p w14:paraId="04923F7F">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地表径流、下渗</w:t>
                  </w:r>
                </w:p>
              </w:tc>
              <w:tc>
                <w:tcPr>
                  <w:tcW w:w="1108" w:type="pct"/>
                  <w:tcBorders>
                    <w:tl2br w:val="nil"/>
                    <w:tr2bl w:val="nil"/>
                  </w:tcBorders>
                  <w:noWrap w:val="0"/>
                  <w:vAlign w:val="center"/>
                </w:tcPr>
                <w:p w14:paraId="3DEE4920">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地表水、地下水环境</w:t>
                  </w:r>
                </w:p>
              </w:tc>
            </w:tr>
            <w:tr w14:paraId="04CA2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restart"/>
                  <w:tcBorders>
                    <w:tl2br w:val="nil"/>
                    <w:tr2bl w:val="nil"/>
                  </w:tcBorders>
                  <w:noWrap w:val="0"/>
                  <w:vAlign w:val="center"/>
                </w:tcPr>
                <w:p w14:paraId="3B207A8A">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环境保护设施</w:t>
                  </w:r>
                </w:p>
              </w:tc>
              <w:tc>
                <w:tcPr>
                  <w:tcW w:w="614" w:type="pct"/>
                  <w:tcBorders>
                    <w:tl2br w:val="nil"/>
                    <w:tr2bl w:val="nil"/>
                  </w:tcBorders>
                  <w:noWrap w:val="0"/>
                  <w:vAlign w:val="center"/>
                </w:tcPr>
                <w:p w14:paraId="35AC7BAC">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污水处理站</w:t>
                  </w:r>
                </w:p>
              </w:tc>
              <w:tc>
                <w:tcPr>
                  <w:tcW w:w="640" w:type="pct"/>
                  <w:tcBorders>
                    <w:tl2br w:val="nil"/>
                    <w:tr2bl w:val="nil"/>
                  </w:tcBorders>
                  <w:noWrap w:val="0"/>
                  <w:vAlign w:val="center"/>
                </w:tcPr>
                <w:p w14:paraId="5C1941CA">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表面处理废水</w:t>
                  </w:r>
                </w:p>
              </w:tc>
              <w:tc>
                <w:tcPr>
                  <w:tcW w:w="1182" w:type="pct"/>
                  <w:tcBorders>
                    <w:tl2br w:val="nil"/>
                    <w:tr2bl w:val="nil"/>
                  </w:tcBorders>
                  <w:noWrap w:val="0"/>
                  <w:vAlign w:val="center"/>
                </w:tcPr>
                <w:p w14:paraId="053B53AE">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泄漏</w:t>
                  </w:r>
                </w:p>
              </w:tc>
              <w:tc>
                <w:tcPr>
                  <w:tcW w:w="933" w:type="pct"/>
                  <w:tcBorders>
                    <w:tl2br w:val="nil"/>
                    <w:tr2bl w:val="nil"/>
                  </w:tcBorders>
                  <w:noWrap w:val="0"/>
                  <w:vAlign w:val="center"/>
                </w:tcPr>
                <w:p w14:paraId="16A9AE0B">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地表径流、下渗</w:t>
                  </w:r>
                  <w:r>
                    <w:rPr>
                      <w:rFonts w:hint="default" w:ascii="Times New Roman" w:hAnsi="Times New Roman" w:eastAsia="宋体" w:cs="Times New Roman"/>
                      <w:color w:val="auto"/>
                      <w:kern w:val="0"/>
                      <w:sz w:val="21"/>
                      <w:szCs w:val="21"/>
                      <w:highlight w:val="none"/>
                      <w:lang w:eastAsia="zh-CN" w:bidi="ar"/>
                    </w:rPr>
                    <w:t>、</w:t>
                  </w:r>
                </w:p>
              </w:tc>
              <w:tc>
                <w:tcPr>
                  <w:tcW w:w="1108" w:type="pct"/>
                  <w:tcBorders>
                    <w:tl2br w:val="nil"/>
                    <w:tr2bl w:val="nil"/>
                  </w:tcBorders>
                  <w:noWrap w:val="0"/>
                  <w:vAlign w:val="center"/>
                </w:tcPr>
                <w:p w14:paraId="7E7ADA51">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bidi="ar"/>
                    </w:rPr>
                    <w:t>地表水、地下水环境</w:t>
                  </w:r>
                </w:p>
              </w:tc>
            </w:tr>
            <w:tr w14:paraId="3367F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9" w:hRule="atLeast"/>
              </w:trPr>
              <w:tc>
                <w:tcPr>
                  <w:tcW w:w="520" w:type="pct"/>
                  <w:vMerge w:val="continue"/>
                  <w:tcBorders>
                    <w:tl2br w:val="nil"/>
                    <w:tr2bl w:val="nil"/>
                  </w:tcBorders>
                  <w:noWrap w:val="0"/>
                  <w:vAlign w:val="center"/>
                </w:tcPr>
                <w:p w14:paraId="73788111">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p>
              </w:tc>
              <w:tc>
                <w:tcPr>
                  <w:tcW w:w="614" w:type="pct"/>
                  <w:tcBorders>
                    <w:tl2br w:val="nil"/>
                    <w:tr2bl w:val="nil"/>
                  </w:tcBorders>
                  <w:noWrap w:val="0"/>
                  <w:vAlign w:val="center"/>
                </w:tcPr>
                <w:p w14:paraId="02813EB9">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eastAsia" w:cs="Times New Roman"/>
                      <w:color w:val="auto"/>
                      <w:kern w:val="0"/>
                      <w:sz w:val="21"/>
                      <w:szCs w:val="21"/>
                      <w:highlight w:val="none"/>
                      <w:lang w:val="en-US" w:eastAsia="zh-CN" w:bidi="ar"/>
                    </w:rPr>
                    <w:t>废气处理</w:t>
                  </w:r>
                  <w:r>
                    <w:rPr>
                      <w:rFonts w:hint="default" w:ascii="Times New Roman" w:hAnsi="Times New Roman" w:eastAsia="宋体" w:cs="Times New Roman"/>
                      <w:color w:val="auto"/>
                      <w:kern w:val="0"/>
                      <w:sz w:val="21"/>
                      <w:szCs w:val="21"/>
                      <w:highlight w:val="none"/>
                      <w:lang w:bidi="ar"/>
                    </w:rPr>
                    <w:t>系统</w:t>
                  </w:r>
                </w:p>
              </w:tc>
              <w:tc>
                <w:tcPr>
                  <w:tcW w:w="640" w:type="pct"/>
                  <w:tcBorders>
                    <w:tl2br w:val="nil"/>
                    <w:tr2bl w:val="nil"/>
                  </w:tcBorders>
                  <w:noWrap w:val="0"/>
                  <w:vAlign w:val="center"/>
                </w:tcPr>
                <w:p w14:paraId="41DB7C4F">
                  <w:pPr>
                    <w:widowControl/>
                    <w:spacing w:line="240" w:lineRule="auto"/>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w:t>
                  </w:r>
                </w:p>
              </w:tc>
              <w:tc>
                <w:tcPr>
                  <w:tcW w:w="1182" w:type="pct"/>
                  <w:tcBorders>
                    <w:tl2br w:val="nil"/>
                    <w:tr2bl w:val="nil"/>
                  </w:tcBorders>
                  <w:noWrap w:val="0"/>
                  <w:vAlign w:val="center"/>
                </w:tcPr>
                <w:p w14:paraId="0983CE1D">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系统故障导致废气超标排放</w:t>
                  </w:r>
                </w:p>
              </w:tc>
              <w:tc>
                <w:tcPr>
                  <w:tcW w:w="933" w:type="pct"/>
                  <w:tcBorders>
                    <w:tl2br w:val="nil"/>
                    <w:tr2bl w:val="nil"/>
                  </w:tcBorders>
                  <w:noWrap w:val="0"/>
                  <w:vAlign w:val="center"/>
                </w:tcPr>
                <w:p w14:paraId="0101E8BC">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大气扩散</w:t>
                  </w:r>
                </w:p>
              </w:tc>
              <w:tc>
                <w:tcPr>
                  <w:tcW w:w="1108" w:type="pct"/>
                  <w:tcBorders>
                    <w:tl2br w:val="nil"/>
                    <w:tr2bl w:val="nil"/>
                  </w:tcBorders>
                  <w:noWrap w:val="0"/>
                  <w:vAlign w:val="center"/>
                </w:tcPr>
                <w:p w14:paraId="075A69AE">
                  <w:pPr>
                    <w:widowControl/>
                    <w:spacing w:line="240" w:lineRule="auto"/>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color w:val="auto"/>
                      <w:kern w:val="0"/>
                      <w:sz w:val="21"/>
                      <w:szCs w:val="21"/>
                      <w:highlight w:val="none"/>
                      <w:lang w:bidi="ar"/>
                    </w:rPr>
                    <w:t>大气环境</w:t>
                  </w:r>
                </w:p>
              </w:tc>
            </w:tr>
          </w:tbl>
          <w:p w14:paraId="01B55E8D">
            <w:pPr>
              <w:keepNext w:val="0"/>
              <w:keepLines w:val="0"/>
              <w:pageBreakBefore w:val="0"/>
              <w:widowControl w:val="0"/>
              <w:kinsoku/>
              <w:wordWrap/>
              <w:overflowPunct/>
              <w:topLinePunct w:val="0"/>
              <w:autoSpaceDE/>
              <w:autoSpaceDN/>
              <w:bidi w:val="0"/>
              <w:adjustRightInd/>
              <w:snapToGrid/>
              <w:spacing w:line="100" w:lineRule="exact"/>
              <w:textAlignment w:val="auto"/>
              <w:rPr>
                <w:rFonts w:hint="default" w:ascii="Times New Roman" w:hAnsi="Times New Roman" w:cs="Times New Roman"/>
                <w:color w:val="auto"/>
                <w:highlight w:val="none"/>
              </w:rPr>
            </w:pPr>
          </w:p>
          <w:p w14:paraId="4610E157">
            <w:pPr>
              <w:pStyle w:val="43"/>
              <w:spacing w:after="0" w:line="360" w:lineRule="auto"/>
              <w:ind w:firstLine="482"/>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1"/>
                <w:sz w:val="24"/>
                <w:szCs w:val="24"/>
                <w:highlight w:val="none"/>
              </w:rPr>
              <w:t>地表水环境风险：可能发生泄漏的环节主要在</w:t>
            </w:r>
            <w:r>
              <w:rPr>
                <w:rFonts w:hint="eastAsia" w:cs="Times New Roman"/>
                <w:color w:val="auto"/>
                <w:spacing w:val="-1"/>
                <w:sz w:val="24"/>
                <w:szCs w:val="24"/>
                <w:highlight w:val="none"/>
                <w:lang w:val="en-US" w:eastAsia="zh-CN"/>
              </w:rPr>
              <w:t>工件表面预处理</w:t>
            </w:r>
            <w:r>
              <w:rPr>
                <w:rFonts w:hint="default" w:ascii="Times New Roman" w:hAnsi="Times New Roman" w:cs="Times New Roman"/>
                <w:color w:val="auto"/>
                <w:spacing w:val="-1"/>
                <w:sz w:val="24"/>
                <w:szCs w:val="24"/>
                <w:highlight w:val="none"/>
                <w:lang w:val="en-US" w:eastAsia="zh-CN"/>
              </w:rPr>
              <w:t>生产线、化学品</w:t>
            </w:r>
            <w:r>
              <w:rPr>
                <w:rFonts w:hint="default" w:ascii="Times New Roman" w:hAnsi="Times New Roman" w:cs="Times New Roman"/>
                <w:color w:val="auto"/>
                <w:spacing w:val="-1"/>
                <w:sz w:val="24"/>
                <w:szCs w:val="24"/>
                <w:highlight w:val="none"/>
              </w:rPr>
              <w:t>仓库、</w:t>
            </w:r>
            <w:r>
              <w:rPr>
                <w:rFonts w:hint="eastAsia" w:cs="Times New Roman"/>
                <w:color w:val="auto"/>
                <w:spacing w:val="-1"/>
                <w:sz w:val="24"/>
                <w:szCs w:val="24"/>
                <w:highlight w:val="none"/>
                <w:lang w:eastAsia="zh-CN"/>
              </w:rPr>
              <w:t>危险废物贮存间</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lang w:val="en-US" w:eastAsia="zh-CN"/>
              </w:rPr>
              <w:t>污水处理站</w:t>
            </w:r>
            <w:r>
              <w:rPr>
                <w:rFonts w:hint="default" w:ascii="Times New Roman" w:hAnsi="Times New Roman" w:cs="Times New Roman"/>
                <w:color w:val="auto"/>
                <w:spacing w:val="-1"/>
                <w:sz w:val="24"/>
                <w:szCs w:val="24"/>
                <w:highlight w:val="none"/>
              </w:rPr>
              <w:t>等，根据前文分析可知，厂区按照规范和要求对</w:t>
            </w:r>
            <w:r>
              <w:rPr>
                <w:rFonts w:hint="default" w:ascii="Times New Roman" w:hAnsi="Times New Roman" w:cs="Times New Roman"/>
                <w:color w:val="auto"/>
                <w:spacing w:val="-1"/>
                <w:sz w:val="24"/>
                <w:szCs w:val="24"/>
                <w:highlight w:val="none"/>
                <w:lang w:val="en-US" w:eastAsia="zh-CN"/>
              </w:rPr>
              <w:t>生产厂房、化学品</w:t>
            </w:r>
            <w:r>
              <w:rPr>
                <w:rFonts w:hint="default" w:ascii="Times New Roman" w:hAnsi="Times New Roman" w:cs="Times New Roman"/>
                <w:color w:val="auto"/>
                <w:spacing w:val="-1"/>
                <w:sz w:val="24"/>
                <w:szCs w:val="24"/>
                <w:highlight w:val="none"/>
              </w:rPr>
              <w:t>仓库、</w:t>
            </w:r>
            <w:r>
              <w:rPr>
                <w:rFonts w:hint="eastAsia" w:cs="Times New Roman"/>
                <w:color w:val="auto"/>
                <w:spacing w:val="-1"/>
                <w:sz w:val="24"/>
                <w:szCs w:val="24"/>
                <w:highlight w:val="none"/>
                <w:lang w:eastAsia="zh-CN"/>
              </w:rPr>
              <w:t>危险废物贮存间</w:t>
            </w:r>
            <w:r>
              <w:rPr>
                <w:rFonts w:hint="default" w:ascii="Times New Roman" w:hAnsi="Times New Roman" w:cs="Times New Roman"/>
                <w:color w:val="auto"/>
                <w:spacing w:val="-1"/>
                <w:sz w:val="24"/>
                <w:szCs w:val="24"/>
                <w:highlight w:val="none"/>
                <w:lang w:eastAsia="zh-CN"/>
              </w:rPr>
              <w:t>、</w:t>
            </w:r>
            <w:r>
              <w:rPr>
                <w:rFonts w:hint="default" w:ascii="Times New Roman" w:hAnsi="Times New Roman" w:cs="Times New Roman"/>
                <w:color w:val="auto"/>
                <w:spacing w:val="-1"/>
                <w:sz w:val="24"/>
                <w:szCs w:val="24"/>
                <w:highlight w:val="none"/>
                <w:lang w:val="en-US" w:eastAsia="zh-CN"/>
              </w:rPr>
              <w:t>污水处理站</w:t>
            </w:r>
            <w:r>
              <w:rPr>
                <w:rFonts w:hint="default" w:ascii="Times New Roman" w:hAnsi="Times New Roman" w:cs="Times New Roman"/>
                <w:color w:val="auto"/>
                <w:spacing w:val="-1"/>
                <w:sz w:val="24"/>
                <w:szCs w:val="24"/>
                <w:highlight w:val="none"/>
              </w:rPr>
              <w:t>等采取有效的防雨、防渗漏、防溢流等措施；厂区地面均已进行场地硬化，因操作不当发生少量泄漏后，可</w:t>
            </w:r>
            <w:r>
              <w:rPr>
                <w:rFonts w:hint="default" w:ascii="Times New Roman" w:hAnsi="Times New Roman" w:cs="Times New Roman"/>
                <w:color w:val="auto"/>
                <w:spacing w:val="-1"/>
                <w:sz w:val="24"/>
                <w:szCs w:val="24"/>
                <w:highlight w:val="none"/>
                <w:lang w:eastAsia="zh-CN"/>
              </w:rPr>
              <w:t>截止</w:t>
            </w:r>
            <w:r>
              <w:rPr>
                <w:rFonts w:hint="default" w:ascii="Times New Roman" w:hAnsi="Times New Roman" w:cs="Times New Roman"/>
                <w:color w:val="auto"/>
                <w:spacing w:val="-1"/>
                <w:sz w:val="24"/>
                <w:szCs w:val="24"/>
                <w:highlight w:val="none"/>
              </w:rPr>
              <w:t>在厂区内，且厂区内危险物质的总储存量不大，危险单元中的物质存放量较少，局部泄漏量较少。</w:t>
            </w:r>
          </w:p>
          <w:p w14:paraId="67F87E35">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地下水环境风险：各种泄漏事件，导致通过地表下渗污染地下水水质，比如，项目有毒有害物质在运输、装卸、储存和使用过程中发生渗漏，仓库防渗层损坏等。</w:t>
            </w:r>
          </w:p>
          <w:p w14:paraId="5759ED51">
            <w:pPr>
              <w:pStyle w:val="43"/>
              <w:spacing w:after="0" w:line="360" w:lineRule="auto"/>
              <w:ind w:firstLine="482"/>
              <w:rPr>
                <w:rFonts w:hint="default" w:ascii="Times New Roman" w:hAnsi="Times New Roman" w:eastAsia="宋体" w:cs="Times New Roman"/>
                <w:color w:val="auto"/>
                <w:spacing w:val="-1"/>
                <w:sz w:val="24"/>
                <w:szCs w:val="24"/>
                <w:highlight w:val="none"/>
                <w:lang w:val="en-US" w:eastAsia="zh-CN"/>
              </w:rPr>
            </w:pPr>
            <w:r>
              <w:rPr>
                <w:rFonts w:hint="default" w:ascii="Times New Roman" w:hAnsi="Times New Roman" w:eastAsia="宋体" w:cs="Times New Roman"/>
                <w:color w:val="auto"/>
                <w:spacing w:val="-1"/>
                <w:sz w:val="24"/>
                <w:szCs w:val="24"/>
                <w:highlight w:val="none"/>
              </w:rPr>
              <w:t>大气环境风险：</w:t>
            </w:r>
            <w:r>
              <w:rPr>
                <w:rFonts w:hint="default" w:ascii="Times New Roman" w:hAnsi="Times New Roman" w:eastAsia="宋体" w:cs="Times New Roman"/>
                <w:color w:val="auto"/>
                <w:spacing w:val="-1"/>
                <w:sz w:val="24"/>
                <w:szCs w:val="24"/>
                <w:highlight w:val="none"/>
                <w:lang w:val="en-US" w:eastAsia="zh-CN"/>
              </w:rPr>
              <w:t>天然气</w:t>
            </w:r>
            <w:r>
              <w:rPr>
                <w:rFonts w:hint="default" w:ascii="Times New Roman" w:hAnsi="Times New Roman" w:eastAsia="宋体" w:cs="Times New Roman"/>
                <w:color w:val="auto"/>
                <w:spacing w:val="-1"/>
                <w:sz w:val="24"/>
                <w:szCs w:val="24"/>
                <w:highlight w:val="none"/>
              </w:rPr>
              <w:t>管道破裂而泄漏</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rPr>
              <w:t>遇明火发生火灾或爆炸，产生大量燃烧废气</w:t>
            </w:r>
            <w:r>
              <w:rPr>
                <w:rFonts w:hint="default" w:ascii="Times New Roman" w:hAnsi="Times New Roman" w:eastAsia="宋体" w:cs="Times New Roman"/>
                <w:color w:val="auto"/>
                <w:spacing w:val="-1"/>
                <w:sz w:val="24"/>
                <w:szCs w:val="24"/>
                <w:highlight w:val="none"/>
                <w:lang w:eastAsia="zh-CN"/>
              </w:rPr>
              <w:t>。</w:t>
            </w:r>
            <w:r>
              <w:rPr>
                <w:rFonts w:hint="default" w:ascii="Times New Roman" w:hAnsi="Times New Roman" w:eastAsia="宋体" w:cs="Times New Roman"/>
                <w:color w:val="auto"/>
                <w:spacing w:val="-1"/>
                <w:sz w:val="24"/>
                <w:szCs w:val="24"/>
                <w:highlight w:val="none"/>
                <w:lang w:val="en-US" w:eastAsia="zh-CN"/>
              </w:rPr>
              <w:t>一旦发生火灾事故，硫酸铵燃烧过程中产生的有毒有害气体、燃烧烟尘、颗粒物对区域的大气环境会造成不利影响，导致区域环境空气质量下降，且短时间内不易恢复。</w:t>
            </w:r>
            <w:r>
              <w:rPr>
                <w:rFonts w:hint="default" w:ascii="Times New Roman" w:hAnsi="Times New Roman" w:eastAsia="宋体" w:cs="Times New Roman"/>
                <w:color w:val="auto"/>
                <w:spacing w:val="-1"/>
                <w:sz w:val="24"/>
                <w:szCs w:val="24"/>
                <w:highlight w:val="none"/>
              </w:rPr>
              <w:t>项目废气处理设施正常运行时，可保证废气达标排放，当废气处理设施发生故障时，会造成未处理的废气直接排入空气中，对环境空气造成一定的影响。</w:t>
            </w:r>
          </w:p>
          <w:p w14:paraId="714BB506">
            <w:pPr>
              <w:pStyle w:val="43"/>
              <w:spacing w:after="0" w:line="360" w:lineRule="auto"/>
              <w:ind w:firstLine="482"/>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7.3环境风险防范措施</w:t>
            </w:r>
          </w:p>
          <w:p w14:paraId="1ED71A24">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①严格执行应急管理、消防等相关规范，从总图布置和建筑安全方面进行风险防范，预留疏散通道或安置场所。</w:t>
            </w:r>
          </w:p>
          <w:p w14:paraId="66569C1E">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②从优化改进生产工艺、减少储存量、改善储存条件等方面降低风险程度。</w:t>
            </w:r>
          </w:p>
          <w:p w14:paraId="2F7E3842">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③加强日常管理，降低管理失误而出现的风险事故，提高员工规范性操作水平，减少误操作引发的风险事故。</w:t>
            </w:r>
          </w:p>
          <w:p w14:paraId="3706C220">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④根据贮存的相关要求进行贮存、使用，设置满足要求的围堰区。遵循“源头控制，分区防渗”的原则，做好仓库、车间、</w:t>
            </w:r>
            <w:r>
              <w:rPr>
                <w:rFonts w:hint="eastAsia" w:cs="Times New Roman"/>
                <w:color w:val="auto"/>
                <w:spacing w:val="-1"/>
                <w:sz w:val="24"/>
                <w:szCs w:val="24"/>
                <w:highlight w:val="none"/>
                <w:lang w:eastAsia="zh-CN"/>
              </w:rPr>
              <w:t>危险废物贮存间</w:t>
            </w:r>
            <w:r>
              <w:rPr>
                <w:rFonts w:hint="default" w:ascii="Times New Roman" w:hAnsi="Times New Roman" w:eastAsia="宋体" w:cs="Times New Roman"/>
                <w:color w:val="auto"/>
                <w:spacing w:val="-1"/>
                <w:sz w:val="24"/>
                <w:szCs w:val="24"/>
                <w:highlight w:val="none"/>
              </w:rPr>
              <w:t>的防渗措施，满足相应标准要求。危废间在建筑物内部，达到防风防雨防晒要求，地面硬化并刷环氧树脂漆防渗，四周设置围堰，满足四防要求。</w:t>
            </w:r>
          </w:p>
          <w:p w14:paraId="3DDA48D6">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项目风险防范措施详见下表：</w:t>
            </w:r>
          </w:p>
          <w:p w14:paraId="3AFD058E">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表4-4</w:t>
            </w:r>
            <w:r>
              <w:rPr>
                <w:rFonts w:hint="eastAsia" w:cs="Times New Roman"/>
                <w:b/>
                <w:bCs/>
                <w:color w:val="auto"/>
                <w:kern w:val="2"/>
                <w:sz w:val="21"/>
                <w:szCs w:val="21"/>
                <w:lang w:val="en-US" w:eastAsia="zh-CN" w:bidi="ar-SA"/>
              </w:rPr>
              <w:t>2</w:t>
            </w:r>
            <w:r>
              <w:rPr>
                <w:rFonts w:hint="default" w:ascii="Times New Roman" w:hAnsi="Times New Roman" w:eastAsia="宋体" w:cs="Times New Roman"/>
                <w:b/>
                <w:bCs/>
                <w:color w:val="auto"/>
                <w:sz w:val="21"/>
                <w:szCs w:val="21"/>
                <w:highlight w:val="none"/>
                <w:lang w:val="en-US" w:eastAsia="zh-CN"/>
              </w:rPr>
              <w:t>项目风险防范措施一览表</w:t>
            </w: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4"/>
              <w:gridCol w:w="917"/>
              <w:gridCol w:w="3437"/>
              <w:gridCol w:w="3379"/>
            </w:tblGrid>
            <w:tr w14:paraId="1F98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pct"/>
                  <w:gridSpan w:val="2"/>
                  <w:noWrap w:val="0"/>
                  <w:vAlign w:val="center"/>
                </w:tcPr>
                <w:p w14:paraId="5F1291AD">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环境风险因素</w:t>
                  </w:r>
                </w:p>
              </w:tc>
              <w:tc>
                <w:tcPr>
                  <w:tcW w:w="2066" w:type="pct"/>
                  <w:noWrap w:val="0"/>
                  <w:vAlign w:val="center"/>
                </w:tcPr>
                <w:p w14:paraId="68DC2428">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环境风险影响</w:t>
                  </w:r>
                </w:p>
              </w:tc>
              <w:tc>
                <w:tcPr>
                  <w:tcW w:w="2031" w:type="pct"/>
                  <w:noWrap w:val="0"/>
                  <w:vAlign w:val="center"/>
                </w:tcPr>
                <w:p w14:paraId="3311A824">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风险防范措施</w:t>
                  </w:r>
                </w:p>
              </w:tc>
            </w:tr>
            <w:tr w14:paraId="4624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pct"/>
                  <w:gridSpan w:val="2"/>
                  <w:noWrap w:val="0"/>
                  <w:vAlign w:val="center"/>
                </w:tcPr>
                <w:p w14:paraId="0B78B478">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天然气管道</w:t>
                  </w:r>
                </w:p>
              </w:tc>
              <w:tc>
                <w:tcPr>
                  <w:tcW w:w="2066" w:type="pct"/>
                  <w:noWrap w:val="0"/>
                  <w:vAlign w:val="center"/>
                </w:tcPr>
                <w:p w14:paraId="0C4AB191">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火灾爆炸事故次生环境事件</w:t>
                  </w:r>
                </w:p>
              </w:tc>
              <w:tc>
                <w:tcPr>
                  <w:tcW w:w="2031" w:type="pct"/>
                  <w:noWrap w:val="0"/>
                  <w:vAlign w:val="center"/>
                </w:tcPr>
                <w:p w14:paraId="7212BC0A">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定期维护检修，安排专人巡检，配备一定的消防、环境应急物资</w:t>
                  </w:r>
                </w:p>
              </w:tc>
            </w:tr>
            <w:tr w14:paraId="2477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02" w:type="pct"/>
                  <w:gridSpan w:val="2"/>
                  <w:noWrap w:val="0"/>
                  <w:vAlign w:val="center"/>
                </w:tcPr>
                <w:p w14:paraId="7EEC0D57">
                  <w:pPr>
                    <w:pStyle w:val="56"/>
                    <w:keepNext w:val="0"/>
                    <w:keepLines w:val="0"/>
                    <w:suppressLineNumbers w:val="0"/>
                    <w:spacing w:before="0" w:beforeAutospacing="0" w:after="0" w:afterAutospacing="0" w:line="240" w:lineRule="auto"/>
                    <w:ind w:left="0" w:leftChars="0" w:right="0" w:firstLine="0" w:firstLineChars="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表面处理区域</w:t>
                  </w:r>
                </w:p>
              </w:tc>
              <w:tc>
                <w:tcPr>
                  <w:tcW w:w="2066" w:type="pct"/>
                  <w:noWrap w:val="0"/>
                  <w:vAlign w:val="center"/>
                </w:tcPr>
                <w:p w14:paraId="26330080">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预处理槽槽液存储、使用过程发生泄漏</w:t>
                  </w:r>
                </w:p>
              </w:tc>
              <w:tc>
                <w:tcPr>
                  <w:tcW w:w="2031" w:type="pct"/>
                  <w:noWrap w:val="0"/>
                  <w:vAlign w:val="center"/>
                </w:tcPr>
                <w:p w14:paraId="130874E9">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表面处理区域</w:t>
                  </w:r>
                  <w:r>
                    <w:rPr>
                      <w:rFonts w:hint="default" w:ascii="Times New Roman" w:hAnsi="Times New Roman" w:cs="Times New Roman"/>
                      <w:b w:val="0"/>
                      <w:bCs w:val="0"/>
                      <w:color w:val="auto"/>
                      <w:sz w:val="21"/>
                      <w:szCs w:val="21"/>
                      <w:highlight w:val="none"/>
                      <w:lang w:eastAsia="zh-CN"/>
                    </w:rPr>
                    <w:t>、</w:t>
                  </w:r>
                  <w:r>
                    <w:rPr>
                      <w:rFonts w:hint="default" w:ascii="Times New Roman" w:hAnsi="Times New Roman" w:cs="Times New Roman"/>
                      <w:b w:val="0"/>
                      <w:bCs w:val="0"/>
                      <w:color w:val="auto"/>
                      <w:sz w:val="21"/>
                      <w:szCs w:val="21"/>
                      <w:highlight w:val="none"/>
                      <w:lang w:val="en-US" w:eastAsia="zh-CN"/>
                    </w:rPr>
                    <w:t>化学品仓</w:t>
                  </w:r>
                  <w:r>
                    <w:rPr>
                      <w:rFonts w:hint="default" w:ascii="Times New Roman" w:hAnsi="Times New Roman" w:cs="Times New Roman"/>
                      <w:b w:val="0"/>
                      <w:bCs w:val="0"/>
                      <w:color w:val="auto"/>
                      <w:sz w:val="21"/>
                      <w:szCs w:val="21"/>
                      <w:highlight w:val="none"/>
                    </w:rPr>
                    <w:t>设置围堰并对其地面设置防渗层，防止</w:t>
                  </w:r>
                  <w:r>
                    <w:rPr>
                      <w:rFonts w:hint="default" w:ascii="Times New Roman" w:hAnsi="Times New Roman" w:cs="Times New Roman"/>
                      <w:b w:val="0"/>
                      <w:bCs w:val="0"/>
                      <w:color w:val="auto"/>
                      <w:sz w:val="21"/>
                      <w:szCs w:val="21"/>
                      <w:highlight w:val="none"/>
                      <w:lang w:eastAsia="zh-CN"/>
                    </w:rPr>
                    <w:t>泄漏</w:t>
                  </w:r>
                  <w:r>
                    <w:rPr>
                      <w:rFonts w:hint="default" w:ascii="Times New Roman" w:hAnsi="Times New Roman" w:cs="Times New Roman"/>
                      <w:b w:val="0"/>
                      <w:bCs w:val="0"/>
                      <w:color w:val="auto"/>
                      <w:sz w:val="21"/>
                      <w:szCs w:val="21"/>
                      <w:highlight w:val="none"/>
                    </w:rPr>
                    <w:t>液体渗透至土壤。</w:t>
                  </w:r>
                </w:p>
              </w:tc>
            </w:tr>
            <w:tr w14:paraId="1EAB8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1" w:type="pct"/>
                  <w:vMerge w:val="restart"/>
                  <w:noWrap w:val="0"/>
                  <w:vAlign w:val="center"/>
                </w:tcPr>
                <w:p w14:paraId="17A27DCC">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储运工程</w:t>
                  </w:r>
                </w:p>
              </w:tc>
              <w:tc>
                <w:tcPr>
                  <w:tcW w:w="550" w:type="pct"/>
                  <w:noWrap w:val="0"/>
                  <w:vAlign w:val="center"/>
                </w:tcPr>
                <w:p w14:paraId="2BD5F523">
                  <w:pPr>
                    <w:pStyle w:val="5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sz w:val="21"/>
                      <w:szCs w:val="21"/>
                      <w:highlight w:val="none"/>
                    </w:rPr>
                    <w:t>原辅材料</w:t>
                  </w:r>
                  <w:r>
                    <w:rPr>
                      <w:rFonts w:hint="default" w:ascii="Times New Roman" w:hAnsi="Times New Roman" w:cs="Times New Roman"/>
                      <w:b w:val="0"/>
                      <w:bCs w:val="0"/>
                      <w:color w:val="auto"/>
                      <w:sz w:val="21"/>
                      <w:szCs w:val="21"/>
                      <w:highlight w:val="none"/>
                      <w:lang w:eastAsia="zh-CN"/>
                    </w:rPr>
                    <w:t>泄漏</w:t>
                  </w:r>
                </w:p>
              </w:tc>
              <w:tc>
                <w:tcPr>
                  <w:tcW w:w="2066" w:type="pct"/>
                  <w:noWrap w:val="0"/>
                  <w:vAlign w:val="center"/>
                </w:tcPr>
                <w:p w14:paraId="095E1352">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表面处理添加剂等物质在存储、使用、转运过程中</w:t>
                  </w:r>
                </w:p>
              </w:tc>
              <w:tc>
                <w:tcPr>
                  <w:tcW w:w="2031" w:type="pct"/>
                  <w:noWrap w:val="0"/>
                  <w:vAlign w:val="center"/>
                </w:tcPr>
                <w:p w14:paraId="2BBE0BC5">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原料区</w:t>
                  </w:r>
                  <w:r>
                    <w:rPr>
                      <w:rFonts w:hint="default" w:ascii="Times New Roman" w:hAnsi="Times New Roman" w:cs="Times New Roman"/>
                      <w:b w:val="0"/>
                      <w:bCs w:val="0"/>
                      <w:color w:val="auto"/>
                      <w:sz w:val="21"/>
                      <w:szCs w:val="21"/>
                      <w:highlight w:val="none"/>
                      <w:lang w:val="en-US" w:eastAsia="zh-CN"/>
                    </w:rPr>
                    <w:t>中用于储存危险化学品的化学品仓</w:t>
                  </w:r>
                  <w:r>
                    <w:rPr>
                      <w:rFonts w:hint="default" w:ascii="Times New Roman" w:hAnsi="Times New Roman" w:cs="Times New Roman"/>
                      <w:b w:val="0"/>
                      <w:bCs w:val="0"/>
                      <w:color w:val="auto"/>
                      <w:sz w:val="21"/>
                      <w:szCs w:val="21"/>
                      <w:highlight w:val="none"/>
                    </w:rPr>
                    <w:t>进行</w:t>
                  </w:r>
                  <w:r>
                    <w:rPr>
                      <w:rFonts w:hint="default" w:ascii="Times New Roman" w:hAnsi="Times New Roman" w:cs="Times New Roman"/>
                      <w:b w:val="0"/>
                      <w:bCs w:val="0"/>
                      <w:color w:val="auto"/>
                      <w:sz w:val="21"/>
                      <w:szCs w:val="21"/>
                      <w:highlight w:val="none"/>
                      <w:lang w:val="en-US" w:eastAsia="zh-CN"/>
                    </w:rPr>
                    <w:t>重点防渗，并设置围堰，其余区域作</w:t>
                  </w:r>
                  <w:r>
                    <w:rPr>
                      <w:rFonts w:hint="default" w:ascii="Times New Roman" w:hAnsi="Times New Roman" w:cs="Times New Roman"/>
                      <w:b w:val="0"/>
                      <w:bCs w:val="0"/>
                      <w:color w:val="auto"/>
                      <w:sz w:val="21"/>
                      <w:szCs w:val="21"/>
                      <w:highlight w:val="none"/>
                    </w:rPr>
                    <w:t>一般防渗，安全操作；配备一定的环境应急物资</w:t>
                  </w:r>
                </w:p>
              </w:tc>
            </w:tr>
            <w:tr w14:paraId="5BB9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1" w:type="pct"/>
                  <w:vMerge w:val="continue"/>
                  <w:noWrap w:val="0"/>
                  <w:vAlign w:val="center"/>
                </w:tcPr>
                <w:p w14:paraId="39E9AAC2">
                  <w:pPr>
                    <w:pStyle w:val="56"/>
                    <w:keepNext w:val="0"/>
                    <w:keepLines w:val="0"/>
                    <w:suppressLineNumbers w:val="0"/>
                    <w:spacing w:before="0" w:beforeAutospacing="0" w:after="0" w:afterAutospacing="0" w:line="240" w:lineRule="auto"/>
                    <w:ind w:right="0"/>
                    <w:jc w:val="center"/>
                    <w:rPr>
                      <w:rFonts w:hint="default" w:ascii="Times New Roman" w:hAnsi="Times New Roman" w:cs="Times New Roman"/>
                      <w:b w:val="0"/>
                      <w:bCs w:val="0"/>
                      <w:color w:val="auto"/>
                      <w:sz w:val="21"/>
                      <w:szCs w:val="21"/>
                      <w:highlight w:val="none"/>
                    </w:rPr>
                  </w:pPr>
                </w:p>
              </w:tc>
              <w:tc>
                <w:tcPr>
                  <w:tcW w:w="550" w:type="pct"/>
                  <w:noWrap w:val="0"/>
                  <w:vAlign w:val="center"/>
                </w:tcPr>
                <w:p w14:paraId="53312067">
                  <w:pPr>
                    <w:pStyle w:val="56"/>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val="0"/>
                      <w:bCs w:val="0"/>
                      <w:color w:val="auto"/>
                      <w:sz w:val="21"/>
                      <w:szCs w:val="21"/>
                      <w:highlight w:val="none"/>
                      <w:lang w:eastAsia="zh-CN"/>
                    </w:rPr>
                  </w:pPr>
                  <w:r>
                    <w:rPr>
                      <w:rFonts w:hint="default" w:ascii="Times New Roman" w:hAnsi="Times New Roman" w:cs="Times New Roman"/>
                      <w:b w:val="0"/>
                      <w:bCs w:val="0"/>
                      <w:color w:val="auto"/>
                      <w:sz w:val="21"/>
                      <w:szCs w:val="21"/>
                      <w:highlight w:val="none"/>
                    </w:rPr>
                    <w:t>危险废物</w:t>
                  </w:r>
                  <w:r>
                    <w:rPr>
                      <w:rFonts w:hint="default" w:ascii="Times New Roman" w:hAnsi="Times New Roman" w:cs="Times New Roman"/>
                      <w:b w:val="0"/>
                      <w:bCs w:val="0"/>
                      <w:color w:val="auto"/>
                      <w:sz w:val="21"/>
                      <w:szCs w:val="21"/>
                      <w:highlight w:val="none"/>
                      <w:lang w:eastAsia="zh-CN"/>
                    </w:rPr>
                    <w:t>泄漏</w:t>
                  </w:r>
                </w:p>
              </w:tc>
              <w:tc>
                <w:tcPr>
                  <w:tcW w:w="2066" w:type="pct"/>
                  <w:noWrap w:val="0"/>
                  <w:vAlign w:val="center"/>
                </w:tcPr>
                <w:p w14:paraId="39124C3B">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lang w:val="en-US" w:eastAsia="zh-CN"/>
                    </w:rPr>
                    <w:t>无铬钝化废槽液</w:t>
                  </w:r>
                  <w:r>
                    <w:rPr>
                      <w:rFonts w:hint="default" w:ascii="Times New Roman" w:hAnsi="Times New Roman" w:cs="Times New Roman"/>
                      <w:b w:val="0"/>
                      <w:bCs w:val="0"/>
                      <w:color w:val="auto"/>
                      <w:sz w:val="21"/>
                      <w:szCs w:val="21"/>
                      <w:highlight w:val="none"/>
                    </w:rPr>
                    <w:t>、废活性炭等危险废物在存储、转运过程中发生</w:t>
                  </w:r>
                  <w:r>
                    <w:rPr>
                      <w:rFonts w:hint="default" w:ascii="Times New Roman" w:hAnsi="Times New Roman" w:cs="Times New Roman"/>
                      <w:b w:val="0"/>
                      <w:bCs w:val="0"/>
                      <w:color w:val="auto"/>
                      <w:sz w:val="21"/>
                      <w:szCs w:val="21"/>
                      <w:highlight w:val="none"/>
                      <w:lang w:eastAsia="zh-CN"/>
                    </w:rPr>
                    <w:t>泄漏</w:t>
                  </w:r>
                  <w:r>
                    <w:rPr>
                      <w:rFonts w:hint="default" w:ascii="Times New Roman" w:hAnsi="Times New Roman" w:cs="Times New Roman"/>
                      <w:b w:val="0"/>
                      <w:bCs w:val="0"/>
                      <w:color w:val="auto"/>
                      <w:sz w:val="21"/>
                      <w:szCs w:val="21"/>
                      <w:highlight w:val="none"/>
                    </w:rPr>
                    <w:t>事件，导致项目有毒有害物质经地表径流或雨水管道进入周边水体或通过地表下渗污染地下水水质</w:t>
                  </w:r>
                </w:p>
              </w:tc>
              <w:tc>
                <w:tcPr>
                  <w:tcW w:w="2031" w:type="pct"/>
                  <w:noWrap w:val="0"/>
                  <w:vAlign w:val="center"/>
                </w:tcPr>
                <w:p w14:paraId="37E1927C">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危废间进行重点防渗，安全操作配备一定的环境应急物资</w:t>
                  </w:r>
                </w:p>
              </w:tc>
            </w:tr>
            <w:tr w14:paraId="7DDC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1" w:type="pct"/>
                  <w:vMerge w:val="restart"/>
                  <w:noWrap w:val="0"/>
                  <w:vAlign w:val="center"/>
                </w:tcPr>
                <w:p w14:paraId="7CC87884">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环保工程</w:t>
                  </w:r>
                </w:p>
              </w:tc>
              <w:tc>
                <w:tcPr>
                  <w:tcW w:w="550" w:type="pct"/>
                  <w:noWrap w:val="0"/>
                  <w:vAlign w:val="center"/>
                </w:tcPr>
                <w:p w14:paraId="721FE66C">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废气处理措施故障</w:t>
                  </w:r>
                </w:p>
              </w:tc>
              <w:tc>
                <w:tcPr>
                  <w:tcW w:w="2066" w:type="pct"/>
                  <w:noWrap w:val="0"/>
                  <w:vAlign w:val="center"/>
                </w:tcPr>
                <w:p w14:paraId="39C99F63">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废气超标排放，影响区域大气环境</w:t>
                  </w:r>
                </w:p>
              </w:tc>
              <w:tc>
                <w:tcPr>
                  <w:tcW w:w="2031" w:type="pct"/>
                  <w:noWrap w:val="0"/>
                  <w:vAlign w:val="center"/>
                </w:tcPr>
                <w:p w14:paraId="37D9B7F9">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定期进行检修，及时排除故障，废气处理设施故障时及时停产检修</w:t>
                  </w:r>
                </w:p>
              </w:tc>
            </w:tr>
            <w:tr w14:paraId="70C7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51" w:type="pct"/>
                  <w:vMerge w:val="continue"/>
                  <w:noWrap w:val="0"/>
                  <w:vAlign w:val="center"/>
                </w:tcPr>
                <w:p w14:paraId="56580420">
                  <w:pPr>
                    <w:pStyle w:val="56"/>
                    <w:keepNext w:val="0"/>
                    <w:keepLines w:val="0"/>
                    <w:suppressLineNumbers w:val="0"/>
                    <w:spacing w:before="0" w:beforeAutospacing="0" w:after="0" w:afterAutospacing="0" w:line="240" w:lineRule="auto"/>
                    <w:ind w:right="0"/>
                    <w:jc w:val="center"/>
                    <w:rPr>
                      <w:rFonts w:hint="default" w:ascii="Times New Roman" w:hAnsi="Times New Roman" w:cs="Times New Roman"/>
                      <w:b w:val="0"/>
                      <w:bCs w:val="0"/>
                      <w:color w:val="auto"/>
                      <w:sz w:val="21"/>
                      <w:szCs w:val="21"/>
                      <w:highlight w:val="none"/>
                    </w:rPr>
                  </w:pPr>
                </w:p>
              </w:tc>
              <w:tc>
                <w:tcPr>
                  <w:tcW w:w="550" w:type="pct"/>
                  <w:noWrap w:val="0"/>
                  <w:vAlign w:val="center"/>
                </w:tcPr>
                <w:p w14:paraId="1241B7B0">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废水处理措施故障</w:t>
                  </w:r>
                </w:p>
              </w:tc>
              <w:tc>
                <w:tcPr>
                  <w:tcW w:w="2066" w:type="pct"/>
                  <w:noWrap w:val="0"/>
                  <w:vAlign w:val="center"/>
                </w:tcPr>
                <w:p w14:paraId="25CC4216">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废水超标排放，影响地表水环境；发生</w:t>
                  </w:r>
                  <w:r>
                    <w:rPr>
                      <w:rFonts w:hint="default" w:ascii="Times New Roman" w:hAnsi="Times New Roman" w:cs="Times New Roman"/>
                      <w:b w:val="0"/>
                      <w:bCs w:val="0"/>
                      <w:color w:val="auto"/>
                      <w:sz w:val="21"/>
                      <w:szCs w:val="21"/>
                      <w:highlight w:val="none"/>
                      <w:lang w:eastAsia="zh-CN"/>
                    </w:rPr>
                    <w:t>泄漏</w:t>
                  </w:r>
                  <w:r>
                    <w:rPr>
                      <w:rFonts w:hint="default" w:ascii="Times New Roman" w:hAnsi="Times New Roman" w:cs="Times New Roman"/>
                      <w:b w:val="0"/>
                      <w:bCs w:val="0"/>
                      <w:color w:val="auto"/>
                      <w:sz w:val="21"/>
                      <w:szCs w:val="21"/>
                      <w:highlight w:val="none"/>
                    </w:rPr>
                    <w:t>事故，导致废水经地表径流或雨水管道进入周边水体或通过地表下渗污染地下水水质</w:t>
                  </w:r>
                </w:p>
              </w:tc>
              <w:tc>
                <w:tcPr>
                  <w:tcW w:w="2031" w:type="pct"/>
                  <w:noWrap w:val="0"/>
                  <w:vAlign w:val="center"/>
                </w:tcPr>
                <w:p w14:paraId="00C6E4AB">
                  <w:pPr>
                    <w:pStyle w:val="56"/>
                    <w:keepNext w:val="0"/>
                    <w:keepLines w:val="0"/>
                    <w:suppressLineNumbers w:val="0"/>
                    <w:spacing w:before="0" w:beforeAutospacing="0" w:after="0" w:afterAutospacing="0" w:line="240" w:lineRule="auto"/>
                    <w:ind w:left="0" w:right="0"/>
                    <w:jc w:val="center"/>
                    <w:rPr>
                      <w:rFonts w:hint="default" w:ascii="Times New Roman" w:hAnsi="Times New Roman" w:cs="Times New Roman"/>
                      <w:b w:val="0"/>
                      <w:bCs w:val="0"/>
                      <w:color w:val="auto"/>
                      <w:sz w:val="21"/>
                      <w:szCs w:val="21"/>
                      <w:highlight w:val="none"/>
                    </w:rPr>
                  </w:pPr>
                  <w:r>
                    <w:rPr>
                      <w:rFonts w:hint="default" w:ascii="Times New Roman" w:hAnsi="Times New Roman" w:cs="Times New Roman"/>
                      <w:b w:val="0"/>
                      <w:bCs w:val="0"/>
                      <w:color w:val="auto"/>
                      <w:sz w:val="21"/>
                      <w:szCs w:val="21"/>
                      <w:highlight w:val="none"/>
                    </w:rPr>
                    <w:t>废水收集管网均采用加厚 PVC材质制成，减少发生破损的情况;污水泵一用一备，确保废水处理系统稳定运行，</w:t>
                  </w:r>
                  <w:r>
                    <w:rPr>
                      <w:rFonts w:hint="eastAsia" w:ascii="Times New Roman" w:cs="Times New Roman"/>
                      <w:b w:val="0"/>
                      <w:bCs w:val="0"/>
                      <w:color w:val="auto"/>
                      <w:sz w:val="21"/>
                      <w:szCs w:val="21"/>
                      <w:highlight w:val="none"/>
                      <w:lang w:val="en-US" w:eastAsia="zh-CN"/>
                    </w:rPr>
                    <w:t>外排</w:t>
                  </w:r>
                  <w:r>
                    <w:rPr>
                      <w:rFonts w:hint="default" w:ascii="Times New Roman" w:hAnsi="Times New Roman" w:cs="Times New Roman"/>
                      <w:b w:val="0"/>
                      <w:bCs w:val="0"/>
                      <w:color w:val="auto"/>
                      <w:sz w:val="21"/>
                      <w:szCs w:val="21"/>
                      <w:highlight w:val="none"/>
                    </w:rPr>
                    <w:t>生产废水排放口设切断控制阀，防止事故生产废水外排</w:t>
                  </w:r>
                  <w:r>
                    <w:rPr>
                      <w:rFonts w:hint="eastAsia" w:ascii="Times New Roman" w:hAnsi="Times New Roman" w:cs="Times New Roman"/>
                      <w:b w:val="0"/>
                      <w:bCs w:val="0"/>
                      <w:color w:val="auto"/>
                      <w:sz w:val="21"/>
                      <w:szCs w:val="21"/>
                      <w:highlight w:val="none"/>
                      <w:lang w:eastAsia="zh-CN"/>
                    </w:rPr>
                    <w:t>；</w:t>
                  </w:r>
                  <w:r>
                    <w:rPr>
                      <w:rFonts w:hint="default" w:ascii="Times New Roman" w:hAnsi="Times New Roman" w:cs="Times New Roman"/>
                      <w:b w:val="0"/>
                      <w:bCs w:val="0"/>
                      <w:color w:val="auto"/>
                      <w:sz w:val="21"/>
                      <w:szCs w:val="21"/>
                      <w:highlight w:val="none"/>
                    </w:rPr>
                    <w:t>定期进行检修，及时排除故障，废水处理设施故障时及时停产检修。</w:t>
                  </w:r>
                </w:p>
              </w:tc>
            </w:tr>
          </w:tbl>
          <w:p w14:paraId="4D88E455">
            <w:pPr>
              <w:pStyle w:val="43"/>
              <w:spacing w:after="0" w:line="360" w:lineRule="auto"/>
              <w:ind w:firstLine="482"/>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rPr>
              <w:t>⑤事故应急池：</w:t>
            </w:r>
          </w:p>
          <w:p w14:paraId="1E0F1F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2" w:firstLineChars="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事故应急池容积计算参考《事故状态下水体污染的预防与控制技术要求》（Q/SY 1190-2013）的规定进行核算。</w:t>
            </w:r>
          </w:p>
          <w:p w14:paraId="00CCDB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总</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vertAlign w:val="subscript"/>
              </w:rPr>
              <w:t>max</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w:t>
            </w:r>
          </w:p>
          <w:p w14:paraId="0DE5121F">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式中：V</w:t>
            </w:r>
            <w:r>
              <w:rPr>
                <w:rFonts w:hint="default" w:ascii="Times New Roman" w:hAnsi="Times New Roman" w:eastAsia="宋体" w:cs="Times New Roman"/>
                <w:color w:val="auto"/>
                <w:sz w:val="24"/>
                <w:szCs w:val="24"/>
                <w:highlight w:val="none"/>
                <w:vertAlign w:val="subscript"/>
              </w:rPr>
              <w:t>1</w:t>
            </w:r>
            <w:r>
              <w:rPr>
                <w:rFonts w:hint="default" w:ascii="Times New Roman" w:hAnsi="Times New Roman" w:eastAsia="宋体" w:cs="Times New Roman"/>
                <w:color w:val="auto"/>
                <w:sz w:val="24"/>
                <w:szCs w:val="24"/>
                <w:highlight w:val="none"/>
              </w:rPr>
              <w:t>—收集系统范围内发生事故的一个罐组或一套装置的物料量。</w:t>
            </w:r>
          </w:p>
          <w:p w14:paraId="579D1CFE">
            <w:pPr>
              <w:keepNext w:val="0"/>
              <w:keepLines w:val="0"/>
              <w:suppressLineNumbers w:val="0"/>
              <w:spacing w:before="0" w:beforeAutospacing="0" w:after="0" w:afterAutospacing="0" w:line="360" w:lineRule="auto"/>
              <w:ind w:left="0" w:right="0" w:firstLine="480" w:firstLineChars="200"/>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项目所用化学品、原辅材料等不使用时封闭储存于化学品仓或原料仓中，化学品仓和危废间已做好防渗措施，</w:t>
            </w:r>
            <w:r>
              <w:rPr>
                <w:rFonts w:hint="default" w:ascii="Times New Roman" w:hAnsi="Times New Roman" w:cs="Times New Roman"/>
                <w:color w:val="auto"/>
                <w:sz w:val="24"/>
                <w:szCs w:val="24"/>
                <w:highlight w:val="none"/>
                <w:lang w:val="en-US" w:eastAsia="zh-CN"/>
              </w:rPr>
              <w:t>取各构筑物内最大一个液态物料储存容器的容积，本项目取11.2m</w:t>
            </w:r>
            <w:r>
              <w:rPr>
                <w:rFonts w:hint="default" w:ascii="Times New Roman" w:hAnsi="Times New Roman"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（预脱脂/脱脂池），即</w:t>
            </w:r>
            <w:r>
              <w:rPr>
                <w:rFonts w:hint="default" w:ascii="Times New Roman" w:hAnsi="Times New Roman" w:cs="Times New Roman"/>
                <w:color w:val="auto"/>
                <w:sz w:val="24"/>
                <w:szCs w:val="24"/>
                <w:highlight w:val="none"/>
                <w:lang w:eastAsia="zh-CN"/>
              </w:rPr>
              <w:t>V</w:t>
            </w:r>
            <w:r>
              <w:rPr>
                <w:rFonts w:hint="default" w:ascii="Times New Roman" w:hAnsi="Times New Roman" w:cs="Times New Roman"/>
                <w:color w:val="auto"/>
                <w:sz w:val="24"/>
                <w:szCs w:val="24"/>
                <w:highlight w:val="none"/>
                <w:vertAlign w:val="subscript"/>
                <w:lang w:val="en-US" w:eastAsia="zh-CN"/>
              </w:rPr>
              <w:t>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11.2</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p>
          <w:p w14:paraId="5D151C69">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—发生事故的储罐或装置的消防水量</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p>
          <w:p w14:paraId="15D78F82">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根据《消防给水及消火栓系统技术规范》（GB50974-2014），“1 工厂、堆场和储罐区等，当占地面积小于等于 100hm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 xml:space="preserve">，且附有居住区人数小于等于 1.5 万人时，同一时间内的火灾起数应按 1 起确定”，因此，确定项目同一时间内的火灾起数为 1，按最不利原则，建筑面积最大的生产楼火灾事故计。 </w:t>
            </w:r>
          </w:p>
          <w:p w14:paraId="4C4326F2">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本项目生产楼总高度约为</w:t>
            </w:r>
            <w:r>
              <w:rPr>
                <w:rFonts w:hint="eastAsia" w:ascii="Times New Roman" w:eastAsia="宋体" w:cs="Times New Roman"/>
                <w:color w:val="auto"/>
                <w:sz w:val="24"/>
                <w:szCs w:val="24"/>
                <w:highlight w:val="none"/>
                <w:lang w:val="en-US" w:eastAsia="zh-CN"/>
              </w:rPr>
              <w:t>12</w:t>
            </w:r>
            <w:r>
              <w:rPr>
                <w:rFonts w:hint="default" w:ascii="Times New Roman" w:hAnsi="Times New Roman" w:eastAsia="宋体" w:cs="Times New Roman"/>
                <w:color w:val="auto"/>
                <w:sz w:val="24"/>
                <w:szCs w:val="24"/>
                <w:highlight w:val="none"/>
                <w:lang w:val="en-US" w:eastAsia="zh-CN"/>
              </w:rPr>
              <w:t>m，占地面积为</w:t>
            </w:r>
            <w:r>
              <w:rPr>
                <w:rFonts w:hint="eastAsia" w:ascii="Times New Roman" w:eastAsia="宋体" w:cs="Times New Roman"/>
                <w:color w:val="auto"/>
                <w:sz w:val="24"/>
                <w:szCs w:val="24"/>
                <w:highlight w:val="none"/>
                <w:lang w:val="en-US" w:eastAsia="zh-CN"/>
              </w:rPr>
              <w:t>6780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z w:val="24"/>
                <w:szCs w:val="24"/>
                <w:highlight w:val="none"/>
                <w:lang w:val="en-US" w:eastAsia="zh-CN"/>
              </w:rPr>
              <w:t>，建筑体积为</w:t>
            </w:r>
            <w:r>
              <w:rPr>
                <w:rFonts w:hint="eastAsia" w:ascii="Times New Roman" w:eastAsia="宋体" w:cs="Times New Roman"/>
                <w:color w:val="auto"/>
                <w:sz w:val="24"/>
                <w:szCs w:val="24"/>
                <w:highlight w:val="none"/>
                <w:lang w:val="en-US" w:eastAsia="zh-CN"/>
              </w:rPr>
              <w:t>81360</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。根据《</w:t>
            </w:r>
            <w:r>
              <w:rPr>
                <w:rFonts w:hint="eastAsia" w:ascii="Times New Roman" w:eastAsia="宋体" w:cs="Times New Roman"/>
                <w:color w:val="auto"/>
                <w:sz w:val="24"/>
                <w:szCs w:val="24"/>
                <w:highlight w:val="none"/>
                <w:lang w:val="en-US" w:eastAsia="zh-CN"/>
              </w:rPr>
              <w:t>消防给水及消火栓系统技术规范</w:t>
            </w:r>
            <w:r>
              <w:rPr>
                <w:rFonts w:hint="default" w:ascii="Times New Roman" w:hAnsi="Times New Roman" w:eastAsia="宋体" w:cs="Times New Roman"/>
                <w:color w:val="auto"/>
                <w:sz w:val="24"/>
                <w:szCs w:val="24"/>
                <w:highlight w:val="none"/>
                <w:lang w:val="en-US" w:eastAsia="zh-CN"/>
              </w:rPr>
              <w:t xml:space="preserve">》（GB50974-2014）表 3.6.2，本项目厂房为丁类厂房的火灾延续时间按 </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h 计，根据消防用水量计算值，室外消防栓设计流量为 20L/s，火灾延续时间为 </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 xml:space="preserve"> 小时；室内消防栓设计流量为25L/s，火灾延续时间为 3 小时，V</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（室外）=20/1000*</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*3600=</w:t>
            </w:r>
            <w:r>
              <w:rPr>
                <w:rFonts w:hint="eastAsia" w:ascii="Times New Roman" w:eastAsia="宋体" w:cs="Times New Roman"/>
                <w:color w:val="auto"/>
                <w:sz w:val="24"/>
                <w:szCs w:val="24"/>
                <w:highlight w:val="none"/>
                <w:lang w:val="en-US" w:eastAsia="zh-CN"/>
              </w:rPr>
              <w:t>216</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，V</w:t>
            </w:r>
            <w:r>
              <w:rPr>
                <w:rFonts w:hint="default" w:ascii="Times New Roman" w:hAnsi="Times New Roman" w:eastAsia="宋体" w:cs="Times New Roman"/>
                <w:color w:val="auto"/>
                <w:sz w:val="24"/>
                <w:szCs w:val="24"/>
                <w:highlight w:val="none"/>
                <w:vertAlign w:val="subscript"/>
                <w:lang w:val="en-US" w:eastAsia="zh-CN"/>
              </w:rPr>
              <w:t>2</w:t>
            </w:r>
            <w:r>
              <w:rPr>
                <w:rFonts w:hint="default" w:ascii="Times New Roman" w:hAnsi="Times New Roman" w:eastAsia="宋体" w:cs="Times New Roman"/>
                <w:color w:val="auto"/>
                <w:sz w:val="24"/>
                <w:szCs w:val="24"/>
                <w:highlight w:val="none"/>
                <w:lang w:val="en-US" w:eastAsia="zh-CN"/>
              </w:rPr>
              <w:t>（室内）25/1000*3600*</w:t>
            </w:r>
            <w:r>
              <w:rPr>
                <w:rFonts w:hint="eastAsia" w:asci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w:t>
            </w:r>
            <w:r>
              <w:rPr>
                <w:rFonts w:hint="eastAsia" w:ascii="Times New Roman" w:eastAsia="宋体" w:cs="Times New Roman"/>
                <w:color w:val="auto"/>
                <w:sz w:val="24"/>
                <w:szCs w:val="24"/>
                <w:highlight w:val="none"/>
                <w:lang w:val="en-US" w:eastAsia="zh-CN"/>
              </w:rPr>
              <w:t>27</w:t>
            </w:r>
            <w:r>
              <w:rPr>
                <w:rFonts w:hint="default" w:ascii="Times New Roman" w:hAnsi="Times New Roman" w:eastAsia="宋体" w:cs="Times New Roman"/>
                <w:color w:val="auto"/>
                <w:sz w:val="24"/>
                <w:szCs w:val="24"/>
                <w:highlight w:val="none"/>
                <w:lang w:val="en-US" w:eastAsia="zh-CN"/>
              </w:rPr>
              <w:t>0m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即</w:t>
            </w: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cs="Times New Roman"/>
                <w:color w:val="auto"/>
                <w:sz w:val="24"/>
                <w:szCs w:val="24"/>
                <w:highlight w:val="none"/>
                <w:lang w:eastAsia="zh-CN"/>
              </w:rPr>
              <w:t>=</w:t>
            </w:r>
            <w:r>
              <w:rPr>
                <w:rFonts w:hint="eastAsia" w:ascii="Times New Roman" w:cs="Times New Roman"/>
                <w:color w:val="auto"/>
                <w:sz w:val="24"/>
                <w:szCs w:val="24"/>
                <w:highlight w:val="none"/>
                <w:lang w:val="en-US" w:eastAsia="zh-CN"/>
              </w:rPr>
              <w:t>216+270=486</w:t>
            </w:r>
            <w:r>
              <w:rPr>
                <w:rFonts w:hint="default" w:ascii="Times New Roman" w:hAnsi="Times New Roman" w:cs="Times New Roman"/>
                <w:color w:val="auto"/>
                <w:sz w:val="24"/>
                <w:szCs w:val="24"/>
                <w:highlight w:val="none"/>
                <w:lang w:eastAsia="zh-CN"/>
              </w:rPr>
              <w:t>m</w:t>
            </w:r>
            <w:r>
              <w:rPr>
                <w:rFonts w:hint="default" w:ascii="Times New Roman" w:hAnsi="Times New Roman" w:cs="Times New Roman"/>
                <w:color w:val="auto"/>
                <w:sz w:val="24"/>
                <w:szCs w:val="24"/>
                <w:highlight w:val="none"/>
                <w:vertAlign w:val="superscript"/>
                <w:lang w:eastAsia="zh-CN"/>
              </w:rPr>
              <w:t>3</w:t>
            </w:r>
            <w:r>
              <w:rPr>
                <w:rFonts w:hint="eastAsia" w:ascii="Times New Roman" w:cs="Times New Roman"/>
                <w:color w:val="auto"/>
                <w:sz w:val="24"/>
                <w:szCs w:val="24"/>
                <w:highlight w:val="none"/>
                <w:lang w:val="en-US" w:eastAsia="zh-CN"/>
              </w:rPr>
              <w:t>。</w:t>
            </w:r>
          </w:p>
          <w:p w14:paraId="7B0361D7">
            <w:pPr>
              <w:pStyle w:val="2"/>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3</w:t>
            </w:r>
            <w:r>
              <w:rPr>
                <w:rFonts w:hint="default" w:ascii="Times New Roman" w:hAnsi="Times New Roman" w:eastAsia="宋体" w:cs="Times New Roman"/>
                <w:color w:val="auto"/>
                <w:sz w:val="24"/>
                <w:szCs w:val="24"/>
                <w:highlight w:val="none"/>
              </w:rPr>
              <w:t>—发生事故时可以转输到其他储存或处理设施的物料量，m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 xml:space="preserve">；①本项目生产车间设缓坡的方式对消防废水进行暂存，合计面积约 </w:t>
            </w:r>
            <w:r>
              <w:rPr>
                <w:rFonts w:hint="eastAsia" w:ascii="Times New Roman" w:eastAsia="宋体" w:cs="Times New Roman"/>
                <w:color w:val="auto"/>
                <w:sz w:val="24"/>
                <w:szCs w:val="24"/>
                <w:highlight w:val="none"/>
                <w:lang w:val="en-US" w:eastAsia="zh-CN"/>
              </w:rPr>
              <w:t>6780</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，取 80%为有效暂存面积（即</w:t>
            </w:r>
            <w:r>
              <w:rPr>
                <w:rFonts w:hint="eastAsia" w:ascii="Times New Roman" w:eastAsia="宋体" w:cs="Times New Roman"/>
                <w:color w:val="auto"/>
                <w:sz w:val="24"/>
                <w:szCs w:val="24"/>
                <w:highlight w:val="none"/>
                <w:lang w:val="en-US" w:eastAsia="zh-CN"/>
              </w:rPr>
              <w:t>5424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2</w:t>
            </w:r>
            <w:r>
              <w:rPr>
                <w:rFonts w:hint="default" w:ascii="Times New Roman" w:hAnsi="Times New Roman" w:eastAsia="宋体" w:cs="Times New Roman"/>
                <w:color w:val="auto"/>
                <w:sz w:val="24"/>
                <w:szCs w:val="24"/>
                <w:highlight w:val="none"/>
              </w:rPr>
              <w:t>），缓坡高度为 10cm，则可容纳废水量约为</w:t>
            </w:r>
            <w:r>
              <w:rPr>
                <w:rFonts w:hint="eastAsia" w:ascii="Times New Roman" w:eastAsia="宋体" w:cs="Times New Roman"/>
                <w:color w:val="auto"/>
                <w:sz w:val="24"/>
                <w:szCs w:val="24"/>
                <w:highlight w:val="none"/>
                <w:lang w:val="en-US" w:eastAsia="zh-CN"/>
              </w:rPr>
              <w:t>542.4</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kern w:val="0"/>
                <w:sz w:val="24"/>
                <w:szCs w:val="24"/>
                <w:highlight w:val="none"/>
                <w:lang w:val="en-US" w:eastAsia="zh-CN"/>
              </w:rPr>
              <w:t>本项目V</w:t>
            </w:r>
            <w:r>
              <w:rPr>
                <w:rFonts w:hint="default" w:ascii="Times New Roman" w:hAnsi="Times New Roman" w:cs="Times New Roman"/>
                <w:color w:val="auto"/>
                <w:kern w:val="0"/>
                <w:sz w:val="24"/>
                <w:szCs w:val="24"/>
                <w:highlight w:val="none"/>
                <w:vertAlign w:val="subscript"/>
                <w:lang w:val="en-US" w:eastAsia="zh-CN"/>
              </w:rPr>
              <w:t>3</w:t>
            </w:r>
            <w:r>
              <w:rPr>
                <w:rFonts w:hint="default" w:ascii="Times New Roman" w:hAnsi="Times New Roman" w:cs="Times New Roman"/>
                <w:color w:val="auto"/>
                <w:kern w:val="0"/>
                <w:sz w:val="24"/>
                <w:szCs w:val="24"/>
                <w:highlight w:val="none"/>
                <w:lang w:val="en-US" w:eastAsia="zh-CN"/>
              </w:rPr>
              <w:t>=</w:t>
            </w:r>
            <w:r>
              <w:rPr>
                <w:rFonts w:hint="eastAsia" w:ascii="Times New Roman" w:cs="Times New Roman"/>
                <w:color w:val="auto"/>
                <w:kern w:val="0"/>
                <w:sz w:val="24"/>
                <w:szCs w:val="24"/>
                <w:highlight w:val="none"/>
                <w:lang w:val="en-US" w:eastAsia="zh-CN"/>
              </w:rPr>
              <w:t>542.4</w:t>
            </w:r>
            <w:r>
              <w:rPr>
                <w:rFonts w:hint="default" w:ascii="Times New Roman" w:hAnsi="Times New Roman" w:cs="Times New Roman"/>
                <w:color w:val="auto"/>
                <w:kern w:val="0"/>
                <w:sz w:val="24"/>
                <w:szCs w:val="24"/>
                <w:highlight w:val="none"/>
                <w:lang w:val="en-US" w:eastAsia="zh-CN"/>
              </w:rPr>
              <w:t>m</w:t>
            </w:r>
            <w:r>
              <w:rPr>
                <w:rFonts w:hint="default" w:ascii="Times New Roman" w:hAnsi="Times New Roman" w:cs="Times New Roman"/>
                <w:color w:val="auto"/>
                <w:kern w:val="0"/>
                <w:sz w:val="24"/>
                <w:szCs w:val="24"/>
                <w:highlight w:val="none"/>
                <w:vertAlign w:val="superscript"/>
                <w:lang w:val="en-US" w:eastAsia="zh-CN"/>
              </w:rPr>
              <w:t>3</w:t>
            </w:r>
            <w:r>
              <w:rPr>
                <w:rFonts w:hint="default" w:ascii="Times New Roman" w:hAnsi="Times New Roman" w:cs="Times New Roman"/>
                <w:color w:val="auto"/>
                <w:kern w:val="0"/>
                <w:sz w:val="24"/>
                <w:szCs w:val="24"/>
                <w:highlight w:val="none"/>
                <w:vertAlign w:val="baseline"/>
                <w:lang w:val="en-US" w:eastAsia="zh-CN"/>
              </w:rPr>
              <w:t>。</w:t>
            </w:r>
          </w:p>
          <w:p w14:paraId="3C2C31B1">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4</w:t>
            </w:r>
            <w:r>
              <w:rPr>
                <w:rFonts w:hint="default" w:ascii="Times New Roman" w:hAnsi="Times New Roman" w:eastAsia="宋体" w:cs="Times New Roman"/>
                <w:color w:val="auto"/>
                <w:sz w:val="24"/>
                <w:szCs w:val="24"/>
                <w:highlight w:val="none"/>
              </w:rPr>
              <w:t>—发生事故时仍必须进入该收集系统的生产废水量，m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eastAsia="zh-CN"/>
              </w:rPr>
              <w:t>事故发生时即停止生产，不会持续产生生产废水，</w:t>
            </w:r>
            <w:r>
              <w:rPr>
                <w:rFonts w:hint="default" w:ascii="Times New Roman" w:hAnsi="Times New Roman" w:cs="Times New Roman"/>
                <w:color w:val="auto"/>
                <w:sz w:val="24"/>
                <w:szCs w:val="24"/>
                <w:highlight w:val="none"/>
                <w:lang w:val="en-US" w:eastAsia="zh-CN"/>
              </w:rPr>
              <w:t>且本项目</w:t>
            </w:r>
            <w:r>
              <w:rPr>
                <w:rFonts w:hint="eastAsia" w:cs="Times New Roman"/>
                <w:color w:val="auto"/>
                <w:sz w:val="24"/>
                <w:szCs w:val="24"/>
                <w:highlight w:val="none"/>
                <w:lang w:val="en-US" w:eastAsia="zh-CN"/>
              </w:rPr>
              <w:t>工件表面预处理</w:t>
            </w:r>
            <w:r>
              <w:rPr>
                <w:rFonts w:hint="default" w:ascii="Times New Roman" w:hAnsi="Times New Roman" w:cs="Times New Roman"/>
                <w:color w:val="auto"/>
                <w:sz w:val="24"/>
                <w:szCs w:val="24"/>
                <w:highlight w:val="none"/>
                <w:lang w:val="en-US" w:eastAsia="zh-CN"/>
              </w:rPr>
              <w:t>生产线中各水池均设置有截流阀门，可在发生事故时关闭生产废水排放管道，</w:t>
            </w:r>
            <w:r>
              <w:rPr>
                <w:rFonts w:hint="default" w:ascii="Times New Roman" w:hAnsi="Times New Roman" w:cs="Times New Roman"/>
                <w:color w:val="auto"/>
                <w:sz w:val="24"/>
                <w:szCs w:val="24"/>
                <w:highlight w:val="none"/>
                <w:lang w:eastAsia="zh-CN"/>
              </w:rPr>
              <w:t>故</w:t>
            </w:r>
            <w:r>
              <w:rPr>
                <w:rFonts w:hint="default" w:ascii="Times New Roman" w:hAnsi="Times New Roman" w:cs="Times New Roman"/>
                <w:color w:val="auto"/>
                <w:sz w:val="24"/>
                <w:szCs w:val="24"/>
                <w:highlight w:val="none"/>
                <w:lang w:val="en-US" w:eastAsia="zh-CN"/>
              </w:rPr>
              <w:t>V</w:t>
            </w:r>
            <w:r>
              <w:rPr>
                <w:rFonts w:hint="default" w:ascii="Times New Roman" w:hAnsi="Times New Roman" w:cs="Times New Roman"/>
                <w:color w:val="auto"/>
                <w:sz w:val="24"/>
                <w:szCs w:val="24"/>
                <w:highlight w:val="none"/>
                <w:vertAlign w:val="subscript"/>
                <w:lang w:val="en-US" w:eastAsia="zh-CN"/>
              </w:rPr>
              <w:t>4</w:t>
            </w:r>
            <w:r>
              <w:rPr>
                <w:rFonts w:hint="default"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p>
          <w:p w14:paraId="21DD1C9E">
            <w:pPr>
              <w:keepNext w:val="0"/>
              <w:keepLines w:val="0"/>
              <w:suppressLineNumbers w:val="0"/>
              <w:spacing w:before="0" w:beforeAutospacing="0" w:after="0" w:afterAutospacing="0" w:line="360" w:lineRule="auto"/>
              <w:ind w:left="0" w:right="0" w:firstLine="56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V</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—发生事故时可能进入该收集系统的降雨量，m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cs="Times New Roman"/>
                <w:color w:val="auto"/>
                <w:sz w:val="24"/>
                <w:szCs w:val="24"/>
                <w:highlight w:val="none"/>
                <w:lang w:eastAsia="zh-CN"/>
              </w:rPr>
              <w:t>。</w:t>
            </w:r>
          </w:p>
          <w:p w14:paraId="759D3C0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V</w:t>
            </w:r>
            <w:r>
              <w:rPr>
                <w:rFonts w:hint="default" w:ascii="Times New Roman" w:hAnsi="Times New Roman" w:eastAsia="宋体" w:cs="Times New Roman"/>
                <w:color w:val="auto"/>
                <w:kern w:val="0"/>
                <w:sz w:val="24"/>
                <w:szCs w:val="24"/>
                <w:highlight w:val="none"/>
                <w:vertAlign w:val="subscript"/>
              </w:rPr>
              <w:t>5</w:t>
            </w:r>
            <w:r>
              <w:rPr>
                <w:rFonts w:hint="default" w:ascii="Times New Roman" w:hAnsi="Times New Roman" w:eastAsia="宋体" w:cs="Times New Roman"/>
                <w:color w:val="auto"/>
                <w:kern w:val="0"/>
                <w:sz w:val="24"/>
                <w:szCs w:val="24"/>
                <w:highlight w:val="none"/>
              </w:rPr>
              <w:t>=10qF</w:t>
            </w:r>
            <w:r>
              <w:rPr>
                <w:rFonts w:hint="default" w:ascii="Times New Roman" w:hAnsi="Times New Roman"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rPr>
              <w:t>；</w:t>
            </w:r>
          </w:p>
          <w:p w14:paraId="3380FAA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rPr>
              <w:t>q——降雨强度，按平均日降雨量</w:t>
            </w:r>
            <w:r>
              <w:rPr>
                <w:rFonts w:hint="default" w:ascii="Times New Roman" w:hAnsi="Times New Roman" w:eastAsia="宋体" w:cs="Times New Roman"/>
                <w:color w:val="auto"/>
                <w:kern w:val="0"/>
                <w:sz w:val="24"/>
                <w:szCs w:val="24"/>
                <w:highlight w:val="none"/>
                <w:lang w:eastAsia="zh-CN"/>
              </w:rPr>
              <w:t>，mm；</w:t>
            </w:r>
            <w:r>
              <w:rPr>
                <w:rFonts w:hint="default" w:ascii="Times New Roman" w:hAnsi="Times New Roman" w:eastAsia="宋体" w:cs="Times New Roman"/>
                <w:color w:val="auto"/>
                <w:kern w:val="0"/>
                <w:sz w:val="24"/>
                <w:szCs w:val="24"/>
                <w:highlight w:val="none"/>
                <w:lang w:val="en-US" w:eastAsia="zh-CN"/>
              </w:rPr>
              <w:t>根据</w:t>
            </w:r>
            <w:r>
              <w:rPr>
                <w:rFonts w:hint="default" w:ascii="Times New Roman" w:hAnsi="Times New Roman" w:eastAsia="宋体" w:cs="Times New Roman"/>
                <w:color w:val="auto"/>
                <w:kern w:val="0"/>
                <w:sz w:val="24"/>
                <w:szCs w:val="24"/>
                <w:highlight w:val="none"/>
              </w:rPr>
              <w:t>《水体污染防控紧急措施设计导则》，降雨强度按一年内降雨天数内的平均日降雨强度计</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q=q</w:t>
            </w:r>
            <w:r>
              <w:rPr>
                <w:rFonts w:hint="default" w:ascii="Times New Roman" w:hAnsi="Times New Roman" w:eastAsia="宋体" w:cs="Times New Roman"/>
                <w:color w:val="auto"/>
                <w:kern w:val="0"/>
                <w:sz w:val="24"/>
                <w:szCs w:val="24"/>
                <w:highlight w:val="none"/>
                <w:vertAlign w:val="subscript"/>
                <w:lang w:val="en-US" w:eastAsia="zh-CN"/>
              </w:rPr>
              <w:t>a</w:t>
            </w:r>
            <w:r>
              <w:rPr>
                <w:rFonts w:hint="default" w:ascii="Times New Roman" w:hAnsi="Times New Roman" w:eastAsia="宋体" w:cs="Times New Roman"/>
                <w:color w:val="auto"/>
                <w:kern w:val="0"/>
                <w:sz w:val="24"/>
                <w:szCs w:val="24"/>
                <w:highlight w:val="none"/>
                <w:lang w:val="en-US" w:eastAsia="zh-CN"/>
              </w:rPr>
              <w:t>/n；</w:t>
            </w:r>
          </w:p>
          <w:p w14:paraId="4526E22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qa</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年平均降雨量，mm；</w:t>
            </w:r>
          </w:p>
          <w:p w14:paraId="211FCE6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n</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年平均降雨天数；</w:t>
            </w:r>
          </w:p>
          <w:p w14:paraId="3B52CE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F——必须进入事故废水收集系统的雨水汇水面积，ha；</w:t>
            </w:r>
          </w:p>
          <w:p w14:paraId="51078A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径流系数，取0.9。</w:t>
            </w:r>
          </w:p>
          <w:p w14:paraId="24BC76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0"/>
                <w:sz w:val="24"/>
                <w:szCs w:val="24"/>
                <w:highlight w:val="none"/>
              </w:rPr>
              <w:t>根据</w:t>
            </w:r>
            <w:r>
              <w:rPr>
                <w:rFonts w:hint="default" w:ascii="Times New Roman" w:hAnsi="Times New Roman" w:eastAsia="宋体" w:cs="Times New Roman"/>
                <w:color w:val="auto"/>
                <w:kern w:val="0"/>
                <w:sz w:val="24"/>
                <w:szCs w:val="24"/>
                <w:highlight w:val="none"/>
                <w:lang w:val="en-US" w:eastAsia="zh-CN"/>
              </w:rPr>
              <w:t>可查询乐昌市生态环境状况公开数据</w:t>
            </w:r>
            <w:r>
              <w:rPr>
                <w:rFonts w:hint="default" w:ascii="Times New Roman" w:hAnsi="Times New Roman" w:eastAsia="宋体" w:cs="Times New Roman"/>
                <w:color w:val="auto"/>
                <w:kern w:val="0"/>
                <w:sz w:val="24"/>
                <w:szCs w:val="24"/>
                <w:highlight w:val="none"/>
              </w:rPr>
              <w:t>，</w:t>
            </w:r>
            <w:r>
              <w:rPr>
                <w:rFonts w:hint="default" w:ascii="Times New Roman" w:hAnsi="Times New Roman" w:eastAsia="宋体" w:cs="Times New Roman"/>
                <w:color w:val="auto"/>
                <w:kern w:val="0"/>
                <w:sz w:val="24"/>
                <w:szCs w:val="24"/>
                <w:highlight w:val="none"/>
                <w:lang w:val="en-US" w:eastAsia="zh-CN"/>
              </w:rPr>
              <w:t>乐昌市全市多年平均降雨量在1300</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1550毫米之间，雨水多集中在4~6月。2023年全市一般年平均降雨量1531.9毫米，降雨天数为145天，本项目以此作为计算依据，</w:t>
            </w:r>
            <w:r>
              <w:rPr>
                <w:rFonts w:hint="eastAsia" w:cs="Times New Roman"/>
                <w:color w:val="auto"/>
                <w:kern w:val="0"/>
                <w:sz w:val="24"/>
                <w:szCs w:val="24"/>
                <w:highlight w:val="none"/>
                <w:lang w:val="en-US" w:eastAsia="zh-CN"/>
              </w:rPr>
              <w:t>项目已实施雨污分流，项目所有原辅材料和物料均存放在车间内，厂区外不设置物料暂存堆放区。本项目汇水面积按照厂区外空地面积约 13668.34m</w:t>
            </w:r>
            <w:r>
              <w:rPr>
                <w:rFonts w:hint="eastAsia" w:cs="Times New Roman"/>
                <w:color w:val="auto"/>
                <w:kern w:val="0"/>
                <w:sz w:val="24"/>
                <w:szCs w:val="24"/>
                <w:highlight w:val="none"/>
                <w:vertAlign w:val="superscript"/>
                <w:lang w:val="en-US" w:eastAsia="zh-CN"/>
              </w:rPr>
              <w:t>2</w:t>
            </w:r>
            <w:r>
              <w:rPr>
                <w:rFonts w:hint="eastAsia" w:cs="Times New Roman"/>
                <w:color w:val="auto"/>
                <w:kern w:val="0"/>
                <w:sz w:val="24"/>
                <w:szCs w:val="24"/>
                <w:highlight w:val="none"/>
                <w:lang w:val="en-US" w:eastAsia="zh-CN"/>
              </w:rPr>
              <w:t>计算（项目有屋面的雨水通过单独的管道进入雨水管网，事故时通过屋面的雨水未被污染，因此本次不计屋面面积），则项目雨水汇水面积为 13668.34m</w:t>
            </w:r>
            <w:r>
              <w:rPr>
                <w:rFonts w:hint="eastAsia" w:cs="Times New Roman"/>
                <w:color w:val="auto"/>
                <w:kern w:val="0"/>
                <w:sz w:val="24"/>
                <w:szCs w:val="24"/>
                <w:highlight w:val="none"/>
                <w:vertAlign w:val="superscript"/>
                <w:lang w:val="en-US" w:eastAsia="zh-CN"/>
              </w:rPr>
              <w:t>2</w:t>
            </w:r>
            <w:r>
              <w:rPr>
                <w:rFonts w:hint="eastAsia" w:cs="Times New Roman"/>
                <w:color w:val="auto"/>
                <w:kern w:val="0"/>
                <w:sz w:val="24"/>
                <w:szCs w:val="24"/>
                <w:highlight w:val="none"/>
                <w:lang w:val="en-US" w:eastAsia="zh-CN"/>
              </w:rPr>
              <w:t>，V</w:t>
            </w:r>
            <w:r>
              <w:rPr>
                <w:rFonts w:hint="eastAsia" w:cs="Times New Roman"/>
                <w:color w:val="auto"/>
                <w:kern w:val="0"/>
                <w:sz w:val="24"/>
                <w:szCs w:val="24"/>
                <w:highlight w:val="none"/>
                <w:vertAlign w:val="subscript"/>
                <w:lang w:val="en-US" w:eastAsia="zh-CN"/>
              </w:rPr>
              <w:t>5</w:t>
            </w:r>
            <w:r>
              <w:rPr>
                <w:rFonts w:hint="eastAsia" w:cs="Times New Roman"/>
                <w:color w:val="auto"/>
                <w:kern w:val="0"/>
                <w:sz w:val="24"/>
                <w:szCs w:val="24"/>
                <w:highlight w:val="none"/>
                <w:lang w:val="en-US" w:eastAsia="zh-CN"/>
              </w:rPr>
              <w:t>≈129.6m</w:t>
            </w:r>
            <w:r>
              <w:rPr>
                <w:rFonts w:hint="eastAsia" w:cs="Times New Roman"/>
                <w:color w:val="auto"/>
                <w:kern w:val="0"/>
                <w:sz w:val="24"/>
                <w:szCs w:val="24"/>
                <w:highlight w:val="none"/>
                <w:vertAlign w:val="superscript"/>
                <w:lang w:val="en-US" w:eastAsia="zh-CN"/>
              </w:rPr>
              <w:t>3</w:t>
            </w:r>
            <w:r>
              <w:rPr>
                <w:rFonts w:hint="eastAsia" w:cs="Times New Roman"/>
                <w:color w:val="auto"/>
                <w:kern w:val="0"/>
                <w:sz w:val="24"/>
                <w:szCs w:val="24"/>
                <w:highlight w:val="none"/>
                <w:lang w:val="en-US" w:eastAsia="zh-CN"/>
              </w:rPr>
              <w:t>（10*1531.9/145*13668.34/10000*0.9=129.6）。</w:t>
            </w:r>
          </w:p>
          <w:p w14:paraId="5774312A">
            <w:pPr>
              <w:keepNext w:val="0"/>
              <w:keepLines w:val="0"/>
              <w:suppressLineNumbers w:val="0"/>
              <w:spacing w:before="0" w:beforeAutospacing="0" w:after="0" w:afterAutospacing="0" w:line="360" w:lineRule="auto"/>
              <w:ind w:left="0" w:right="0" w:firstLine="560"/>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综上，</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11.2</w:t>
            </w:r>
            <w:r>
              <w:rPr>
                <w:rFonts w:hint="default" w:ascii="Times New Roman" w:hAnsi="Times New Roman" w:eastAsia="宋体" w:cs="Times New Roman"/>
                <w:color w:val="auto"/>
                <w:sz w:val="24"/>
                <w:szCs w:val="24"/>
                <w:highlight w:val="none"/>
                <w:lang w:val="en-US" w:eastAsia="zh-CN"/>
              </w:rPr>
              <w:t>+</w:t>
            </w:r>
            <w:r>
              <w:rPr>
                <w:rFonts w:hint="eastAsia" w:cs="Times New Roman"/>
                <w:color w:val="auto"/>
                <w:sz w:val="24"/>
                <w:szCs w:val="24"/>
                <w:highlight w:val="none"/>
                <w:lang w:val="en-US" w:eastAsia="zh-CN"/>
              </w:rPr>
              <w:t>486</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542.4</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max=0。</w:t>
            </w:r>
            <w:r>
              <w:rPr>
                <w:rFonts w:hint="default" w:ascii="Times New Roman" w:hAnsi="Times New Roman" w:eastAsia="宋体" w:cs="Times New Roman"/>
                <w:color w:val="auto"/>
                <w:sz w:val="24"/>
                <w:szCs w:val="24"/>
                <w:highlight w:val="none"/>
              </w:rPr>
              <w:t>为满足消防或其他事故时废水收集需要，</w:t>
            </w: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所需的事故储存设施总有效容积V</w:t>
            </w:r>
            <w:r>
              <w:rPr>
                <w:rFonts w:hint="default" w:ascii="Times New Roman" w:hAnsi="Times New Roman" w:eastAsia="宋体" w:cs="Times New Roman"/>
                <w:color w:val="auto"/>
                <w:sz w:val="24"/>
                <w:szCs w:val="24"/>
                <w:highlight w:val="none"/>
                <w:vertAlign w:val="subscript"/>
              </w:rPr>
              <w:t>总</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0+</w:t>
            </w:r>
            <w:r>
              <w:rPr>
                <w:rFonts w:hint="eastAsia" w:cs="Times New Roman"/>
                <w:color w:val="auto"/>
                <w:sz w:val="24"/>
                <w:szCs w:val="24"/>
                <w:highlight w:val="none"/>
                <w:lang w:val="en-US" w:eastAsia="zh-CN"/>
              </w:rPr>
              <w:t>129.6</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129.6</w:t>
            </w:r>
            <w:r>
              <w:rPr>
                <w:rFonts w:hint="default" w:ascii="Times New Roman" w:hAnsi="Times New Roman" w:eastAsia="宋体" w:cs="Times New Roman"/>
                <w:color w:val="auto"/>
                <w:kern w:val="2"/>
                <w:sz w:val="24"/>
                <w:szCs w:val="24"/>
                <w:highlight w:val="none"/>
                <w:lang w:val="en-US" w:eastAsia="zh-CN" w:bidi="ar-SA"/>
              </w:rPr>
              <w:t>m</w:t>
            </w:r>
            <w:r>
              <w:rPr>
                <w:rFonts w:hint="default" w:ascii="Times New Roman" w:hAnsi="Times New Roman" w:eastAsia="宋体" w:cs="Times New Roman"/>
                <w:color w:val="auto"/>
                <w:kern w:val="2"/>
                <w:sz w:val="24"/>
                <w:szCs w:val="24"/>
                <w:highlight w:val="none"/>
                <w:vertAlign w:val="superscript"/>
                <w:lang w:val="en-US" w:eastAsia="zh-CN" w:bidi="ar-SA"/>
              </w:rPr>
              <w:t>3</w:t>
            </w:r>
            <w:r>
              <w:rPr>
                <w:rFonts w:hint="default" w:ascii="Times New Roman" w:hAnsi="Times New Roman" w:eastAsia="宋体" w:cs="Times New Roman"/>
                <w:color w:val="auto"/>
                <w:sz w:val="24"/>
                <w:szCs w:val="24"/>
                <w:highlight w:val="none"/>
              </w:rPr>
              <w:t>。</w:t>
            </w:r>
          </w:p>
          <w:p w14:paraId="7C095B7E">
            <w:pPr>
              <w:pStyle w:val="34"/>
              <w:spacing w:line="360" w:lineRule="auto"/>
              <w:ind w:firstLine="480" w:firstLineChars="200"/>
              <w:rPr>
                <w:rFonts w:hint="default" w:ascii="Times New Roman" w:hAnsi="Times New Roman" w:eastAsia="宋体" w:cs="Times New Roman"/>
                <w:color w:val="auto"/>
                <w:spacing w:val="-2"/>
                <w:sz w:val="24"/>
                <w:szCs w:val="24"/>
                <w:highlight w:val="none"/>
              </w:rPr>
            </w:pPr>
            <w:r>
              <w:rPr>
                <w:rFonts w:hint="default" w:ascii="Times New Roman" w:hAnsi="Times New Roman" w:cs="Times New Roman"/>
                <w:b w:val="0"/>
                <w:bCs w:val="0"/>
                <w:color w:val="auto"/>
                <w:sz w:val="24"/>
                <w:szCs w:val="24"/>
                <w:highlight w:val="none"/>
              </w:rPr>
              <w:t>本项目事故废水依托自建事故应急池，厂区设有1个有效容积为</w:t>
            </w:r>
            <w:r>
              <w:rPr>
                <w:rFonts w:hint="eastAsia" w:ascii="Times New Roman" w:hAnsi="Times New Roman" w:cs="Times New Roman"/>
                <w:b w:val="0"/>
                <w:bCs w:val="0"/>
                <w:color w:val="auto"/>
                <w:sz w:val="24"/>
                <w:szCs w:val="24"/>
                <w:highlight w:val="none"/>
                <w:lang w:val="en-US" w:eastAsia="zh-CN"/>
              </w:rPr>
              <w:t>15</w:t>
            </w:r>
            <w:r>
              <w:rPr>
                <w:rFonts w:hint="default" w:ascii="Times New Roman" w:hAnsi="Times New Roman" w:cs="Times New Roman"/>
                <w:b w:val="0"/>
                <w:bCs w:val="0"/>
                <w:color w:val="auto"/>
                <w:sz w:val="24"/>
                <w:szCs w:val="24"/>
                <w:highlight w:val="none"/>
                <w:lang w:val="en-US" w:eastAsia="zh-CN"/>
              </w:rPr>
              <w:t>0</w:t>
            </w:r>
            <w:r>
              <w:rPr>
                <w:rFonts w:hint="default" w:ascii="Times New Roman" w:hAnsi="Times New Roman" w:cs="Times New Roman"/>
                <w:b w:val="0"/>
                <w:bCs w:val="0"/>
                <w:color w:val="auto"/>
                <w:sz w:val="24"/>
                <w:szCs w:val="24"/>
                <w:highlight w:val="none"/>
              </w:rPr>
              <w:t>m</w:t>
            </w:r>
            <w:r>
              <w:rPr>
                <w:rFonts w:hint="default" w:ascii="Times New Roman" w:hAnsi="Times New Roman" w:cs="Times New Roman"/>
                <w:b w:val="0"/>
                <w:bCs w:val="0"/>
                <w:color w:val="auto"/>
                <w:sz w:val="24"/>
                <w:szCs w:val="24"/>
                <w:highlight w:val="none"/>
                <w:vertAlign w:val="superscript"/>
              </w:rPr>
              <w:t>3</w:t>
            </w:r>
            <w:r>
              <w:rPr>
                <w:rFonts w:hint="default" w:ascii="Times New Roman" w:hAnsi="Times New Roman" w:cs="Times New Roman"/>
                <w:b w:val="0"/>
                <w:bCs w:val="0"/>
                <w:color w:val="auto"/>
                <w:sz w:val="24"/>
                <w:szCs w:val="24"/>
                <w:highlight w:val="none"/>
              </w:rPr>
              <w:t>的事故应急池</w:t>
            </w:r>
            <w:r>
              <w:rPr>
                <w:rFonts w:hint="default" w:ascii="Times New Roman" w:hAnsi="Times New Roman" w:cs="Times New Roman"/>
                <w:b w:val="0"/>
                <w:bCs w:val="0"/>
                <w:color w:val="auto"/>
                <w:sz w:val="24"/>
                <w:szCs w:val="24"/>
                <w:highlight w:val="none"/>
                <w:lang w:eastAsia="zh-CN"/>
              </w:rPr>
              <w:t>，</w:t>
            </w:r>
            <w:r>
              <w:rPr>
                <w:rFonts w:hint="default" w:ascii="Times New Roman" w:hAnsi="Times New Roman" w:cs="Times New Roman"/>
                <w:b w:val="0"/>
                <w:bCs w:val="0"/>
                <w:color w:val="auto"/>
                <w:sz w:val="24"/>
                <w:szCs w:val="24"/>
                <w:highlight w:val="none"/>
              </w:rPr>
              <w:t>且本项目厂房设有围堰及沙包等应急措施及物资。当发生事故时，泄漏物料、消防废水等事故废水均能截留在厂区内。园区定期对事故应急系统进行排查，发现存在问题，马上进行检修，确保事故时能有效运行</w:t>
            </w:r>
            <w:r>
              <w:rPr>
                <w:rFonts w:hint="default" w:ascii="Times New Roman" w:hAnsi="Times New Roman" w:cs="Times New Roman"/>
                <w:b w:val="0"/>
                <w:bCs w:val="0"/>
                <w:color w:val="auto"/>
                <w:sz w:val="24"/>
                <w:szCs w:val="24"/>
                <w:highlight w:val="none"/>
                <w:lang w:eastAsia="zh-CN"/>
              </w:rPr>
              <w:t>。</w:t>
            </w:r>
          </w:p>
          <w:p w14:paraId="56287403">
            <w:pPr>
              <w:pStyle w:val="43"/>
              <w:spacing w:after="0" w:line="360" w:lineRule="auto"/>
              <w:ind w:firstLine="482"/>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lang w:val="en-US" w:eastAsia="zh-CN"/>
              </w:rPr>
              <w:t>7.4</w:t>
            </w:r>
            <w:r>
              <w:rPr>
                <w:rFonts w:hint="default" w:ascii="Times New Roman" w:hAnsi="Times New Roman" w:eastAsia="宋体" w:cs="Times New Roman"/>
                <w:b/>
                <w:bCs/>
                <w:color w:val="auto"/>
                <w:sz w:val="24"/>
                <w:highlight w:val="none"/>
              </w:rPr>
              <w:t>企业环境风险应急体系</w:t>
            </w:r>
          </w:p>
          <w:p w14:paraId="48E9EB1F">
            <w:pPr>
              <w:pStyle w:val="43"/>
              <w:spacing w:after="0" w:line="360" w:lineRule="auto"/>
              <w:ind w:firstLine="482"/>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rPr>
              <w:t>项目投入运行后，运营单位应及时组织编制突发环境应急预案，建立</w:t>
            </w:r>
            <w:r>
              <w:rPr>
                <w:rFonts w:hint="default" w:ascii="Times New Roman" w:hAnsi="Times New Roman" w:eastAsia="宋体" w:cs="Times New Roman"/>
                <w:b w:val="0"/>
                <w:bCs w:val="0"/>
                <w:color w:val="auto"/>
                <w:sz w:val="24"/>
                <w:highlight w:val="none"/>
                <w:lang w:val="en-US" w:eastAsia="zh-CN"/>
              </w:rPr>
              <w:t>单元-厂区-园区三级环境</w:t>
            </w:r>
            <w:r>
              <w:rPr>
                <w:rFonts w:hint="default" w:ascii="Times New Roman" w:hAnsi="Times New Roman" w:eastAsia="宋体" w:cs="Times New Roman"/>
                <w:b w:val="0"/>
                <w:bCs w:val="0"/>
                <w:color w:val="auto"/>
                <w:sz w:val="24"/>
                <w:highlight w:val="none"/>
              </w:rPr>
              <w:t>风险防控体系。建设单位应按照《建设项目环境风险评价技术导则》（HJ169-2018）</w:t>
            </w:r>
            <w:r>
              <w:rPr>
                <w:rFonts w:hint="default" w:ascii="Times New Roman" w:hAnsi="Times New Roman" w:eastAsia="宋体" w:cs="Times New Roman"/>
                <w:b w:val="0"/>
                <w:bCs w:val="0"/>
                <w:color w:val="auto"/>
                <w:sz w:val="24"/>
                <w:highlight w:val="none"/>
                <w:lang w:eastAsia="zh-CN"/>
              </w:rPr>
              <w:t>、</w:t>
            </w:r>
            <w:r>
              <w:rPr>
                <w:rFonts w:hint="default" w:ascii="Times New Roman" w:hAnsi="Times New Roman" w:eastAsia="宋体" w:cs="Times New Roman"/>
                <w:b w:val="0"/>
                <w:bCs w:val="0"/>
                <w:color w:val="auto"/>
                <w:sz w:val="24"/>
                <w:highlight w:val="none"/>
                <w:lang w:val="en-US" w:eastAsia="zh-CN"/>
              </w:rPr>
              <w:t>《广东省企事业单位突发环境事件应急预案编制指南（试行）》(2020年8月施行）</w:t>
            </w:r>
            <w:r>
              <w:rPr>
                <w:rFonts w:hint="default" w:ascii="Times New Roman" w:hAnsi="Times New Roman" w:eastAsia="宋体" w:cs="Times New Roman"/>
                <w:b w:val="0"/>
                <w:bCs w:val="0"/>
                <w:color w:val="auto"/>
                <w:sz w:val="24"/>
                <w:highlight w:val="none"/>
              </w:rPr>
              <w:t>编制突发环境事件应急预案，做好监控和预警、应急响应、应急保障、善后处置、预案演练等，减小事故排放对周边</w:t>
            </w:r>
            <w:r>
              <w:rPr>
                <w:rFonts w:hint="default" w:ascii="Times New Roman" w:hAnsi="Times New Roman" w:eastAsia="宋体" w:cs="Times New Roman"/>
                <w:b w:val="0"/>
                <w:bCs w:val="0"/>
                <w:color w:val="auto"/>
                <w:sz w:val="24"/>
                <w:highlight w:val="none"/>
                <w:lang w:val="en-US" w:eastAsia="zh-CN"/>
              </w:rPr>
              <w:t>环境敏感点</w:t>
            </w:r>
            <w:r>
              <w:rPr>
                <w:rFonts w:hint="default" w:ascii="Times New Roman" w:hAnsi="Times New Roman" w:eastAsia="宋体" w:cs="Times New Roman"/>
                <w:b w:val="0"/>
                <w:bCs w:val="0"/>
                <w:color w:val="auto"/>
                <w:sz w:val="24"/>
                <w:highlight w:val="none"/>
              </w:rPr>
              <w:t>的影响。</w:t>
            </w:r>
          </w:p>
          <w:p w14:paraId="1C891670">
            <w:pPr>
              <w:pStyle w:val="43"/>
              <w:spacing w:after="0" w:line="360" w:lineRule="auto"/>
              <w:ind w:firstLine="482"/>
              <w:rPr>
                <w:rFonts w:hint="default" w:ascii="Times New Roman" w:hAnsi="Times New Roman" w:eastAsia="宋体" w:cs="Times New Roman"/>
                <w:b w:val="0"/>
                <w:bCs w:val="0"/>
                <w:color w:val="auto"/>
                <w:sz w:val="24"/>
                <w:highlight w:val="none"/>
              </w:rPr>
            </w:pPr>
            <w:r>
              <w:rPr>
                <w:rFonts w:hint="default" w:ascii="Times New Roman" w:hAnsi="Times New Roman" w:eastAsia="宋体" w:cs="Times New Roman"/>
                <w:b w:val="0"/>
                <w:bCs w:val="0"/>
                <w:color w:val="auto"/>
                <w:sz w:val="24"/>
                <w:highlight w:val="none"/>
              </w:rPr>
              <w:t>综上，建设单位须做好应急措施，采取有针对性的环境风险防范措施及应急预案后，可降低项目未经处理排放的风险概率。本次工程项目从环境风险角度可行。</w:t>
            </w:r>
          </w:p>
          <w:p w14:paraId="6CB3A6CF">
            <w:pPr>
              <w:pStyle w:val="43"/>
              <w:spacing w:after="0" w:line="360" w:lineRule="auto"/>
              <w:ind w:firstLine="482"/>
              <w:rPr>
                <w:rFonts w:hint="default" w:ascii="Times New Roman" w:hAnsi="Times New Roman" w:eastAsia="宋体" w:cs="Times New Roman"/>
                <w:b/>
                <w:bCs/>
                <w:color w:val="auto"/>
                <w:sz w:val="24"/>
                <w:highlight w:val="none"/>
              </w:rPr>
            </w:pPr>
            <w:r>
              <w:rPr>
                <w:rFonts w:hint="default" w:ascii="Times New Roman" w:hAnsi="Times New Roman" w:eastAsia="宋体" w:cs="Times New Roman"/>
                <w:b/>
                <w:bCs/>
                <w:color w:val="auto"/>
                <w:sz w:val="24"/>
                <w:highlight w:val="none"/>
              </w:rPr>
              <w:t>8、电磁辐射</w:t>
            </w:r>
          </w:p>
          <w:p w14:paraId="012B003B">
            <w:pPr>
              <w:pStyle w:val="76"/>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无。</w:t>
            </w:r>
          </w:p>
          <w:p w14:paraId="1D8740E4">
            <w:pPr>
              <w:pStyle w:val="76"/>
              <w:rPr>
                <w:rFonts w:hint="default" w:ascii="Times New Roman" w:hAnsi="Times New Roman" w:eastAsia="宋体" w:cs="Times New Roman"/>
                <w:color w:val="auto"/>
                <w:sz w:val="24"/>
                <w:highlight w:val="none"/>
              </w:rPr>
            </w:pPr>
          </w:p>
          <w:p w14:paraId="10706D82">
            <w:pPr>
              <w:pStyle w:val="43"/>
              <w:spacing w:after="0" w:line="360" w:lineRule="auto"/>
              <w:ind w:firstLine="482"/>
              <w:rPr>
                <w:rFonts w:hint="default"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val="en-US" w:eastAsia="zh-CN"/>
              </w:rPr>
              <w:t>9、</w:t>
            </w:r>
            <w:r>
              <w:rPr>
                <w:rFonts w:hint="default" w:ascii="Times New Roman" w:hAnsi="Times New Roman" w:eastAsia="宋体" w:cs="Times New Roman"/>
                <w:b/>
                <w:bCs/>
                <w:color w:val="auto"/>
                <w:sz w:val="24"/>
                <w:highlight w:val="none"/>
                <w:lang w:eastAsia="zh-CN"/>
              </w:rPr>
              <w:t>建设项目竣工环保验收“三同时”一览表</w:t>
            </w:r>
          </w:p>
          <w:p w14:paraId="163DA09A">
            <w:pPr>
              <w:widowControl w:val="0"/>
              <w:kinsoku/>
              <w:autoSpaceDE/>
              <w:autoSpaceDN/>
              <w:adjustRightInd/>
              <w:snapToGrid/>
              <w:spacing w:line="360" w:lineRule="auto"/>
              <w:ind w:firstLine="420" w:firstLineChars="200"/>
              <w:jc w:val="both"/>
              <w:textAlignment w:val="auto"/>
              <w:rPr>
                <w:rFonts w:ascii="Times New Roman" w:hAnsi="Times New Roman" w:eastAsia="宋体" w:cs="Times New Roman"/>
                <w:b w:val="0"/>
                <w:bCs w:val="0"/>
                <w:color w:val="auto"/>
                <w:highlight w:val="none"/>
              </w:rPr>
            </w:pPr>
            <w:r>
              <w:rPr>
                <w:rFonts w:ascii="Times New Roman" w:hAnsi="Times New Roman" w:eastAsia="宋体" w:cs="Times New Roman"/>
                <w:b w:val="0"/>
                <w:bCs w:val="0"/>
                <w:color w:val="auto"/>
                <w:highlight w:val="none"/>
              </w:rPr>
              <w:t>竣工环境保护验收“三同时”一览表如下所示：</w:t>
            </w:r>
          </w:p>
          <w:p w14:paraId="407D0F00">
            <w:pPr>
              <w:keepNext/>
              <w:keepLines/>
              <w:numPr>
                <w:ilvl w:val="0"/>
                <w:numId w:val="0"/>
              </w:numPr>
              <w:suppressLineNumbers w:val="0"/>
              <w:tabs>
                <w:tab w:val="left" w:pos="0"/>
              </w:tabs>
              <w:spacing w:before="0" w:beforeAutospacing="0" w:after="0" w:afterAutospacing="0"/>
              <w:ind w:left="0" w:leftChars="0" w:right="0" w:rightChars="0" w:firstLine="40" w:firstLineChars="0"/>
              <w:jc w:val="center"/>
              <w:outlineLvl w:val="3"/>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2"/>
                <w:sz w:val="21"/>
                <w:szCs w:val="21"/>
                <w:lang w:val="en-US" w:eastAsia="zh-CN" w:bidi="ar-SA"/>
              </w:rPr>
              <w:t>表4-</w:t>
            </w:r>
            <w:r>
              <w:rPr>
                <w:rFonts w:hint="eastAsia" w:cs="Times New Roman"/>
                <w:b/>
                <w:bCs/>
                <w:color w:val="auto"/>
                <w:kern w:val="2"/>
                <w:sz w:val="21"/>
                <w:szCs w:val="21"/>
                <w:lang w:val="en-US" w:eastAsia="zh-CN" w:bidi="ar-SA"/>
              </w:rPr>
              <w:t xml:space="preserve">43 </w:t>
            </w:r>
            <w:r>
              <w:rPr>
                <w:rFonts w:hint="default" w:ascii="Times New Roman" w:hAnsi="Times New Roman" w:eastAsia="宋体" w:cs="Times New Roman"/>
                <w:b/>
                <w:bCs/>
                <w:color w:val="auto"/>
                <w:sz w:val="21"/>
                <w:szCs w:val="21"/>
                <w:highlight w:val="none"/>
                <w:lang w:val="en-US" w:eastAsia="zh-CN"/>
              </w:rPr>
              <w:t>项目环保“三同时”竣工验收一览表</w:t>
            </w:r>
          </w:p>
          <w:tbl>
            <w:tblPr>
              <w:tblStyle w:val="48"/>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1519"/>
              <w:gridCol w:w="1461"/>
              <w:gridCol w:w="2262"/>
              <w:gridCol w:w="2557"/>
            </w:tblGrid>
            <w:tr w14:paraId="5FC4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noWrap w:val="0"/>
                  <w:vAlign w:val="center"/>
                </w:tcPr>
                <w:p w14:paraId="07BC2C1B">
                  <w:pPr>
                    <w:widowControl w:val="0"/>
                    <w:spacing w:line="240" w:lineRule="auto"/>
                    <w:ind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项目</w:t>
                  </w:r>
                </w:p>
              </w:tc>
              <w:tc>
                <w:tcPr>
                  <w:tcW w:w="914" w:type="pct"/>
                  <w:noWrap w:val="0"/>
                  <w:vAlign w:val="center"/>
                </w:tcPr>
                <w:p w14:paraId="0B9D6C8D">
                  <w:pPr>
                    <w:widowControl w:val="0"/>
                    <w:spacing w:line="240" w:lineRule="auto"/>
                    <w:ind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污染源</w:t>
                  </w:r>
                </w:p>
              </w:tc>
              <w:tc>
                <w:tcPr>
                  <w:tcW w:w="879" w:type="pct"/>
                  <w:noWrap w:val="0"/>
                  <w:vAlign w:val="center"/>
                </w:tcPr>
                <w:p w14:paraId="1AAB2B7A">
                  <w:pPr>
                    <w:widowControl w:val="0"/>
                    <w:spacing w:line="240" w:lineRule="auto"/>
                    <w:ind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污染物</w:t>
                  </w:r>
                </w:p>
              </w:tc>
              <w:tc>
                <w:tcPr>
                  <w:tcW w:w="1361" w:type="pct"/>
                  <w:noWrap w:val="0"/>
                  <w:vAlign w:val="center"/>
                </w:tcPr>
                <w:p w14:paraId="493483BC">
                  <w:pPr>
                    <w:widowControl w:val="0"/>
                    <w:spacing w:line="240" w:lineRule="auto"/>
                    <w:ind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防治措施</w:t>
                  </w:r>
                </w:p>
              </w:tc>
              <w:tc>
                <w:tcPr>
                  <w:tcW w:w="1538" w:type="pct"/>
                  <w:noWrap w:val="0"/>
                  <w:vAlign w:val="center"/>
                </w:tcPr>
                <w:p w14:paraId="230F5A3F">
                  <w:pPr>
                    <w:widowControl w:val="0"/>
                    <w:spacing w:line="240" w:lineRule="auto"/>
                    <w:ind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验收标准</w:t>
                  </w:r>
                </w:p>
              </w:tc>
            </w:tr>
            <w:tr w14:paraId="2E1D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restart"/>
                  <w:noWrap w:val="0"/>
                  <w:vAlign w:val="center"/>
                </w:tcPr>
                <w:p w14:paraId="138F29CF">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废水</w:t>
                  </w:r>
                </w:p>
              </w:tc>
              <w:tc>
                <w:tcPr>
                  <w:tcW w:w="914" w:type="pct"/>
                  <w:noWrap w:val="0"/>
                  <w:vAlign w:val="center"/>
                </w:tcPr>
                <w:p w14:paraId="44F531EC">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DW001</w:t>
                  </w:r>
                  <w:r>
                    <w:rPr>
                      <w:rFonts w:hint="eastAsia" w:ascii="Times New Roman" w:hAnsi="Times New Roman" w:eastAsia="宋体" w:cs="Times New Roman"/>
                      <w:color w:val="auto"/>
                      <w:sz w:val="21"/>
                      <w:szCs w:val="21"/>
                      <w:highlight w:val="none"/>
                      <w:lang w:val="en-US" w:eastAsia="zh-CN"/>
                    </w:rPr>
                    <w:t>生活污水</w:t>
                  </w:r>
                  <w:r>
                    <w:rPr>
                      <w:rFonts w:hint="default" w:ascii="Times New Roman" w:hAnsi="Times New Roman" w:eastAsia="宋体" w:cs="Times New Roman"/>
                      <w:color w:val="auto"/>
                      <w:sz w:val="21"/>
                      <w:szCs w:val="21"/>
                      <w:highlight w:val="none"/>
                      <w:lang w:val="en-US" w:eastAsia="zh-CN"/>
                    </w:rPr>
                    <w:t>排放口</w:t>
                  </w:r>
                </w:p>
              </w:tc>
              <w:tc>
                <w:tcPr>
                  <w:tcW w:w="879" w:type="pct"/>
                  <w:noWrap w:val="0"/>
                  <w:vAlign w:val="center"/>
                </w:tcPr>
                <w:p w14:paraId="494D2973">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pH、CODCr、BOD</w:t>
                  </w:r>
                  <w:r>
                    <w:rPr>
                      <w:rFonts w:hint="default" w:ascii="Times New Roman" w:hAnsi="Times New Roman" w:eastAsia="宋体" w:cs="Times New Roman"/>
                      <w:color w:val="auto"/>
                      <w:kern w:val="2"/>
                      <w:sz w:val="21"/>
                      <w:szCs w:val="21"/>
                      <w:highlight w:val="none"/>
                      <w:vertAlign w:val="subscript"/>
                      <w:lang w:val="en-US" w:eastAsia="zh-CN" w:bidi="ar-SA"/>
                    </w:rPr>
                    <w:t>5</w:t>
                  </w:r>
                  <w:r>
                    <w:rPr>
                      <w:rFonts w:hint="default" w:ascii="Times New Roman" w:hAnsi="Times New Roman" w:eastAsia="宋体" w:cs="Times New Roman"/>
                      <w:color w:val="auto"/>
                      <w:kern w:val="2"/>
                      <w:sz w:val="21"/>
                      <w:szCs w:val="21"/>
                      <w:highlight w:val="none"/>
                      <w:lang w:val="en-US" w:eastAsia="zh-CN" w:bidi="ar-SA"/>
                    </w:rPr>
                    <w:t>、SS、氨氮、总磷、动植物油</w:t>
                  </w:r>
                </w:p>
              </w:tc>
              <w:tc>
                <w:tcPr>
                  <w:tcW w:w="1361" w:type="pct"/>
                  <w:noWrap w:val="0"/>
                  <w:vAlign w:val="center"/>
                </w:tcPr>
                <w:p w14:paraId="3066EC99">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生活污水经三级化粪池+隔油隔渣池处理</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经园区污水管网排入园区污水处理厂进一步处理后，排入武江</w:t>
                  </w:r>
                </w:p>
              </w:tc>
              <w:tc>
                <w:tcPr>
                  <w:tcW w:w="1538" w:type="pct"/>
                  <w:noWrap w:val="0"/>
                  <w:vAlign w:val="center"/>
                </w:tcPr>
                <w:p w14:paraId="1CCFD1AA">
                  <w:pPr>
                    <w:pStyle w:val="25"/>
                    <w:keepNext w:val="0"/>
                    <w:keepLines w:val="0"/>
                    <w:pageBreakBefore w:val="0"/>
                    <w:suppressLineNumbers w:val="0"/>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广东省《水污染物排放限值》（DB44/26-2001）第二时段三级标准</w:t>
                  </w:r>
                  <w:r>
                    <w:rPr>
                      <w:rFonts w:hint="eastAsia" w:ascii="Times New Roman" w:hAnsi="Times New Roman" w:eastAsia="宋体" w:cs="Times New Roman"/>
                      <w:color w:val="auto"/>
                      <w:sz w:val="21"/>
                      <w:szCs w:val="21"/>
                      <w:highlight w:val="none"/>
                      <w:lang w:val="en-US" w:eastAsia="zh-CN"/>
                    </w:rPr>
                    <w:t>及</w:t>
                  </w:r>
                  <w:r>
                    <w:rPr>
                      <w:rFonts w:hint="default" w:ascii="Times New Roman" w:hAnsi="Times New Roman" w:eastAsia="宋体" w:cs="Times New Roman"/>
                      <w:color w:val="auto"/>
                      <w:sz w:val="21"/>
                      <w:szCs w:val="21"/>
                      <w:highlight w:val="none"/>
                      <w:lang w:val="en-US" w:eastAsia="zh-CN"/>
                    </w:rPr>
                    <w:t>园区污水处理厂接管水质要求</w:t>
                  </w:r>
                  <w:r>
                    <w:rPr>
                      <w:rFonts w:hint="eastAsia" w:ascii="Times New Roman" w:hAnsi="Times New Roman" w:eastAsia="宋体" w:cs="Times New Roman"/>
                      <w:color w:val="auto"/>
                      <w:sz w:val="21"/>
                      <w:szCs w:val="21"/>
                      <w:highlight w:val="none"/>
                      <w:lang w:val="en-US" w:eastAsia="zh-CN"/>
                    </w:rPr>
                    <w:t>两</w:t>
                  </w:r>
                  <w:r>
                    <w:rPr>
                      <w:rFonts w:hint="default" w:ascii="Times New Roman" w:hAnsi="Times New Roman" w:eastAsia="宋体" w:cs="Times New Roman"/>
                      <w:color w:val="auto"/>
                      <w:sz w:val="21"/>
                      <w:szCs w:val="21"/>
                      <w:highlight w:val="none"/>
                      <w:lang w:val="en-US" w:eastAsia="zh-CN"/>
                    </w:rPr>
                    <w:t>者较严值要求</w:t>
                  </w:r>
                </w:p>
              </w:tc>
            </w:tr>
            <w:tr w14:paraId="2DA9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6D973994">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noWrap w:val="0"/>
                  <w:vAlign w:val="center"/>
                </w:tcPr>
                <w:p w14:paraId="597125E4">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DW00</w:t>
                  </w:r>
                  <w:r>
                    <w:rPr>
                      <w:rFonts w:hint="eastAsia" w:ascii="Times New Roman" w:hAnsi="Times New Roman" w:eastAsia="宋体" w:cs="Times New Roman"/>
                      <w:color w:val="auto"/>
                      <w:sz w:val="21"/>
                      <w:szCs w:val="21"/>
                      <w:highlight w:val="none"/>
                      <w:lang w:val="en-US" w:eastAsia="zh-CN"/>
                    </w:rPr>
                    <w:t>2生产废水</w:t>
                  </w:r>
                  <w:r>
                    <w:rPr>
                      <w:rFonts w:hint="default" w:ascii="Times New Roman" w:hAnsi="Times New Roman" w:eastAsia="宋体" w:cs="Times New Roman"/>
                      <w:color w:val="auto"/>
                      <w:sz w:val="21"/>
                      <w:szCs w:val="21"/>
                      <w:highlight w:val="none"/>
                      <w:lang w:val="en-US" w:eastAsia="zh-CN"/>
                    </w:rPr>
                    <w:t>排放口</w:t>
                  </w:r>
                </w:p>
              </w:tc>
              <w:tc>
                <w:tcPr>
                  <w:tcW w:w="879" w:type="pct"/>
                  <w:noWrap w:val="0"/>
                  <w:vAlign w:val="center"/>
                </w:tcPr>
                <w:p w14:paraId="56D0CB4B">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pH、COD</w:t>
                  </w:r>
                  <w:r>
                    <w:rPr>
                      <w:rFonts w:hint="default" w:ascii="Times New Roman" w:hAnsi="Times New Roman" w:eastAsia="宋体" w:cs="Times New Roman"/>
                      <w:color w:val="auto"/>
                      <w:kern w:val="2"/>
                      <w:sz w:val="21"/>
                      <w:szCs w:val="21"/>
                      <w:highlight w:val="none"/>
                      <w:vertAlign w:val="subscript"/>
                      <w:lang w:val="en-US" w:eastAsia="zh-CN" w:bidi="ar-SA"/>
                    </w:rPr>
                    <w:t>Cr</w:t>
                  </w:r>
                  <w:r>
                    <w:rPr>
                      <w:rFonts w:hint="default" w:ascii="Times New Roman" w:hAnsi="Times New Roman" w:eastAsia="宋体"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BOD</w:t>
                  </w:r>
                  <w:r>
                    <w:rPr>
                      <w:rFonts w:hint="eastAsia" w:ascii="Times New Roman" w:hAnsi="Times New Roman" w:eastAsia="宋体" w:cs="Times New Roman"/>
                      <w:color w:val="auto"/>
                      <w:kern w:val="2"/>
                      <w:sz w:val="21"/>
                      <w:szCs w:val="21"/>
                      <w:highlight w:val="none"/>
                      <w:vertAlign w:val="subscript"/>
                      <w:lang w:val="en-US" w:eastAsia="zh-CN" w:bidi="ar-SA"/>
                    </w:rPr>
                    <w:t>5</w:t>
                  </w:r>
                  <w:r>
                    <w:rPr>
                      <w:rFonts w:hint="eastAsia" w:ascii="Times New Roman" w:hAnsi="Times New Roman" w:eastAsia="宋体" w:cs="Times New Roman"/>
                      <w:color w:val="auto"/>
                      <w:kern w:val="2"/>
                      <w:sz w:val="21"/>
                      <w:szCs w:val="21"/>
                      <w:highlight w:val="none"/>
                      <w:lang w:val="en-US" w:eastAsia="zh-CN" w:bidi="ar-SA"/>
                    </w:rPr>
                    <w:t>、NH</w:t>
                  </w:r>
                  <w:r>
                    <w:rPr>
                      <w:rFonts w:hint="eastAsia" w:ascii="Times New Roman" w:hAnsi="Times New Roman" w:eastAsia="宋体" w:cs="Times New Roman"/>
                      <w:color w:val="auto"/>
                      <w:kern w:val="2"/>
                      <w:sz w:val="21"/>
                      <w:szCs w:val="21"/>
                      <w:highlight w:val="none"/>
                      <w:vertAlign w:val="subscript"/>
                      <w:lang w:val="en-US" w:eastAsia="zh-CN" w:bidi="ar-SA"/>
                    </w:rPr>
                    <w:t>3</w:t>
                  </w:r>
                  <w:r>
                    <w:rPr>
                      <w:rFonts w:hint="eastAsia" w:ascii="Times New Roman" w:hAnsi="Times New Roman" w:eastAsia="宋体" w:cs="Times New Roman"/>
                      <w:color w:val="auto"/>
                      <w:kern w:val="2"/>
                      <w:sz w:val="21"/>
                      <w:szCs w:val="21"/>
                      <w:highlight w:val="none"/>
                      <w:lang w:val="en-US" w:eastAsia="zh-CN" w:bidi="ar-SA"/>
                    </w:rPr>
                    <w:t>-N、</w:t>
                  </w:r>
                  <w:r>
                    <w:rPr>
                      <w:rFonts w:hint="default" w:ascii="Times New Roman" w:hAnsi="Times New Roman" w:eastAsia="宋体" w:cs="Times New Roman"/>
                      <w:color w:val="auto"/>
                      <w:kern w:val="2"/>
                      <w:sz w:val="21"/>
                      <w:szCs w:val="21"/>
                      <w:highlight w:val="none"/>
                      <w:lang w:val="en-US" w:eastAsia="zh-CN" w:bidi="ar-SA"/>
                    </w:rPr>
                    <w:t>SS、石油类、阴离子表面活性剂、氟化物</w:t>
                  </w:r>
                  <w:r>
                    <w:rPr>
                      <w:rFonts w:hint="eastAsia" w:cs="Times New Roman"/>
                      <w:color w:val="auto"/>
                      <w:kern w:val="2"/>
                      <w:sz w:val="21"/>
                      <w:szCs w:val="21"/>
                      <w:highlight w:val="none"/>
                      <w:lang w:val="en-US" w:eastAsia="zh-CN" w:bidi="ar-SA"/>
                    </w:rPr>
                    <w:t>、TP、TN、总铝</w:t>
                  </w:r>
                </w:p>
              </w:tc>
              <w:tc>
                <w:tcPr>
                  <w:tcW w:w="1361" w:type="pct"/>
                  <w:noWrap w:val="0"/>
                  <w:vAlign w:val="center"/>
                </w:tcPr>
                <w:p w14:paraId="5327F48F">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外排生产废水经企业自建污水处理站（工艺为“</w:t>
                  </w:r>
                  <w:r>
                    <w:rPr>
                      <w:rFonts w:hint="eastAsia" w:cs="Times New Roman"/>
                      <w:color w:val="auto"/>
                      <w:kern w:val="2"/>
                      <w:sz w:val="21"/>
                      <w:szCs w:val="21"/>
                      <w:highlight w:val="none"/>
                      <w:lang w:val="en-US" w:eastAsia="zh-CN" w:bidi="ar-SA"/>
                    </w:rPr>
                    <w:t>中和调节+混凝沉淀+气浮+化学除氟</w:t>
                  </w:r>
                  <w:r>
                    <w:rPr>
                      <w:rFonts w:hint="default" w:ascii="Times New Roman" w:hAnsi="Times New Roman" w:eastAsia="宋体" w:cs="Times New Roman"/>
                      <w:color w:val="auto"/>
                      <w:kern w:val="2"/>
                      <w:sz w:val="21"/>
                      <w:szCs w:val="21"/>
                      <w:highlight w:val="none"/>
                      <w:lang w:val="en-US" w:eastAsia="zh-CN" w:bidi="ar-SA"/>
                    </w:rPr>
                    <w:t>”）处理后，经园区污水管网排入园区污水处理厂进一步处理后，排入武江</w:t>
                  </w:r>
                </w:p>
              </w:tc>
              <w:tc>
                <w:tcPr>
                  <w:tcW w:w="1538" w:type="pct"/>
                  <w:noWrap w:val="0"/>
                  <w:vAlign w:val="center"/>
                </w:tcPr>
                <w:p w14:paraId="69F915FD">
                  <w:pPr>
                    <w:pStyle w:val="25"/>
                    <w:keepNext w:val="0"/>
                    <w:keepLines w:val="0"/>
                    <w:pageBreakBefore w:val="0"/>
                    <w:suppressLineNumbers w:val="0"/>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eastAsia="zh-CN"/>
                    </w:rPr>
                  </w:pPr>
                  <w:r>
                    <w:rPr>
                      <w:rFonts w:hint="eastAsia" w:ascii="宋体" w:hAnsi="宋体" w:eastAsia="宋体" w:cs="宋体"/>
                      <w:i w:val="0"/>
                      <w:iCs w:val="0"/>
                      <w:color w:val="auto"/>
                      <w:kern w:val="0"/>
                      <w:sz w:val="21"/>
                      <w:szCs w:val="21"/>
                      <w:u w:val="none"/>
                      <w:lang w:val="en-US" w:eastAsia="zh-CN" w:bidi="ar"/>
                    </w:rPr>
                    <w:t>园区污水处理厂接管水质要求、广东省《水污染物排放限值》（</w:t>
                  </w:r>
                  <w:r>
                    <w:rPr>
                      <w:rFonts w:hint="default" w:ascii="Times New Roman" w:hAnsi="Times New Roman" w:eastAsia="宋体" w:cs="Times New Roman"/>
                      <w:i w:val="0"/>
                      <w:iCs w:val="0"/>
                      <w:color w:val="auto"/>
                      <w:kern w:val="0"/>
                      <w:sz w:val="21"/>
                      <w:szCs w:val="21"/>
                      <w:u w:val="none"/>
                      <w:lang w:val="en-US" w:eastAsia="zh-CN" w:bidi="ar"/>
                    </w:rPr>
                    <w:t>DB44/26-2001</w:t>
                  </w:r>
                  <w:r>
                    <w:rPr>
                      <w:rFonts w:hint="eastAsia" w:ascii="宋体" w:hAnsi="宋体" w:eastAsia="宋体" w:cs="宋体"/>
                      <w:i w:val="0"/>
                      <w:iCs w:val="0"/>
                      <w:color w:val="auto"/>
                      <w:kern w:val="0"/>
                      <w:sz w:val="21"/>
                      <w:szCs w:val="21"/>
                      <w:u w:val="none"/>
                      <w:lang w:val="en-US" w:eastAsia="zh-CN" w:bidi="ar"/>
                    </w:rPr>
                    <w:t>）第二时段三级标准以及《电镀水污染物排放标准》（</w:t>
                  </w:r>
                  <w:r>
                    <w:rPr>
                      <w:rFonts w:hint="default" w:ascii="Times New Roman" w:hAnsi="Times New Roman" w:eastAsia="宋体" w:cs="Times New Roman"/>
                      <w:i w:val="0"/>
                      <w:iCs w:val="0"/>
                      <w:color w:val="auto"/>
                      <w:kern w:val="0"/>
                      <w:sz w:val="21"/>
                      <w:szCs w:val="21"/>
                      <w:u w:val="none"/>
                      <w:lang w:val="en-US" w:eastAsia="zh-CN" w:bidi="ar"/>
                    </w:rPr>
                    <w:t>DB44/1597-2015</w:t>
                  </w: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表1现有项目水污染物非珠三角排放限值200%（其中总铝按表2新建项目水污染物排放限值-非珠三角地区执行）</w:t>
                  </w:r>
                  <w:r>
                    <w:rPr>
                      <w:rFonts w:hint="eastAsia" w:ascii="宋体" w:hAnsi="宋体" w:eastAsia="宋体" w:cs="宋体"/>
                      <w:i w:val="0"/>
                      <w:iCs w:val="0"/>
                      <w:color w:val="auto"/>
                      <w:kern w:val="0"/>
                      <w:sz w:val="21"/>
                      <w:szCs w:val="21"/>
                      <w:u w:val="none"/>
                      <w:lang w:val="en-US" w:eastAsia="zh-CN" w:bidi="ar"/>
                    </w:rPr>
                    <w:t>三者较严值要求</w:t>
                  </w:r>
                </w:p>
              </w:tc>
            </w:tr>
            <w:tr w14:paraId="25A7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restart"/>
                  <w:noWrap w:val="0"/>
                  <w:vAlign w:val="center"/>
                </w:tcPr>
                <w:p w14:paraId="452767CE">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废气</w:t>
                  </w:r>
                </w:p>
              </w:tc>
              <w:tc>
                <w:tcPr>
                  <w:tcW w:w="914" w:type="pct"/>
                  <w:vMerge w:val="restart"/>
                  <w:shd w:val="clear" w:color="auto" w:fill="auto"/>
                  <w:noWrap w:val="0"/>
                  <w:vAlign w:val="center"/>
                </w:tcPr>
                <w:p w14:paraId="32FF590A">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喷漆废气（</w:t>
                  </w:r>
                  <w:r>
                    <w:rPr>
                      <w:rFonts w:hint="eastAsia" w:cs="Times New Roman"/>
                      <w:color w:val="auto"/>
                      <w:sz w:val="21"/>
                      <w:szCs w:val="21"/>
                      <w:highlight w:val="none"/>
                      <w:lang w:val="en-US" w:eastAsia="zh-CN"/>
                    </w:rPr>
                    <w:t>DA001</w:t>
                  </w:r>
                  <w:r>
                    <w:rPr>
                      <w:rFonts w:hint="eastAsia" w:ascii="Times New Roman" w:hAnsi="Times New Roman" w:eastAsia="宋体" w:cs="Times New Roman"/>
                      <w:color w:val="auto"/>
                      <w:sz w:val="21"/>
                      <w:szCs w:val="21"/>
                      <w:highlight w:val="none"/>
                      <w:lang w:val="en-US" w:eastAsia="zh-CN"/>
                    </w:rPr>
                    <w:t>）</w:t>
                  </w:r>
                </w:p>
              </w:tc>
              <w:tc>
                <w:tcPr>
                  <w:tcW w:w="879" w:type="pct"/>
                  <w:shd w:val="clear" w:color="auto" w:fill="auto"/>
                  <w:noWrap w:val="0"/>
                  <w:vAlign w:val="center"/>
                </w:tcPr>
                <w:p w14:paraId="4E346C84">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颗粒物</w:t>
                  </w:r>
                </w:p>
              </w:tc>
              <w:tc>
                <w:tcPr>
                  <w:tcW w:w="1361" w:type="pct"/>
                  <w:vMerge w:val="restart"/>
                  <w:shd w:val="clear" w:color="auto" w:fill="auto"/>
                  <w:noWrap w:val="0"/>
                  <w:vAlign w:val="center"/>
                </w:tcPr>
                <w:p w14:paraId="17F36994">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sz w:val="21"/>
                      <w:szCs w:val="21"/>
                      <w:highlight w:val="none"/>
                      <w:lang w:eastAsia="zh-CN"/>
                    </w:rPr>
                    <w:t>活性炭吸脱附+催化燃烧+活性炭吸附</w:t>
                  </w:r>
                  <w:r>
                    <w:rPr>
                      <w:rFonts w:hint="eastAsia" w:ascii="Times New Roman" w:hAnsi="Times New Roman" w:eastAsia="宋体" w:cs="Times New Roman"/>
                      <w:color w:val="auto"/>
                      <w:sz w:val="21"/>
                      <w:szCs w:val="21"/>
                      <w:highlight w:val="none"/>
                      <w:lang w:val="en-US" w:eastAsia="zh-CN"/>
                    </w:rPr>
                    <w:t>处理后，</w:t>
                  </w:r>
                  <w:r>
                    <w:rPr>
                      <w:rFonts w:hint="default" w:ascii="Times New Roman" w:hAnsi="Times New Roman" w:eastAsia="宋体" w:cs="Times New Roman"/>
                      <w:color w:val="auto"/>
                      <w:sz w:val="21"/>
                      <w:szCs w:val="21"/>
                      <w:highlight w:val="none"/>
                      <w:lang w:val="en-US" w:eastAsia="zh-CN"/>
                    </w:rPr>
                    <w:t>引至15</w:t>
                  </w:r>
                  <w:r>
                    <w:rPr>
                      <w:rFonts w:hint="default" w:ascii="Times New Roman" w:hAnsi="Times New Roman" w:eastAsia="宋体" w:cs="Times New Roman"/>
                      <w:color w:val="auto"/>
                      <w:sz w:val="21"/>
                      <w:szCs w:val="21"/>
                      <w:highlight w:val="none"/>
                    </w:rPr>
                    <w:t>m高</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排气筒（</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）排放</w:t>
                  </w:r>
                </w:p>
              </w:tc>
              <w:tc>
                <w:tcPr>
                  <w:tcW w:w="1538" w:type="pct"/>
                  <w:shd w:val="clear" w:color="auto" w:fill="auto"/>
                  <w:noWrap w:val="0"/>
                  <w:vAlign w:val="center"/>
                </w:tcPr>
                <w:p w14:paraId="05660124">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广东省《大气污染物排放限值》（DB44/27-2001）第二时段</w:t>
                  </w:r>
                  <w:r>
                    <w:rPr>
                      <w:rFonts w:hint="default" w:ascii="Times New Roman" w:hAnsi="Times New Roman" w:eastAsia="宋体" w:cs="Times New Roman"/>
                      <w:color w:val="auto"/>
                      <w:sz w:val="21"/>
                      <w:szCs w:val="21"/>
                      <w:highlight w:val="none"/>
                      <w:lang w:val="en-US" w:eastAsia="zh-CN"/>
                    </w:rPr>
                    <w:t>排放限值</w:t>
                  </w:r>
                </w:p>
              </w:tc>
            </w:tr>
            <w:tr w14:paraId="58D38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897353A">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6FE6E1E8">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879" w:type="pct"/>
                  <w:shd w:val="clear" w:color="auto" w:fill="auto"/>
                  <w:noWrap w:val="0"/>
                  <w:vAlign w:val="center"/>
                </w:tcPr>
                <w:p w14:paraId="6AA0507E">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非甲烷总烃</w:t>
                  </w:r>
                </w:p>
              </w:tc>
              <w:tc>
                <w:tcPr>
                  <w:tcW w:w="1361" w:type="pct"/>
                  <w:vMerge w:val="continue"/>
                  <w:noWrap w:val="0"/>
                  <w:vAlign w:val="center"/>
                </w:tcPr>
                <w:p w14:paraId="5E5497DD">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538" w:type="pct"/>
                  <w:shd w:val="clear" w:color="auto" w:fill="auto"/>
                  <w:noWrap w:val="0"/>
                  <w:vAlign w:val="center"/>
                </w:tcPr>
                <w:p w14:paraId="25CDD751">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广东省《固定污染源挥发性有机物综合排放标准》（DB44/2367-2022）表1挥发性有机物排放限值</w:t>
                  </w:r>
                </w:p>
              </w:tc>
            </w:tr>
            <w:tr w14:paraId="0923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0DBDCA82">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7B003A9D">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879" w:type="pct"/>
                  <w:shd w:val="clear" w:color="auto" w:fill="auto"/>
                  <w:noWrap w:val="0"/>
                  <w:vAlign w:val="center"/>
                </w:tcPr>
                <w:p w14:paraId="649F448E">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苯系物</w:t>
                  </w:r>
                </w:p>
              </w:tc>
              <w:tc>
                <w:tcPr>
                  <w:tcW w:w="1361" w:type="pct"/>
                  <w:vMerge w:val="continue"/>
                  <w:noWrap w:val="0"/>
                  <w:vAlign w:val="center"/>
                </w:tcPr>
                <w:p w14:paraId="58DBE636">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538" w:type="pct"/>
                  <w:vMerge w:val="restart"/>
                  <w:noWrap w:val="0"/>
                  <w:vAlign w:val="center"/>
                </w:tcPr>
                <w:p w14:paraId="5B008B69">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《恶臭污染物排放标准》（</w:t>
                  </w:r>
                  <w:r>
                    <w:rPr>
                      <w:rFonts w:hint="default" w:ascii="Times New Roman" w:hAnsi="Times New Roman" w:eastAsia="宋体" w:cs="Times New Roman"/>
                      <w:color w:val="auto"/>
                      <w:sz w:val="21"/>
                      <w:szCs w:val="21"/>
                      <w:highlight w:val="none"/>
                      <w:lang w:eastAsia="zh-CN"/>
                    </w:rPr>
                    <w:t>GB 14554-1993</w:t>
                  </w:r>
                  <w:r>
                    <w:rPr>
                      <w:rFonts w:hint="default" w:ascii="Times New Roman" w:hAnsi="Times New Roman" w:eastAsia="宋体" w:cs="Times New Roman"/>
                      <w:color w:val="auto"/>
                      <w:sz w:val="21"/>
                      <w:szCs w:val="21"/>
                      <w:highlight w:val="none"/>
                    </w:rPr>
                    <w:t>）表2恶臭污染物排放标准及表1新扩改建二级厂界标准值</w:t>
                  </w:r>
                </w:p>
              </w:tc>
            </w:tr>
            <w:tr w14:paraId="7F28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0734745">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7C91BBB6">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879" w:type="pct"/>
                  <w:shd w:val="clear" w:color="auto" w:fill="auto"/>
                  <w:noWrap w:val="0"/>
                  <w:vAlign w:val="center"/>
                </w:tcPr>
                <w:p w14:paraId="5438DEC3">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臭气浓度</w:t>
                  </w:r>
                </w:p>
              </w:tc>
              <w:tc>
                <w:tcPr>
                  <w:tcW w:w="1361" w:type="pct"/>
                  <w:vMerge w:val="continue"/>
                  <w:noWrap w:val="0"/>
                  <w:vAlign w:val="center"/>
                </w:tcPr>
                <w:p w14:paraId="6E729FC3">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538" w:type="pct"/>
                  <w:vMerge w:val="continue"/>
                  <w:shd w:val="clear" w:color="auto" w:fill="auto"/>
                  <w:noWrap w:val="0"/>
                  <w:vAlign w:val="center"/>
                </w:tcPr>
                <w:p w14:paraId="5D819CFD">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p>
              </w:tc>
            </w:tr>
            <w:tr w14:paraId="5ED9A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5E0E1E4">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25AAEF96">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固化废气（</w:t>
                  </w:r>
                  <w:r>
                    <w:rPr>
                      <w:rFonts w:hint="eastAsia" w:cs="Times New Roman"/>
                      <w:color w:val="auto"/>
                      <w:sz w:val="21"/>
                      <w:szCs w:val="21"/>
                      <w:highlight w:val="none"/>
                      <w:lang w:val="en-US" w:eastAsia="zh-CN"/>
                    </w:rPr>
                    <w:t>DA002</w:t>
                  </w:r>
                  <w:r>
                    <w:rPr>
                      <w:rFonts w:hint="eastAsia" w:ascii="Times New Roman" w:hAnsi="Times New Roman" w:eastAsia="宋体" w:cs="Times New Roman"/>
                      <w:color w:val="auto"/>
                      <w:sz w:val="21"/>
                      <w:szCs w:val="21"/>
                      <w:highlight w:val="none"/>
                      <w:lang w:val="en-US" w:eastAsia="zh-CN"/>
                    </w:rPr>
                    <w:t>）</w:t>
                  </w:r>
                </w:p>
              </w:tc>
              <w:tc>
                <w:tcPr>
                  <w:tcW w:w="879" w:type="pct"/>
                  <w:noWrap w:val="0"/>
                  <w:vAlign w:val="center"/>
                </w:tcPr>
                <w:p w14:paraId="15A8CB84">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非甲烷总烃</w:t>
                  </w:r>
                </w:p>
              </w:tc>
              <w:tc>
                <w:tcPr>
                  <w:tcW w:w="1361" w:type="pct"/>
                  <w:vMerge w:val="restart"/>
                  <w:noWrap w:val="0"/>
                  <w:vAlign w:val="center"/>
                </w:tcPr>
                <w:p w14:paraId="0B893AF7">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olor w:val="auto"/>
                      <w:lang w:val="en-US" w:eastAsia="zh-CN"/>
                    </w:rPr>
                    <w:t>二级活性炭吸附</w:t>
                  </w:r>
                  <w:r>
                    <w:rPr>
                      <w:rFonts w:hint="eastAsia" w:ascii="Times New Roman" w:hAnsi="Times New Roman" w:eastAsia="宋体" w:cs="Times New Roman"/>
                      <w:color w:val="auto"/>
                      <w:sz w:val="21"/>
                      <w:szCs w:val="21"/>
                      <w:highlight w:val="none"/>
                      <w:lang w:val="en-US" w:eastAsia="zh-CN"/>
                    </w:rPr>
                    <w:t>处理后，</w:t>
                  </w:r>
                  <w:r>
                    <w:rPr>
                      <w:rFonts w:hint="default" w:ascii="Times New Roman" w:hAnsi="Times New Roman" w:eastAsia="宋体" w:cs="Times New Roman"/>
                      <w:color w:val="auto"/>
                      <w:sz w:val="21"/>
                      <w:szCs w:val="21"/>
                      <w:highlight w:val="none"/>
                      <w:lang w:val="en-US" w:eastAsia="zh-CN"/>
                    </w:rPr>
                    <w:t>引至15</w:t>
                  </w:r>
                  <w:r>
                    <w:rPr>
                      <w:rFonts w:hint="default" w:ascii="Times New Roman" w:hAnsi="Times New Roman" w:eastAsia="宋体" w:cs="Times New Roman"/>
                      <w:color w:val="auto"/>
                      <w:sz w:val="21"/>
                      <w:szCs w:val="21"/>
                      <w:highlight w:val="none"/>
                    </w:rPr>
                    <w:t>m高</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排气筒（</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）排放</w:t>
                  </w:r>
                </w:p>
              </w:tc>
              <w:tc>
                <w:tcPr>
                  <w:tcW w:w="1538" w:type="pct"/>
                  <w:noWrap w:val="0"/>
                  <w:vAlign w:val="center"/>
                </w:tcPr>
                <w:p w14:paraId="7D2A2E4B">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广东省《固定污染源挥发性有机物综合排放标准》（DB44/2367-2022）表1挥发性有机物排放限值</w:t>
                  </w:r>
                </w:p>
              </w:tc>
            </w:tr>
            <w:tr w14:paraId="2653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82B12A0">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5B1C5896">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879" w:type="pct"/>
                  <w:noWrap w:val="0"/>
                  <w:vAlign w:val="center"/>
                </w:tcPr>
                <w:p w14:paraId="7A67B5C0">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臭气浓度</w:t>
                  </w:r>
                </w:p>
              </w:tc>
              <w:tc>
                <w:tcPr>
                  <w:tcW w:w="1361" w:type="pct"/>
                  <w:vMerge w:val="continue"/>
                  <w:noWrap w:val="0"/>
                  <w:vAlign w:val="center"/>
                </w:tcPr>
                <w:p w14:paraId="074007D9">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538" w:type="pct"/>
                  <w:noWrap w:val="0"/>
                  <w:vAlign w:val="center"/>
                </w:tcPr>
                <w:p w14:paraId="2E1D3089">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《恶臭污染物排放标准》（</w:t>
                  </w:r>
                  <w:r>
                    <w:rPr>
                      <w:rFonts w:hint="default" w:ascii="Times New Roman" w:hAnsi="Times New Roman" w:eastAsia="宋体" w:cs="Times New Roman"/>
                      <w:color w:val="auto"/>
                      <w:sz w:val="21"/>
                      <w:szCs w:val="21"/>
                      <w:highlight w:val="none"/>
                      <w:lang w:eastAsia="zh-CN"/>
                    </w:rPr>
                    <w:t>GB 14554-1993</w:t>
                  </w:r>
                  <w:r>
                    <w:rPr>
                      <w:rFonts w:hint="default" w:ascii="Times New Roman" w:hAnsi="Times New Roman" w:eastAsia="宋体" w:cs="Times New Roman"/>
                      <w:color w:val="auto"/>
                      <w:sz w:val="21"/>
                      <w:szCs w:val="21"/>
                      <w:highlight w:val="none"/>
                    </w:rPr>
                    <w:t>）表2恶臭污染物排放标准及表1新扩改建二级厂界标准值</w:t>
                  </w:r>
                </w:p>
              </w:tc>
            </w:tr>
            <w:tr w14:paraId="006E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26B9B9E">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04DEFD47">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879" w:type="pct"/>
                  <w:noWrap w:val="0"/>
                  <w:vAlign w:val="center"/>
                </w:tcPr>
                <w:p w14:paraId="2EA8D972">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颗粒物、</w:t>
                  </w:r>
                  <w:r>
                    <w:rPr>
                      <w:rFonts w:hint="default" w:ascii="Times New Roman" w:hAnsi="Times New Roman" w:eastAsia="宋体" w:cs="Times New Roman"/>
                      <w:color w:val="auto"/>
                      <w:sz w:val="21"/>
                      <w:szCs w:val="21"/>
                      <w:highlight w:val="none"/>
                    </w:rPr>
                    <w:t>氮氧化物、二氧化硫</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烟气黑度</w:t>
                  </w:r>
                </w:p>
              </w:tc>
              <w:tc>
                <w:tcPr>
                  <w:tcW w:w="1361" w:type="pct"/>
                  <w:vMerge w:val="continue"/>
                  <w:noWrap w:val="0"/>
                  <w:vAlign w:val="center"/>
                </w:tcPr>
                <w:p w14:paraId="347C7D6B">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1538" w:type="pct"/>
                  <w:noWrap w:val="0"/>
                  <w:vAlign w:val="center"/>
                </w:tcPr>
                <w:p w14:paraId="417AC024">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根据《关于印发</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工业炉窑大气污染综合治理方案</w:t>
                  </w:r>
                  <w:r>
                    <w:rPr>
                      <w:rFonts w:hint="default" w:ascii="Times New Roman" w:hAnsi="Times New Roman" w:eastAsia="宋体" w:cs="Times New Roman"/>
                      <w:color w:val="auto"/>
                      <w:sz w:val="21"/>
                      <w:szCs w:val="21"/>
                      <w:highlight w:val="none"/>
                      <w:lang w:eastAsia="zh-CN"/>
                    </w:rPr>
                    <w:t>〉的通知》</w:t>
                  </w:r>
                  <w:r>
                    <w:rPr>
                      <w:rFonts w:hint="default" w:ascii="Times New Roman" w:hAnsi="Times New Roman" w:eastAsia="宋体" w:cs="Times New Roman"/>
                      <w:color w:val="auto"/>
                      <w:sz w:val="21"/>
                      <w:szCs w:val="21"/>
                      <w:highlight w:val="none"/>
                    </w:rPr>
                    <w:t>（环大气〔2019〕56号）和《关于贯彻落实</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工业炉窑大气污染物综合治理方案</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的实施意见》（粤环函〔2019〕1112号），废气按照颗粒物、二氧化硫、氮氧化物排放限值分别不高于30、200、300毫克/立方米控制</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烟气黑度执行《工业炉窑大气污染物排放标准》（GB 9078-1996）</w:t>
                  </w:r>
                </w:p>
              </w:tc>
            </w:tr>
            <w:tr w14:paraId="687EB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4D2E8008">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519" w:type="dxa"/>
                  <w:vMerge w:val="restart"/>
                  <w:noWrap w:val="0"/>
                  <w:vAlign w:val="center"/>
                </w:tcPr>
                <w:p w14:paraId="170726BF">
                  <w:pPr>
                    <w:adjustRightInd w:val="0"/>
                    <w:snapToGrid w:val="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表面预处理废气（DA003）</w:t>
                  </w:r>
                </w:p>
              </w:tc>
              <w:tc>
                <w:tcPr>
                  <w:tcW w:w="1461" w:type="dxa"/>
                  <w:noWrap w:val="0"/>
                  <w:vAlign w:val="center"/>
                </w:tcPr>
                <w:p w14:paraId="35878B18">
                  <w:pPr>
                    <w:adjustRightInd w:val="0"/>
                    <w:snapToGrid w:val="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燃烧废气</w:t>
                  </w:r>
                </w:p>
              </w:tc>
              <w:tc>
                <w:tcPr>
                  <w:tcW w:w="2262" w:type="dxa"/>
                  <w:vMerge w:val="restart"/>
                  <w:noWrap w:val="0"/>
                  <w:vAlign w:val="center"/>
                </w:tcPr>
                <w:p w14:paraId="3B7F47B7">
                  <w:pPr>
                    <w:adjustRightInd w:val="0"/>
                    <w:snapToGrid w:val="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密闭收集+碱液喷淋后通过15m排气筒高空排放（DA003）</w:t>
                  </w:r>
                </w:p>
              </w:tc>
              <w:tc>
                <w:tcPr>
                  <w:tcW w:w="2557" w:type="dxa"/>
                  <w:noWrap w:val="0"/>
                  <w:vAlign w:val="center"/>
                </w:tcPr>
                <w:p w14:paraId="0AA2FB70">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关于印发&lt;工业炉窑大气污染综合治理方案&gt;的通知》（环大气〔2019〕56号）和《关于贯彻落实&lt;工业炉窑大气污染物综合治理方案&gt;的实施意见》（粤环函〔2019〕1112号）中颗粒物、二氧化硫、氮氧化物排放限值较严值</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烟气黑度执行《工业炉窑大气污染物排放标准》（GB 9078-1996）</w:t>
                  </w:r>
                </w:p>
              </w:tc>
            </w:tr>
            <w:tr w14:paraId="5CAE5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25069972">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1519" w:type="dxa"/>
                  <w:vMerge w:val="continue"/>
                  <w:noWrap w:val="0"/>
                  <w:vAlign w:val="center"/>
                </w:tcPr>
                <w:p w14:paraId="6342D82C">
                  <w:pPr>
                    <w:adjustRightInd w:val="0"/>
                    <w:snapToGrid w:val="0"/>
                    <w:jc w:val="center"/>
                    <w:rPr>
                      <w:rFonts w:hint="default" w:ascii="Times New Roman" w:hAnsi="Times New Roman" w:eastAsia="宋体" w:cs="Times New Roman"/>
                      <w:color w:val="auto"/>
                      <w:sz w:val="21"/>
                      <w:szCs w:val="21"/>
                      <w:highlight w:val="none"/>
                    </w:rPr>
                  </w:pPr>
                </w:p>
              </w:tc>
              <w:tc>
                <w:tcPr>
                  <w:tcW w:w="1461" w:type="dxa"/>
                  <w:noWrap w:val="0"/>
                  <w:vAlign w:val="center"/>
                </w:tcPr>
                <w:p w14:paraId="0F96F939">
                  <w:pPr>
                    <w:adjustRightInd w:val="0"/>
                    <w:snapToGrid w:val="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氟化物</w:t>
                  </w:r>
                </w:p>
              </w:tc>
              <w:tc>
                <w:tcPr>
                  <w:tcW w:w="2262" w:type="dxa"/>
                  <w:vMerge w:val="continue"/>
                  <w:noWrap w:val="0"/>
                  <w:vAlign w:val="center"/>
                </w:tcPr>
                <w:p w14:paraId="677A04AC">
                  <w:pPr>
                    <w:adjustRightInd w:val="0"/>
                    <w:snapToGrid w:val="0"/>
                    <w:jc w:val="center"/>
                    <w:rPr>
                      <w:rFonts w:hint="default" w:ascii="Times New Roman" w:hAnsi="Times New Roman" w:eastAsia="宋体" w:cs="Times New Roman"/>
                      <w:color w:val="auto"/>
                      <w:sz w:val="21"/>
                      <w:szCs w:val="21"/>
                      <w:highlight w:val="none"/>
                    </w:rPr>
                  </w:pPr>
                </w:p>
              </w:tc>
              <w:tc>
                <w:tcPr>
                  <w:tcW w:w="2557" w:type="dxa"/>
                  <w:noWrap w:val="0"/>
                  <w:vAlign w:val="center"/>
                </w:tcPr>
                <w:p w14:paraId="5C710B0F">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广东省《大气污染物排放限值》（DB44/27-2001）第二时段二级标准</w:t>
                  </w:r>
                </w:p>
              </w:tc>
            </w:tr>
            <w:tr w14:paraId="3D32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4311349C">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noWrap w:val="0"/>
                  <w:vAlign w:val="center"/>
                </w:tcPr>
                <w:p w14:paraId="538C3F78">
                  <w:pPr>
                    <w:adjustRightInd w:val="0"/>
                    <w:snapToGrid w:val="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职工生活</w:t>
                  </w:r>
                </w:p>
              </w:tc>
              <w:tc>
                <w:tcPr>
                  <w:tcW w:w="879" w:type="pct"/>
                  <w:noWrap w:val="0"/>
                  <w:vAlign w:val="center"/>
                </w:tcPr>
                <w:p w14:paraId="65607A85">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食堂油烟</w:t>
                  </w:r>
                </w:p>
              </w:tc>
              <w:tc>
                <w:tcPr>
                  <w:tcW w:w="1361" w:type="pct"/>
                  <w:noWrap w:val="0"/>
                  <w:vAlign w:val="center"/>
                </w:tcPr>
                <w:p w14:paraId="7A414EEF">
                  <w:pPr>
                    <w:adjustRightInd w:val="0"/>
                    <w:snapToGrid w:val="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经收集后引至高效静电油烟净化器处理，处理达标后尾气引至</w:t>
                  </w:r>
                  <w:r>
                    <w:rPr>
                      <w:rFonts w:hint="eastAsia" w:ascii="Times New Roman" w:hAnsi="Times New Roman" w:eastAsia="宋体" w:cs="Times New Roman"/>
                      <w:color w:val="auto"/>
                      <w:sz w:val="21"/>
                      <w:szCs w:val="21"/>
                      <w:highlight w:val="none"/>
                      <w:lang w:val="en-US" w:eastAsia="zh-CN"/>
                    </w:rPr>
                    <w:t>宿舍楼一层楼顶</w:t>
                  </w:r>
                  <w:r>
                    <w:rPr>
                      <w:rFonts w:hint="default" w:ascii="Times New Roman" w:hAnsi="Times New Roman" w:eastAsia="宋体" w:cs="Times New Roman"/>
                      <w:color w:val="auto"/>
                      <w:sz w:val="21"/>
                      <w:szCs w:val="21"/>
                      <w:highlight w:val="none"/>
                      <w:lang w:eastAsia="zh-CN"/>
                    </w:rPr>
                    <w:t>排放（</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eastAsia="zh-CN"/>
                    </w:rPr>
                    <w:t>）</w:t>
                  </w:r>
                </w:p>
              </w:tc>
              <w:tc>
                <w:tcPr>
                  <w:tcW w:w="1538" w:type="pct"/>
                  <w:noWrap w:val="0"/>
                  <w:vAlign w:val="center"/>
                </w:tcPr>
                <w:p w14:paraId="538EE394">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达到《饮食业油烟排放标准</w:t>
                  </w:r>
                  <w:r>
                    <w:rPr>
                      <w:rFonts w:hint="eastAsia" w:ascii="Times New Roman" w:hAnsi="Times New Roman" w:eastAsia="宋体" w:cs="Times New Roman"/>
                      <w:color w:val="auto"/>
                      <w:sz w:val="21"/>
                      <w:szCs w:val="21"/>
                      <w:highlight w:val="none"/>
                      <w:lang w:eastAsia="zh-CN"/>
                    </w:rPr>
                    <w:t>（试行）》</w:t>
                  </w:r>
                  <w:r>
                    <w:rPr>
                      <w:rFonts w:hint="default" w:ascii="Times New Roman" w:hAnsi="Times New Roman" w:eastAsia="宋体" w:cs="Times New Roman"/>
                      <w:color w:val="auto"/>
                      <w:sz w:val="21"/>
                      <w:szCs w:val="21"/>
                      <w:highlight w:val="none"/>
                    </w:rPr>
                    <w:t>（GB18483-2001）</w:t>
                  </w:r>
                  <w:r>
                    <w:rPr>
                      <w:rFonts w:hint="eastAsia" w:ascii="Times New Roman" w:hAnsi="Times New Roman" w:eastAsia="宋体" w:cs="Times New Roman"/>
                      <w:color w:val="auto"/>
                      <w:sz w:val="21"/>
                      <w:szCs w:val="21"/>
                      <w:highlight w:val="none"/>
                      <w:lang w:val="en-US" w:eastAsia="zh-CN"/>
                    </w:rPr>
                    <w:t>中型</w:t>
                  </w:r>
                  <w:r>
                    <w:rPr>
                      <w:rFonts w:hint="default" w:ascii="Times New Roman" w:hAnsi="Times New Roman" w:eastAsia="宋体" w:cs="Times New Roman"/>
                      <w:color w:val="auto"/>
                      <w:sz w:val="21"/>
                      <w:szCs w:val="21"/>
                      <w:highlight w:val="none"/>
                    </w:rPr>
                    <w:t>规模标准</w:t>
                  </w:r>
                </w:p>
              </w:tc>
            </w:tr>
            <w:tr w14:paraId="7E99A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24ACC1FC">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6494AC1A">
                  <w:pPr>
                    <w:adjustRightInd w:val="0"/>
                    <w:snapToGrid w:val="0"/>
                    <w:jc w:val="center"/>
                    <w:rPr>
                      <w:rFonts w:hint="eastAsia" w:ascii="Times New Roman" w:hAnsi="Times New Roman" w:eastAsia="宋体" w:cs="Times New Roman"/>
                      <w:color w:val="auto"/>
                      <w:kern w:val="0"/>
                      <w:sz w:val="21"/>
                      <w:szCs w:val="21"/>
                      <w:highlight w:val="none"/>
                      <w:lang w:val="en-US" w:eastAsia="zh-CN"/>
                    </w:rPr>
                  </w:pPr>
                  <w:r>
                    <w:rPr>
                      <w:rFonts w:hint="eastAsia" w:cs="Times New Roman"/>
                      <w:color w:val="auto"/>
                      <w:sz w:val="21"/>
                      <w:szCs w:val="21"/>
                      <w:highlight w:val="none"/>
                      <w:lang w:val="en-US" w:eastAsia="zh-CN"/>
                    </w:rPr>
                    <w:t>无组织</w:t>
                  </w:r>
                </w:p>
              </w:tc>
              <w:tc>
                <w:tcPr>
                  <w:tcW w:w="879" w:type="pct"/>
                  <w:noWrap w:val="0"/>
                  <w:vAlign w:val="center"/>
                </w:tcPr>
                <w:p w14:paraId="4F73D20B">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颗粒物</w:t>
                  </w:r>
                </w:p>
              </w:tc>
              <w:tc>
                <w:tcPr>
                  <w:tcW w:w="1361" w:type="pct"/>
                  <w:noWrap w:val="0"/>
                  <w:vAlign w:val="center"/>
                </w:tcPr>
                <w:p w14:paraId="1959E00E">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未被收集的切割粉尘、焊接烟尘、抛光打磨粉尘于车间内无组织排放，并加强厂内通风</w:t>
                  </w:r>
                </w:p>
              </w:tc>
              <w:tc>
                <w:tcPr>
                  <w:tcW w:w="1538" w:type="pct"/>
                  <w:noWrap w:val="0"/>
                  <w:vAlign w:val="center"/>
                </w:tcPr>
                <w:p w14:paraId="3300F580">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广东省《大气污染物排放限值》（DB44/27-2001）第二时段无组织排放监控浓度限值</w:t>
                  </w:r>
                </w:p>
              </w:tc>
            </w:tr>
            <w:tr w14:paraId="2B91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2D09DECD">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3233C44C">
                  <w:pPr>
                    <w:adjustRightInd w:val="0"/>
                    <w:snapToGrid w:val="0"/>
                    <w:jc w:val="center"/>
                    <w:rPr>
                      <w:rFonts w:hint="default" w:ascii="Times New Roman" w:hAnsi="Times New Roman" w:eastAsia="宋体" w:cs="Times New Roman"/>
                      <w:color w:val="auto"/>
                      <w:sz w:val="21"/>
                      <w:szCs w:val="21"/>
                      <w:highlight w:val="none"/>
                    </w:rPr>
                  </w:pPr>
                </w:p>
              </w:tc>
              <w:tc>
                <w:tcPr>
                  <w:tcW w:w="879" w:type="pct"/>
                  <w:noWrap w:val="0"/>
                  <w:vAlign w:val="center"/>
                </w:tcPr>
                <w:p w14:paraId="3993637B">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非甲烷总烃</w:t>
                  </w:r>
                </w:p>
              </w:tc>
              <w:tc>
                <w:tcPr>
                  <w:tcW w:w="1361" w:type="pct"/>
                  <w:noWrap w:val="0"/>
                  <w:vAlign w:val="center"/>
                </w:tcPr>
                <w:p w14:paraId="272F3E19">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加强收集</w:t>
                  </w:r>
                  <w:r>
                    <w:rPr>
                      <w:rFonts w:hint="eastAsia" w:cs="Times New Roman"/>
                      <w:color w:val="auto"/>
                      <w:kern w:val="2"/>
                      <w:sz w:val="21"/>
                      <w:szCs w:val="21"/>
                      <w:highlight w:val="none"/>
                      <w:lang w:val="en-US" w:eastAsia="zh-CN" w:bidi="ar-SA"/>
                    </w:rPr>
                    <w:t>，或</w:t>
                  </w:r>
                  <w:r>
                    <w:rPr>
                      <w:rFonts w:hint="default" w:ascii="Times New Roman" w:hAnsi="Times New Roman" w:eastAsia="宋体" w:cs="Times New Roman"/>
                      <w:color w:val="auto"/>
                      <w:kern w:val="2"/>
                      <w:sz w:val="21"/>
                      <w:szCs w:val="21"/>
                      <w:highlight w:val="none"/>
                      <w:lang w:val="en-US" w:eastAsia="zh-CN" w:bidi="ar-SA"/>
                    </w:rPr>
                    <w:t>加强厂内通风</w:t>
                  </w:r>
                </w:p>
              </w:tc>
              <w:tc>
                <w:tcPr>
                  <w:tcW w:w="1538" w:type="pct"/>
                  <w:noWrap w:val="0"/>
                  <w:vAlign w:val="center"/>
                </w:tcPr>
                <w:p w14:paraId="70C63B94">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color w:val="auto"/>
                      <w:sz w:val="21"/>
                      <w:szCs w:val="21"/>
                    </w:rPr>
                    <w:t>广东省《固定污染源挥发性有机物综合排放标准》（DB44/2367-2022）中表3VOCs无组织排放限值</w:t>
                  </w:r>
                </w:p>
              </w:tc>
            </w:tr>
            <w:tr w14:paraId="6409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D817773">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28A892B7">
                  <w:pPr>
                    <w:adjustRightInd w:val="0"/>
                    <w:snapToGrid w:val="0"/>
                    <w:jc w:val="center"/>
                    <w:rPr>
                      <w:rFonts w:hint="default" w:ascii="Times New Roman" w:hAnsi="Times New Roman" w:eastAsia="宋体" w:cs="Times New Roman"/>
                      <w:color w:val="auto"/>
                      <w:sz w:val="21"/>
                      <w:szCs w:val="21"/>
                      <w:highlight w:val="none"/>
                    </w:rPr>
                  </w:pPr>
                </w:p>
              </w:tc>
              <w:tc>
                <w:tcPr>
                  <w:tcW w:w="879" w:type="pct"/>
                  <w:noWrap w:val="0"/>
                  <w:vAlign w:val="center"/>
                </w:tcPr>
                <w:p w14:paraId="061F6C62">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苯系物</w:t>
                  </w:r>
                  <w:r>
                    <w:rPr>
                      <w:rFonts w:hint="eastAsia" w:cs="Times New Roman"/>
                      <w:color w:val="auto"/>
                      <w:kern w:val="2"/>
                      <w:sz w:val="21"/>
                      <w:szCs w:val="21"/>
                      <w:highlight w:val="none"/>
                      <w:lang w:val="en-US" w:eastAsia="zh-CN" w:bidi="ar-SA"/>
                    </w:rPr>
                    <w:t>、氟化物</w:t>
                  </w:r>
                </w:p>
              </w:tc>
              <w:tc>
                <w:tcPr>
                  <w:tcW w:w="1361" w:type="pct"/>
                  <w:noWrap w:val="0"/>
                  <w:vAlign w:val="center"/>
                </w:tcPr>
                <w:p w14:paraId="7B6BAE67">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加强收集</w:t>
                  </w:r>
                  <w:r>
                    <w:rPr>
                      <w:rFonts w:hint="eastAsia" w:cs="Times New Roman"/>
                      <w:color w:val="auto"/>
                      <w:kern w:val="2"/>
                      <w:sz w:val="21"/>
                      <w:szCs w:val="21"/>
                      <w:highlight w:val="none"/>
                      <w:lang w:val="en-US" w:eastAsia="zh-CN" w:bidi="ar-SA"/>
                    </w:rPr>
                    <w:t>，或</w:t>
                  </w:r>
                  <w:r>
                    <w:rPr>
                      <w:rFonts w:hint="default" w:ascii="Times New Roman" w:hAnsi="Times New Roman" w:eastAsia="宋体" w:cs="Times New Roman"/>
                      <w:color w:val="auto"/>
                      <w:kern w:val="2"/>
                      <w:sz w:val="21"/>
                      <w:szCs w:val="21"/>
                      <w:highlight w:val="none"/>
                      <w:lang w:val="en-US" w:eastAsia="zh-CN" w:bidi="ar-SA"/>
                    </w:rPr>
                    <w:t>加强厂内通风</w:t>
                  </w:r>
                </w:p>
              </w:tc>
              <w:tc>
                <w:tcPr>
                  <w:tcW w:w="1538" w:type="pct"/>
                  <w:noWrap w:val="0"/>
                  <w:vAlign w:val="center"/>
                </w:tcPr>
                <w:p w14:paraId="408D9242">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广东省《大气污染物排放限值》（DB44/27-2001）第二时段无组织排放监控浓度限值</w:t>
                  </w:r>
                </w:p>
              </w:tc>
            </w:tr>
            <w:tr w14:paraId="67CF3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9C16873">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5FD4E6B7">
                  <w:pPr>
                    <w:adjustRightInd w:val="0"/>
                    <w:snapToGrid w:val="0"/>
                    <w:jc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2CA8729C">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en-US"/>
                    </w:rPr>
                  </w:pPr>
                  <w:r>
                    <w:rPr>
                      <w:rFonts w:hint="default" w:ascii="Times New Roman" w:hAnsi="Times New Roman" w:eastAsia="宋体" w:cs="Times New Roman"/>
                      <w:color w:val="auto"/>
                      <w:kern w:val="2"/>
                      <w:sz w:val="21"/>
                      <w:szCs w:val="21"/>
                      <w:highlight w:val="none"/>
                      <w:lang w:val="en-US" w:eastAsia="zh-CN" w:bidi="ar-SA"/>
                    </w:rPr>
                    <w:t>臭气浓度、硫化氢、氨气</w:t>
                  </w:r>
                </w:p>
              </w:tc>
              <w:tc>
                <w:tcPr>
                  <w:tcW w:w="1361" w:type="pct"/>
                  <w:noWrap w:val="0"/>
                  <w:vAlign w:val="center"/>
                </w:tcPr>
                <w:p w14:paraId="783E5031">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采取加盖密闭、加强通风</w:t>
                  </w:r>
                </w:p>
              </w:tc>
              <w:tc>
                <w:tcPr>
                  <w:tcW w:w="1538" w:type="pct"/>
                  <w:noWrap w:val="0"/>
                  <w:vAlign w:val="center"/>
                </w:tcPr>
                <w:p w14:paraId="0E0BFC53">
                  <w:pPr>
                    <w:keepNext w:val="0"/>
                    <w:keepLines w:val="0"/>
                    <w:pageBreakBefore w:val="0"/>
                    <w:widowControl/>
                    <w:suppressLineNumbers w:val="0"/>
                    <w:tabs>
                      <w:tab w:val="left" w:pos="-2848"/>
                    </w:tabs>
                    <w:kinsoku/>
                    <w:overflowPunct/>
                    <w:topLinePunct w:val="0"/>
                    <w:bidi w:val="0"/>
                    <w:adjustRightInd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《恶臭污染物排放标准》(GB14554-93)表1二级标准中“新改扩建”限值要求</w:t>
                  </w:r>
                </w:p>
              </w:tc>
            </w:tr>
            <w:tr w14:paraId="1509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restart"/>
                  <w:noWrap w:val="0"/>
                  <w:vAlign w:val="center"/>
                </w:tcPr>
                <w:p w14:paraId="557B1019">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固废</w:t>
                  </w:r>
                </w:p>
              </w:tc>
              <w:tc>
                <w:tcPr>
                  <w:tcW w:w="914" w:type="pct"/>
                  <w:vMerge w:val="restart"/>
                  <w:noWrap w:val="0"/>
                  <w:vAlign w:val="center"/>
                </w:tcPr>
                <w:p w14:paraId="7603C4AB">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员工生活办公</w:t>
                  </w:r>
                </w:p>
              </w:tc>
              <w:tc>
                <w:tcPr>
                  <w:tcW w:w="879" w:type="pct"/>
                  <w:tcBorders>
                    <w:bottom w:val="single" w:color="000000" w:sz="4" w:space="0"/>
                  </w:tcBorders>
                  <w:noWrap w:val="0"/>
                  <w:vAlign w:val="center"/>
                </w:tcPr>
                <w:p w14:paraId="0953914E">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w:t>
                  </w:r>
                </w:p>
              </w:tc>
              <w:tc>
                <w:tcPr>
                  <w:tcW w:w="1361" w:type="pct"/>
                  <w:tcBorders>
                    <w:bottom w:val="single" w:color="000000" w:sz="4" w:space="0"/>
                  </w:tcBorders>
                  <w:noWrap w:val="0"/>
                  <w:vAlign w:val="center"/>
                </w:tcPr>
                <w:p w14:paraId="606AE9BC">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环卫部门清运</w:t>
                  </w:r>
                </w:p>
              </w:tc>
              <w:tc>
                <w:tcPr>
                  <w:tcW w:w="1538" w:type="pct"/>
                  <w:vMerge w:val="restart"/>
                  <w:noWrap w:val="0"/>
                  <w:vAlign w:val="center"/>
                </w:tcPr>
                <w:p w14:paraId="23BB2BF8">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一般工业固体废物在厂内采用库房或包装工具贮存，贮存过程应满足相应防渗漏、防雨淋、防扬尘等环境保护要求；危险废物污染控制标准执行《危险废物贮存污染控制标准》（GB18597-2023）</w:t>
                  </w:r>
                </w:p>
              </w:tc>
            </w:tr>
            <w:tr w14:paraId="2142B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0D468F11">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14A5CB58">
                  <w:pPr>
                    <w:widowControl/>
                    <w:spacing w:line="240" w:lineRule="auto"/>
                    <w:jc w:val="center"/>
                    <w:rPr>
                      <w:rFonts w:hint="default" w:ascii="Times New Roman" w:hAnsi="Times New Roman" w:eastAsia="宋体" w:cs="Times New Roman"/>
                      <w:color w:val="auto"/>
                      <w:sz w:val="21"/>
                      <w:szCs w:val="21"/>
                      <w:highlight w:val="none"/>
                      <w:lang w:val="en-US"/>
                    </w:rPr>
                  </w:pPr>
                </w:p>
              </w:tc>
              <w:tc>
                <w:tcPr>
                  <w:tcW w:w="879" w:type="pct"/>
                  <w:tcBorders>
                    <w:bottom w:val="single" w:color="000000" w:sz="4" w:space="0"/>
                  </w:tcBorders>
                  <w:noWrap w:val="0"/>
                  <w:vAlign w:val="center"/>
                </w:tcPr>
                <w:p w14:paraId="7F455540">
                  <w:pPr>
                    <w:widowControl/>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废油脂</w:t>
                  </w:r>
                </w:p>
              </w:tc>
              <w:tc>
                <w:tcPr>
                  <w:tcW w:w="1361" w:type="pct"/>
                  <w:tcBorders>
                    <w:bottom w:val="single" w:color="000000" w:sz="4" w:space="0"/>
                  </w:tcBorders>
                  <w:noWrap w:val="0"/>
                  <w:vAlign w:val="center"/>
                </w:tcPr>
                <w:p w14:paraId="31F5B563">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专业单位进行回收处置</w:t>
                  </w:r>
                </w:p>
              </w:tc>
              <w:tc>
                <w:tcPr>
                  <w:tcW w:w="1538" w:type="pct"/>
                  <w:vMerge w:val="continue"/>
                  <w:noWrap w:val="0"/>
                  <w:vAlign w:val="center"/>
                </w:tcPr>
                <w:p w14:paraId="32468338">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058C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60287C4E">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noWrap w:val="0"/>
                  <w:vAlign w:val="center"/>
                </w:tcPr>
                <w:p w14:paraId="7DE4FFF0">
                  <w:pPr>
                    <w:widowControl/>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highlight w:val="none"/>
                      <w:lang w:val="en-US" w:eastAsia="zh-CN"/>
                    </w:rPr>
                    <w:t>钣金加工</w:t>
                  </w:r>
                </w:p>
              </w:tc>
              <w:tc>
                <w:tcPr>
                  <w:tcW w:w="879" w:type="pct"/>
                  <w:noWrap w:val="0"/>
                  <w:vAlign w:val="center"/>
                </w:tcPr>
                <w:p w14:paraId="0A48CF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边角料</w:t>
                  </w:r>
                </w:p>
              </w:tc>
              <w:tc>
                <w:tcPr>
                  <w:tcW w:w="1361" w:type="pct"/>
                  <w:vMerge w:val="restart"/>
                  <w:noWrap w:val="0"/>
                  <w:vAlign w:val="center"/>
                </w:tcPr>
                <w:p w14:paraId="5C91CE78">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交由资源回收利用单位</w:t>
                  </w:r>
                </w:p>
              </w:tc>
              <w:tc>
                <w:tcPr>
                  <w:tcW w:w="1538" w:type="pct"/>
                  <w:vMerge w:val="continue"/>
                  <w:noWrap w:val="0"/>
                  <w:vAlign w:val="center"/>
                </w:tcPr>
                <w:p w14:paraId="1E6116DA">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13DC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178CD056">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noWrap w:val="0"/>
                  <w:vAlign w:val="center"/>
                </w:tcPr>
                <w:p w14:paraId="53A918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辅料拆包/成品包装</w:t>
                  </w:r>
                </w:p>
              </w:tc>
              <w:tc>
                <w:tcPr>
                  <w:tcW w:w="879" w:type="pct"/>
                  <w:noWrap w:val="0"/>
                  <w:vAlign w:val="center"/>
                </w:tcPr>
                <w:p w14:paraId="7961FE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包装废料</w:t>
                  </w:r>
                </w:p>
              </w:tc>
              <w:tc>
                <w:tcPr>
                  <w:tcW w:w="1361" w:type="pct"/>
                  <w:vMerge w:val="continue"/>
                  <w:noWrap w:val="0"/>
                  <w:vAlign w:val="center"/>
                </w:tcPr>
                <w:p w14:paraId="5C514003">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164A5E13">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2A68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111C40AC">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410A6D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废气处理</w:t>
                  </w:r>
                </w:p>
              </w:tc>
              <w:tc>
                <w:tcPr>
                  <w:tcW w:w="879" w:type="pct"/>
                  <w:noWrap w:val="0"/>
                  <w:vAlign w:val="center"/>
                </w:tcPr>
                <w:p w14:paraId="4966F9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废滤芯、废催化剂</w:t>
                  </w:r>
                </w:p>
              </w:tc>
              <w:tc>
                <w:tcPr>
                  <w:tcW w:w="1361" w:type="pct"/>
                  <w:vMerge w:val="continue"/>
                  <w:noWrap w:val="0"/>
                  <w:vAlign w:val="center"/>
                </w:tcPr>
                <w:p w14:paraId="3A5243C5">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4C7492B6">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031E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57217387">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0BD50B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402C35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rPr>
                    <w:t>沉降金属粉尘</w:t>
                  </w:r>
                </w:p>
              </w:tc>
              <w:tc>
                <w:tcPr>
                  <w:tcW w:w="1361" w:type="pct"/>
                  <w:vMerge w:val="continue"/>
                  <w:noWrap w:val="0"/>
                  <w:vAlign w:val="center"/>
                </w:tcPr>
                <w:p w14:paraId="78CD491F">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116F7601">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2D942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2F0B7150">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594264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脱脂、水洗、无铬钝化</w:t>
                  </w:r>
                </w:p>
              </w:tc>
              <w:tc>
                <w:tcPr>
                  <w:tcW w:w="879" w:type="pct"/>
                  <w:noWrap w:val="0"/>
                  <w:vAlign w:val="center"/>
                </w:tcPr>
                <w:p w14:paraId="442E7B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废表面处理剂包装桶</w:t>
                  </w:r>
                </w:p>
              </w:tc>
              <w:tc>
                <w:tcPr>
                  <w:tcW w:w="1361" w:type="pct"/>
                  <w:vMerge w:val="restart"/>
                  <w:noWrap w:val="0"/>
                  <w:vAlign w:val="center"/>
                </w:tcPr>
                <w:p w14:paraId="4A3B11DB">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委托有资质的单位进行回收处理</w:t>
                  </w:r>
                </w:p>
              </w:tc>
              <w:tc>
                <w:tcPr>
                  <w:tcW w:w="1538" w:type="pct"/>
                  <w:vMerge w:val="continue"/>
                  <w:noWrap w:val="0"/>
                  <w:vAlign w:val="center"/>
                </w:tcPr>
                <w:p w14:paraId="5AD022F6">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53FA5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2C45131">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331F5A34">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3650FD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预处理池泥渣及管道循环装置废物</w:t>
                  </w:r>
                </w:p>
              </w:tc>
              <w:tc>
                <w:tcPr>
                  <w:tcW w:w="1361" w:type="pct"/>
                  <w:vMerge w:val="continue"/>
                  <w:noWrap w:val="0"/>
                  <w:vAlign w:val="center"/>
                </w:tcPr>
                <w:p w14:paraId="70071919">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3FF2FBD1">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1A64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D6BF052">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52544A18">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01BBD2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无铬钝化池废槽液</w:t>
                  </w:r>
                </w:p>
              </w:tc>
              <w:tc>
                <w:tcPr>
                  <w:tcW w:w="1361" w:type="pct"/>
                  <w:vMerge w:val="continue"/>
                  <w:noWrap w:val="0"/>
                  <w:vAlign w:val="center"/>
                </w:tcPr>
                <w:p w14:paraId="7E4A2E23">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08BC4D45">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3D99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40DA70EA">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113804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废水处理设施</w:t>
                  </w:r>
                </w:p>
              </w:tc>
              <w:tc>
                <w:tcPr>
                  <w:tcW w:w="879" w:type="pct"/>
                  <w:noWrap w:val="0"/>
                  <w:vAlign w:val="center"/>
                </w:tcPr>
                <w:p w14:paraId="3D7369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废水处理站污泥</w:t>
                  </w:r>
                </w:p>
              </w:tc>
              <w:tc>
                <w:tcPr>
                  <w:tcW w:w="1361" w:type="pct"/>
                  <w:vMerge w:val="continue"/>
                  <w:noWrap w:val="0"/>
                  <w:vAlign w:val="center"/>
                </w:tcPr>
                <w:p w14:paraId="2F7B7641">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3E43C2C3">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4CEC7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114DA664">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2CD830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24CB2B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废pH调整剂包装桶</w:t>
                  </w:r>
                </w:p>
              </w:tc>
              <w:tc>
                <w:tcPr>
                  <w:tcW w:w="1361" w:type="pct"/>
                  <w:vMerge w:val="continue"/>
                  <w:noWrap w:val="0"/>
                  <w:vAlign w:val="center"/>
                </w:tcPr>
                <w:p w14:paraId="69867AF3">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7B508187">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3ADD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30F03D28">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noWrap w:val="0"/>
                  <w:vAlign w:val="center"/>
                </w:tcPr>
                <w:p w14:paraId="72FD1B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废气治理设施</w:t>
                  </w:r>
                </w:p>
              </w:tc>
              <w:tc>
                <w:tcPr>
                  <w:tcW w:w="879" w:type="pct"/>
                  <w:noWrap w:val="0"/>
                  <w:vAlign w:val="center"/>
                </w:tcPr>
                <w:p w14:paraId="5B4AD1C2">
                  <w:pPr>
                    <w:pStyle w:val="109"/>
                    <w:pageBreakBefore w:val="0"/>
                    <w:tabs>
                      <w:tab w:val="left" w:pos="-2848"/>
                    </w:tabs>
                    <w:wordWrap w:val="0"/>
                    <w:topLinePunct/>
                    <w:bidi w:val="0"/>
                    <w:spacing w:beforeAutospacing="0" w:afterAutospacing="0"/>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废活性炭、废粉末涂料、废过滤棉、喷淋废液及沉渣、</w:t>
                  </w:r>
                  <w:r>
                    <w:rPr>
                      <w:rFonts w:hint="eastAsia" w:ascii="Times New Roman" w:hAnsi="Times New Roman" w:cs="Times New Roman"/>
                      <w:color w:val="auto"/>
                      <w:szCs w:val="21"/>
                      <w:lang w:val="en-US" w:eastAsia="zh-CN"/>
                    </w:rPr>
                    <w:t>废静电喷粉滤芯</w:t>
                  </w:r>
                </w:p>
              </w:tc>
              <w:tc>
                <w:tcPr>
                  <w:tcW w:w="1361" w:type="pct"/>
                  <w:vMerge w:val="continue"/>
                  <w:noWrap w:val="0"/>
                  <w:vAlign w:val="center"/>
                </w:tcPr>
                <w:p w14:paraId="3BD472D8">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69D3C2A4">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366EA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6F243893">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4159D7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设备维护保养</w:t>
                  </w:r>
                  <w:r>
                    <w:rPr>
                      <w:rFonts w:hint="default" w:ascii="Times New Roman" w:hAnsi="Times New Roman" w:eastAsia="宋体" w:cs="Times New Roman"/>
                      <w:i w:val="0"/>
                      <w:iCs w:val="0"/>
                      <w:color w:val="auto"/>
                      <w:kern w:val="0"/>
                      <w:sz w:val="21"/>
                      <w:szCs w:val="21"/>
                      <w:highlight w:val="none"/>
                      <w:u w:val="none"/>
                      <w:lang w:val="en-US" w:eastAsia="zh-CN" w:bidi="ar"/>
                    </w:rPr>
                    <w:t>设备保养</w:t>
                  </w:r>
                </w:p>
              </w:tc>
              <w:tc>
                <w:tcPr>
                  <w:tcW w:w="879" w:type="pct"/>
                  <w:noWrap w:val="0"/>
                  <w:vAlign w:val="center"/>
                </w:tcPr>
                <w:p w14:paraId="44C84A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废机油桶</w:t>
                  </w:r>
                </w:p>
              </w:tc>
              <w:tc>
                <w:tcPr>
                  <w:tcW w:w="1361" w:type="pct"/>
                  <w:vMerge w:val="continue"/>
                  <w:noWrap w:val="0"/>
                  <w:vAlign w:val="center"/>
                </w:tcPr>
                <w:p w14:paraId="5A182CB2">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3D339DEA">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3A0B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05316D58">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59476DF8">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5E16D5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废机油</w:t>
                  </w:r>
                </w:p>
              </w:tc>
              <w:tc>
                <w:tcPr>
                  <w:tcW w:w="1361" w:type="pct"/>
                  <w:vMerge w:val="continue"/>
                  <w:noWrap w:val="0"/>
                  <w:vAlign w:val="center"/>
                </w:tcPr>
                <w:p w14:paraId="0A223845">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49DA73C9">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269D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0A755D68">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534B0B9D">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307501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喷枪清洗废液</w:t>
                  </w:r>
                </w:p>
              </w:tc>
              <w:tc>
                <w:tcPr>
                  <w:tcW w:w="1361" w:type="pct"/>
                  <w:vMerge w:val="continue"/>
                  <w:noWrap w:val="0"/>
                  <w:vAlign w:val="center"/>
                </w:tcPr>
                <w:p w14:paraId="30E49DF2">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51B95049">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42E57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6AB037E2">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600827CB">
                  <w:pPr>
                    <w:widowControl/>
                    <w:spacing w:line="240" w:lineRule="auto"/>
                    <w:jc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29AD3D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废含油抹布手套</w:t>
                  </w:r>
                </w:p>
              </w:tc>
              <w:tc>
                <w:tcPr>
                  <w:tcW w:w="1361" w:type="pct"/>
                  <w:vMerge w:val="continue"/>
                  <w:noWrap w:val="0"/>
                  <w:vAlign w:val="center"/>
                </w:tcPr>
                <w:p w14:paraId="3927D464">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11DD2EB1">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3029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1A7823E1">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restart"/>
                  <w:noWrap w:val="0"/>
                  <w:vAlign w:val="center"/>
                </w:tcPr>
                <w:p w14:paraId="35BD64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i w:val="0"/>
                      <w:iCs w:val="0"/>
                      <w:color w:val="auto"/>
                      <w:kern w:val="0"/>
                      <w:sz w:val="21"/>
                      <w:szCs w:val="21"/>
                      <w:highlight w:val="none"/>
                      <w:u w:val="none"/>
                      <w:lang w:val="en-US" w:eastAsia="zh-CN" w:bidi="ar"/>
                    </w:rPr>
                    <w:t>钣金成型</w:t>
                  </w:r>
                </w:p>
              </w:tc>
              <w:tc>
                <w:tcPr>
                  <w:tcW w:w="879" w:type="pct"/>
                  <w:noWrap w:val="0"/>
                  <w:vAlign w:val="center"/>
                </w:tcPr>
                <w:p w14:paraId="615FBC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废液压油桶</w:t>
                  </w:r>
                </w:p>
              </w:tc>
              <w:tc>
                <w:tcPr>
                  <w:tcW w:w="1361" w:type="pct"/>
                  <w:vMerge w:val="continue"/>
                  <w:noWrap w:val="0"/>
                  <w:vAlign w:val="center"/>
                </w:tcPr>
                <w:p w14:paraId="00124581">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153B209E">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5E252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vMerge w:val="continue"/>
                  <w:noWrap w:val="0"/>
                  <w:vAlign w:val="center"/>
                </w:tcPr>
                <w:p w14:paraId="74EE82EB">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c>
                <w:tcPr>
                  <w:tcW w:w="914" w:type="pct"/>
                  <w:vMerge w:val="continue"/>
                  <w:noWrap w:val="0"/>
                  <w:vAlign w:val="center"/>
                </w:tcPr>
                <w:p w14:paraId="027411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p>
              </w:tc>
              <w:tc>
                <w:tcPr>
                  <w:tcW w:w="879" w:type="pct"/>
                  <w:noWrap w:val="0"/>
                  <w:vAlign w:val="center"/>
                </w:tcPr>
                <w:p w14:paraId="709A75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废液压油</w:t>
                  </w:r>
                </w:p>
              </w:tc>
              <w:tc>
                <w:tcPr>
                  <w:tcW w:w="1361" w:type="pct"/>
                  <w:vMerge w:val="continue"/>
                  <w:noWrap w:val="0"/>
                  <w:vAlign w:val="center"/>
                </w:tcPr>
                <w:p w14:paraId="36B256EF">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c>
                <w:tcPr>
                  <w:tcW w:w="1538" w:type="pct"/>
                  <w:vMerge w:val="continue"/>
                  <w:noWrap w:val="0"/>
                  <w:vAlign w:val="center"/>
                </w:tcPr>
                <w:p w14:paraId="1D526530">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p>
              </w:tc>
            </w:tr>
            <w:tr w14:paraId="1EDB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07" w:type="pct"/>
                  <w:noWrap w:val="0"/>
                  <w:vAlign w:val="center"/>
                </w:tcPr>
                <w:p w14:paraId="15A4AB85">
                  <w:pPr>
                    <w:widowControl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噪声</w:t>
                  </w:r>
                </w:p>
              </w:tc>
              <w:tc>
                <w:tcPr>
                  <w:tcW w:w="1793" w:type="pct"/>
                  <w:gridSpan w:val="2"/>
                  <w:noWrap w:val="0"/>
                  <w:vAlign w:val="center"/>
                </w:tcPr>
                <w:p w14:paraId="68D0BA58">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设备运行噪声</w:t>
                  </w:r>
                </w:p>
              </w:tc>
              <w:tc>
                <w:tcPr>
                  <w:tcW w:w="1361" w:type="pct"/>
                  <w:noWrap w:val="0"/>
                  <w:vAlign w:val="center"/>
                </w:tcPr>
                <w:p w14:paraId="10F90326">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对必要设备采取减振、隔声等</w:t>
                  </w:r>
                </w:p>
              </w:tc>
              <w:tc>
                <w:tcPr>
                  <w:tcW w:w="1538" w:type="pct"/>
                  <w:noWrap w:val="0"/>
                  <w:vAlign w:val="center"/>
                </w:tcPr>
                <w:p w14:paraId="79276547">
                  <w:pPr>
                    <w:widowControl/>
                    <w:kinsoku/>
                    <w:autoSpaceDE/>
                    <w:autoSpaceDN/>
                    <w:adjustRightInd/>
                    <w:snapToGrid/>
                    <w:spacing w:line="240" w:lineRule="auto"/>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西、北厂界</w:t>
                  </w:r>
                  <w:r>
                    <w:rPr>
                      <w:rFonts w:hint="default" w:ascii="Times New Roman" w:hAnsi="Times New Roman" w:eastAsia="宋体" w:cs="Times New Roman"/>
                      <w:color w:val="auto"/>
                      <w:sz w:val="21"/>
                      <w:szCs w:val="21"/>
                      <w:highlight w:val="none"/>
                      <w:lang w:val="en-US" w:eastAsia="zh-CN"/>
                    </w:rPr>
                    <w:t>执行《工业企业厂界环境噪声排放标准》（GB12348-2008）3类</w:t>
                  </w:r>
                  <w:r>
                    <w:rPr>
                      <w:rFonts w:hint="eastAsia" w:cs="Times New Roman"/>
                      <w:color w:val="auto"/>
                      <w:sz w:val="21"/>
                      <w:szCs w:val="21"/>
                      <w:highlight w:val="none"/>
                      <w:lang w:val="en-US" w:eastAsia="zh-CN"/>
                    </w:rPr>
                    <w:t>，东、南厂界执行</w:t>
                  </w:r>
                  <w:r>
                    <w:rPr>
                      <w:rFonts w:hint="default" w:ascii="Times New Roman" w:hAnsi="Times New Roman" w:eastAsia="宋体" w:cs="Times New Roman"/>
                      <w:color w:val="auto"/>
                      <w:sz w:val="21"/>
                      <w:szCs w:val="21"/>
                      <w:highlight w:val="none"/>
                      <w:lang w:val="en-US" w:eastAsia="zh-CN"/>
                    </w:rPr>
                    <w:t>4</w:t>
                  </w:r>
                  <w:r>
                    <w:rPr>
                      <w:rFonts w:hint="eastAsia" w:cs="Times New Roman"/>
                      <w:color w:val="auto"/>
                      <w:sz w:val="21"/>
                      <w:szCs w:val="21"/>
                      <w:highlight w:val="none"/>
                      <w:lang w:val="en-US" w:eastAsia="zh-CN"/>
                    </w:rPr>
                    <w:t>a</w:t>
                  </w:r>
                  <w:r>
                    <w:rPr>
                      <w:rFonts w:hint="default" w:ascii="Times New Roman" w:hAnsi="Times New Roman" w:eastAsia="宋体" w:cs="Times New Roman"/>
                      <w:color w:val="auto"/>
                      <w:sz w:val="21"/>
                      <w:szCs w:val="21"/>
                      <w:highlight w:val="none"/>
                      <w:lang w:val="en-US" w:eastAsia="zh-CN"/>
                    </w:rPr>
                    <w:t>类标准</w:t>
                  </w:r>
                </w:p>
              </w:tc>
            </w:tr>
          </w:tbl>
          <w:p w14:paraId="20481BEC">
            <w:pPr>
              <w:pStyle w:val="76"/>
              <w:rPr>
                <w:rFonts w:hint="default" w:ascii="Times New Roman" w:hAnsi="Times New Roman" w:eastAsia="宋体" w:cs="Times New Roman"/>
                <w:color w:val="auto"/>
                <w:sz w:val="24"/>
                <w:highlight w:val="none"/>
              </w:rPr>
            </w:pPr>
          </w:p>
        </w:tc>
      </w:tr>
    </w:tbl>
    <w:p w14:paraId="2C591158">
      <w:pPr>
        <w:pStyle w:val="76"/>
        <w:rPr>
          <w:rFonts w:hint="eastAsia"/>
          <w:color w:val="auto"/>
          <w:highlight w:val="none"/>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365DF2B">
      <w:pPr>
        <w:pStyle w:val="45"/>
        <w:jc w:val="center"/>
        <w:outlineLvl w:val="0"/>
        <w:rPr>
          <w:rFonts w:ascii="黑体" w:hAnsi="黑体" w:eastAsia="黑体"/>
          <w:snapToGrid w:val="0"/>
          <w:color w:val="auto"/>
          <w:sz w:val="30"/>
          <w:szCs w:val="30"/>
          <w:highlight w:val="none"/>
        </w:rPr>
      </w:pPr>
      <w:bookmarkStart w:id="36" w:name="_Toc30264"/>
      <w:bookmarkStart w:id="37" w:name="_Toc7803"/>
      <w:bookmarkStart w:id="38" w:name="_Toc5281"/>
      <w:bookmarkStart w:id="39" w:name="_Toc24765"/>
      <w:r>
        <w:rPr>
          <w:rFonts w:hint="eastAsia" w:ascii="黑体" w:hAnsi="黑体" w:eastAsia="黑体"/>
          <w:snapToGrid w:val="0"/>
          <w:color w:val="auto"/>
          <w:sz w:val="30"/>
          <w:szCs w:val="30"/>
          <w:highlight w:val="none"/>
        </w:rPr>
        <w:t>五、</w:t>
      </w:r>
      <w:bookmarkStart w:id="40" w:name="_Hlk54167917"/>
      <w:r>
        <w:rPr>
          <w:rFonts w:hint="eastAsia" w:ascii="黑体" w:hAnsi="黑体" w:eastAsia="黑体"/>
          <w:snapToGrid w:val="0"/>
          <w:color w:val="auto"/>
          <w:sz w:val="30"/>
          <w:szCs w:val="30"/>
          <w:highlight w:val="none"/>
        </w:rPr>
        <w:t>环境保护措施监督检查清单</w:t>
      </w:r>
      <w:bookmarkEnd w:id="36"/>
      <w:bookmarkEnd w:id="37"/>
      <w:bookmarkEnd w:id="38"/>
      <w:bookmarkEnd w:id="39"/>
      <w:bookmarkEnd w:id="40"/>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487"/>
        <w:gridCol w:w="970"/>
        <w:gridCol w:w="1560"/>
        <w:gridCol w:w="2085"/>
        <w:gridCol w:w="2175"/>
      </w:tblGrid>
      <w:tr w14:paraId="60A4E5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tcBorders>
              <w:tl2br w:val="single" w:color="auto" w:sz="4" w:space="0"/>
            </w:tcBorders>
            <w:noWrap w:val="0"/>
            <w:vAlign w:val="top"/>
          </w:tcPr>
          <w:p w14:paraId="19772E38">
            <w:pPr>
              <w:adjustRightInd w:val="0"/>
              <w:snapToGrid w:val="0"/>
              <w:jc w:val="right"/>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内容</w:t>
            </w:r>
          </w:p>
          <w:p w14:paraId="529E41BC">
            <w:pPr>
              <w:adjustRightInd w:val="0"/>
              <w:snapToGrid w:val="0"/>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要素</w:t>
            </w:r>
          </w:p>
        </w:tc>
        <w:tc>
          <w:tcPr>
            <w:tcW w:w="1457" w:type="dxa"/>
            <w:gridSpan w:val="2"/>
            <w:noWrap w:val="0"/>
            <w:vAlign w:val="center"/>
          </w:tcPr>
          <w:p w14:paraId="6A2C3AC3">
            <w:pPr>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排放口(编号、名称)/污染源</w:t>
            </w:r>
          </w:p>
        </w:tc>
        <w:tc>
          <w:tcPr>
            <w:tcW w:w="1560" w:type="dxa"/>
            <w:noWrap w:val="0"/>
            <w:vAlign w:val="center"/>
          </w:tcPr>
          <w:p w14:paraId="202639B6">
            <w:pPr>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污染物项目</w:t>
            </w:r>
          </w:p>
        </w:tc>
        <w:tc>
          <w:tcPr>
            <w:tcW w:w="2085" w:type="dxa"/>
            <w:noWrap w:val="0"/>
            <w:vAlign w:val="center"/>
          </w:tcPr>
          <w:p w14:paraId="36078948">
            <w:pPr>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环境保护措施</w:t>
            </w:r>
          </w:p>
        </w:tc>
        <w:tc>
          <w:tcPr>
            <w:tcW w:w="2175" w:type="dxa"/>
            <w:noWrap w:val="0"/>
            <w:vAlign w:val="center"/>
          </w:tcPr>
          <w:p w14:paraId="6FD8ED99">
            <w:pPr>
              <w:adjustRightInd w:val="0"/>
              <w:snapToGrid w:val="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执行标准</w:t>
            </w:r>
          </w:p>
        </w:tc>
      </w:tr>
      <w:tr w14:paraId="08E271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restart"/>
            <w:noWrap w:val="0"/>
            <w:vAlign w:val="center"/>
          </w:tcPr>
          <w:p w14:paraId="775485B6">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大气环境</w:t>
            </w:r>
          </w:p>
        </w:tc>
        <w:tc>
          <w:tcPr>
            <w:tcW w:w="1457" w:type="dxa"/>
            <w:gridSpan w:val="2"/>
            <w:vMerge w:val="restart"/>
            <w:shd w:val="clear" w:color="auto" w:fill="auto"/>
            <w:noWrap w:val="0"/>
            <w:vAlign w:val="center"/>
          </w:tcPr>
          <w:p w14:paraId="3BD5C675">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喷漆废气（</w:t>
            </w:r>
            <w:r>
              <w:rPr>
                <w:rFonts w:hint="eastAsia" w:cs="Times New Roman"/>
                <w:color w:val="auto"/>
                <w:sz w:val="21"/>
                <w:szCs w:val="21"/>
                <w:highlight w:val="none"/>
                <w:lang w:val="en-US" w:eastAsia="zh-CN"/>
              </w:rPr>
              <w:t>DA001</w:t>
            </w:r>
            <w:r>
              <w:rPr>
                <w:rFonts w:hint="eastAsia" w:ascii="Times New Roman" w:hAnsi="Times New Roman" w:eastAsia="宋体" w:cs="Times New Roman"/>
                <w:color w:val="auto"/>
                <w:sz w:val="21"/>
                <w:szCs w:val="21"/>
                <w:highlight w:val="none"/>
                <w:lang w:val="en-US" w:eastAsia="zh-CN"/>
              </w:rPr>
              <w:t>）</w:t>
            </w:r>
          </w:p>
        </w:tc>
        <w:tc>
          <w:tcPr>
            <w:tcW w:w="1560" w:type="dxa"/>
            <w:shd w:val="clear" w:color="auto" w:fill="auto"/>
            <w:noWrap w:val="0"/>
            <w:vAlign w:val="center"/>
          </w:tcPr>
          <w:p w14:paraId="0134FF30">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颗粒物</w:t>
            </w:r>
          </w:p>
        </w:tc>
        <w:tc>
          <w:tcPr>
            <w:tcW w:w="2085" w:type="dxa"/>
            <w:vMerge w:val="restart"/>
            <w:shd w:val="clear" w:color="auto" w:fill="auto"/>
            <w:noWrap w:val="0"/>
            <w:vAlign w:val="center"/>
          </w:tcPr>
          <w:p w14:paraId="13C20419">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s="Times New Roman"/>
                <w:color w:val="auto"/>
                <w:sz w:val="21"/>
                <w:szCs w:val="21"/>
                <w:highlight w:val="none"/>
                <w:lang w:eastAsia="zh-CN"/>
              </w:rPr>
              <w:t>活性炭吸脱附+催化燃烧+活性炭吸附</w:t>
            </w:r>
            <w:r>
              <w:rPr>
                <w:rFonts w:hint="eastAsia" w:ascii="Times New Roman" w:hAnsi="Times New Roman" w:eastAsia="宋体" w:cs="Times New Roman"/>
                <w:color w:val="auto"/>
                <w:sz w:val="21"/>
                <w:szCs w:val="21"/>
                <w:highlight w:val="none"/>
                <w:lang w:val="en-US" w:eastAsia="zh-CN"/>
              </w:rPr>
              <w:t>处理后，</w:t>
            </w:r>
            <w:r>
              <w:rPr>
                <w:rFonts w:hint="default" w:ascii="Times New Roman" w:hAnsi="Times New Roman" w:eastAsia="宋体" w:cs="Times New Roman"/>
                <w:color w:val="auto"/>
                <w:sz w:val="21"/>
                <w:szCs w:val="21"/>
                <w:highlight w:val="none"/>
                <w:lang w:val="en-US" w:eastAsia="zh-CN"/>
              </w:rPr>
              <w:t>引至15</w:t>
            </w:r>
            <w:r>
              <w:rPr>
                <w:rFonts w:hint="default" w:ascii="Times New Roman" w:hAnsi="Times New Roman" w:eastAsia="宋体" w:cs="Times New Roman"/>
                <w:color w:val="auto"/>
                <w:sz w:val="21"/>
                <w:szCs w:val="21"/>
                <w:highlight w:val="none"/>
              </w:rPr>
              <w:t>m高</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排气筒（</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）排放</w:t>
            </w:r>
          </w:p>
        </w:tc>
        <w:tc>
          <w:tcPr>
            <w:tcW w:w="2175" w:type="dxa"/>
            <w:shd w:val="clear" w:color="auto" w:fill="auto"/>
            <w:noWrap w:val="0"/>
            <w:vAlign w:val="center"/>
          </w:tcPr>
          <w:p w14:paraId="68D61510">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广东省《大气污染物排放限值》（DB44/27-2001）第二时段</w:t>
            </w:r>
            <w:r>
              <w:rPr>
                <w:rFonts w:hint="default" w:ascii="Times New Roman" w:hAnsi="Times New Roman" w:eastAsia="宋体" w:cs="Times New Roman"/>
                <w:color w:val="auto"/>
                <w:sz w:val="21"/>
                <w:szCs w:val="21"/>
                <w:highlight w:val="none"/>
                <w:lang w:val="en-US" w:eastAsia="zh-CN"/>
              </w:rPr>
              <w:t>排放限值</w:t>
            </w:r>
          </w:p>
        </w:tc>
      </w:tr>
      <w:tr w14:paraId="23E84E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523" w:type="dxa"/>
            <w:vMerge w:val="continue"/>
            <w:noWrap w:val="0"/>
            <w:vAlign w:val="center"/>
          </w:tcPr>
          <w:p w14:paraId="5913E1E6">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0AAD904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1560" w:type="dxa"/>
            <w:shd w:val="clear" w:color="auto" w:fill="auto"/>
            <w:noWrap w:val="0"/>
            <w:vAlign w:val="center"/>
          </w:tcPr>
          <w:p w14:paraId="105E4721">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非甲烷总烃</w:t>
            </w:r>
          </w:p>
        </w:tc>
        <w:tc>
          <w:tcPr>
            <w:tcW w:w="2085" w:type="dxa"/>
            <w:vMerge w:val="continue"/>
            <w:noWrap w:val="0"/>
            <w:vAlign w:val="center"/>
          </w:tcPr>
          <w:p w14:paraId="4D7DB3B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2175" w:type="dxa"/>
            <w:vMerge w:val="restart"/>
            <w:shd w:val="clear" w:color="auto" w:fill="auto"/>
            <w:noWrap w:val="0"/>
            <w:vAlign w:val="center"/>
          </w:tcPr>
          <w:p w14:paraId="3969FB10">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广东省《固定污染源挥发性有机物综合排放标准》（DB44/2367-2022）表1挥发性有机物排放限值</w:t>
            </w:r>
          </w:p>
        </w:tc>
      </w:tr>
      <w:tr w14:paraId="660367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34DFD897">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6F6D18C0">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1560" w:type="dxa"/>
            <w:shd w:val="clear" w:color="auto" w:fill="auto"/>
            <w:noWrap w:val="0"/>
            <w:vAlign w:val="center"/>
          </w:tcPr>
          <w:p w14:paraId="23C1DCE2">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苯系物</w:t>
            </w:r>
          </w:p>
        </w:tc>
        <w:tc>
          <w:tcPr>
            <w:tcW w:w="2085" w:type="dxa"/>
            <w:vMerge w:val="continue"/>
            <w:noWrap w:val="0"/>
            <w:vAlign w:val="center"/>
          </w:tcPr>
          <w:p w14:paraId="3123C2C6">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2175" w:type="dxa"/>
            <w:vMerge w:val="continue"/>
            <w:noWrap w:val="0"/>
            <w:vAlign w:val="center"/>
          </w:tcPr>
          <w:p w14:paraId="73AF666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r>
      <w:tr w14:paraId="6EC540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450B402D">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7698D20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1560" w:type="dxa"/>
            <w:shd w:val="clear" w:color="auto" w:fill="auto"/>
            <w:noWrap w:val="0"/>
            <w:vAlign w:val="center"/>
          </w:tcPr>
          <w:p w14:paraId="77D0019F">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臭气浓度</w:t>
            </w:r>
          </w:p>
        </w:tc>
        <w:tc>
          <w:tcPr>
            <w:tcW w:w="2085" w:type="dxa"/>
            <w:vMerge w:val="continue"/>
            <w:noWrap w:val="0"/>
            <w:vAlign w:val="center"/>
          </w:tcPr>
          <w:p w14:paraId="1FAFBBC8">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p>
        </w:tc>
        <w:tc>
          <w:tcPr>
            <w:tcW w:w="2175" w:type="dxa"/>
            <w:shd w:val="clear" w:color="auto" w:fill="auto"/>
            <w:noWrap w:val="0"/>
            <w:vAlign w:val="center"/>
          </w:tcPr>
          <w:p w14:paraId="322B1307">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《恶臭污染物排放标准》（</w:t>
            </w:r>
            <w:r>
              <w:rPr>
                <w:rFonts w:hint="default" w:ascii="Times New Roman" w:hAnsi="Times New Roman" w:eastAsia="宋体" w:cs="Times New Roman"/>
                <w:color w:val="auto"/>
                <w:sz w:val="21"/>
                <w:szCs w:val="21"/>
                <w:highlight w:val="none"/>
                <w:lang w:eastAsia="zh-CN"/>
              </w:rPr>
              <w:t>GB 14554-1993</w:t>
            </w:r>
            <w:r>
              <w:rPr>
                <w:rFonts w:hint="default" w:ascii="Times New Roman" w:hAnsi="Times New Roman" w:eastAsia="宋体" w:cs="Times New Roman"/>
                <w:color w:val="auto"/>
                <w:sz w:val="21"/>
                <w:szCs w:val="21"/>
                <w:highlight w:val="none"/>
              </w:rPr>
              <w:t>）表2恶臭污染物排放标准及表1新扩改建二级厂界标准值</w:t>
            </w:r>
          </w:p>
        </w:tc>
      </w:tr>
      <w:tr w14:paraId="5BDC3D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7F564F90">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restart"/>
            <w:noWrap w:val="0"/>
            <w:vAlign w:val="center"/>
          </w:tcPr>
          <w:p w14:paraId="5D73C43E">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固化废气（</w:t>
            </w:r>
            <w:r>
              <w:rPr>
                <w:rFonts w:hint="eastAsia" w:cs="Times New Roman"/>
                <w:color w:val="auto"/>
                <w:sz w:val="21"/>
                <w:szCs w:val="21"/>
                <w:highlight w:val="none"/>
                <w:lang w:val="en-US" w:eastAsia="zh-CN"/>
              </w:rPr>
              <w:t>DA002</w:t>
            </w:r>
            <w:r>
              <w:rPr>
                <w:rFonts w:hint="eastAsia" w:ascii="Times New Roman" w:hAnsi="Times New Roman" w:eastAsia="宋体" w:cs="Times New Roman"/>
                <w:color w:val="auto"/>
                <w:sz w:val="21"/>
                <w:szCs w:val="21"/>
                <w:highlight w:val="none"/>
                <w:lang w:val="en-US" w:eastAsia="zh-CN"/>
              </w:rPr>
              <w:t>）</w:t>
            </w:r>
          </w:p>
        </w:tc>
        <w:tc>
          <w:tcPr>
            <w:tcW w:w="1560" w:type="dxa"/>
            <w:noWrap w:val="0"/>
            <w:vAlign w:val="center"/>
          </w:tcPr>
          <w:p w14:paraId="2B503D7C">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非甲烷总烃</w:t>
            </w:r>
            <w:r>
              <w:rPr>
                <w:rFonts w:hint="eastAsia" w:cs="Times New Roman"/>
                <w:color w:val="auto"/>
                <w:sz w:val="21"/>
                <w:szCs w:val="21"/>
                <w:highlight w:val="none"/>
                <w:lang w:val="en-US" w:eastAsia="zh-CN"/>
              </w:rPr>
              <w:t>、苯系物</w:t>
            </w:r>
          </w:p>
        </w:tc>
        <w:tc>
          <w:tcPr>
            <w:tcW w:w="2085" w:type="dxa"/>
            <w:vMerge w:val="restart"/>
            <w:noWrap w:val="0"/>
            <w:vAlign w:val="center"/>
          </w:tcPr>
          <w:p w14:paraId="6BB013DF">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经</w:t>
            </w:r>
            <w:r>
              <w:rPr>
                <w:rFonts w:hint="default" w:ascii="Times New Roman" w:hAnsi="Times New Roman" w:eastAsia="宋体" w:cs="Times New Roman"/>
                <w:color w:val="auto"/>
                <w:sz w:val="21"/>
                <w:szCs w:val="21"/>
                <w:highlight w:val="none"/>
                <w:lang w:eastAsia="zh-CN"/>
              </w:rPr>
              <w:t>喷淋</w:t>
            </w:r>
            <w:r>
              <w:rPr>
                <w:rFonts w:hint="default" w:ascii="Times New Roman" w:hAnsi="Times New Roman" w:eastAsia="宋体" w:cs="Times New Roman"/>
                <w:color w:val="auto"/>
                <w:sz w:val="21"/>
                <w:szCs w:val="21"/>
                <w:highlight w:val="none"/>
              </w:rPr>
              <w:t>+干式过滤器+</w:t>
            </w:r>
            <w:r>
              <w:rPr>
                <w:rFonts w:hint="eastAsia"/>
                <w:color w:val="auto"/>
                <w:lang w:val="en-US" w:eastAsia="zh-CN"/>
              </w:rPr>
              <w:t>二级活性炭吸附</w:t>
            </w:r>
            <w:r>
              <w:rPr>
                <w:rFonts w:hint="eastAsia" w:ascii="Times New Roman" w:hAnsi="Times New Roman" w:eastAsia="宋体" w:cs="Times New Roman"/>
                <w:color w:val="auto"/>
                <w:sz w:val="21"/>
                <w:szCs w:val="21"/>
                <w:highlight w:val="none"/>
                <w:lang w:val="en-US" w:eastAsia="zh-CN"/>
              </w:rPr>
              <w:t>处理后，</w:t>
            </w:r>
            <w:r>
              <w:rPr>
                <w:rFonts w:hint="default" w:ascii="Times New Roman" w:hAnsi="Times New Roman" w:eastAsia="宋体" w:cs="Times New Roman"/>
                <w:color w:val="auto"/>
                <w:sz w:val="21"/>
                <w:szCs w:val="21"/>
                <w:highlight w:val="none"/>
                <w:lang w:val="en-US" w:eastAsia="zh-CN"/>
              </w:rPr>
              <w:t>引至15</w:t>
            </w:r>
            <w:r>
              <w:rPr>
                <w:rFonts w:hint="default" w:ascii="Times New Roman" w:hAnsi="Times New Roman" w:eastAsia="宋体" w:cs="Times New Roman"/>
                <w:color w:val="auto"/>
                <w:sz w:val="21"/>
                <w:szCs w:val="21"/>
                <w:highlight w:val="none"/>
              </w:rPr>
              <w:t>m高</w:t>
            </w:r>
            <w:r>
              <w:rPr>
                <w:rFonts w:hint="default" w:ascii="Times New Roman" w:hAnsi="Times New Roman" w:eastAsia="宋体" w:cs="Times New Roman"/>
                <w:color w:val="auto"/>
                <w:sz w:val="21"/>
                <w:szCs w:val="21"/>
                <w:highlight w:val="none"/>
                <w:lang w:val="en-US" w:eastAsia="zh-CN"/>
              </w:rPr>
              <w:t>的</w:t>
            </w:r>
            <w:r>
              <w:rPr>
                <w:rFonts w:hint="default" w:ascii="Times New Roman" w:hAnsi="Times New Roman" w:eastAsia="宋体" w:cs="Times New Roman"/>
                <w:color w:val="auto"/>
                <w:sz w:val="21"/>
                <w:szCs w:val="21"/>
                <w:highlight w:val="none"/>
              </w:rPr>
              <w:t>排气筒（</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）排放</w:t>
            </w:r>
          </w:p>
        </w:tc>
        <w:tc>
          <w:tcPr>
            <w:tcW w:w="2175" w:type="dxa"/>
            <w:shd w:val="clear" w:color="auto" w:fill="auto"/>
            <w:noWrap w:val="0"/>
            <w:vAlign w:val="center"/>
          </w:tcPr>
          <w:p w14:paraId="0D7DBBB3">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广东省《固定污染源挥发性有机物综合排放标准》（DB44/2367-2022）表1挥发性有机物排放限值</w:t>
            </w:r>
          </w:p>
        </w:tc>
      </w:tr>
      <w:tr w14:paraId="19822D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5051048F">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6C9C3254">
            <w:pPr>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c>
          <w:tcPr>
            <w:tcW w:w="1560" w:type="dxa"/>
            <w:noWrap w:val="0"/>
            <w:vAlign w:val="center"/>
          </w:tcPr>
          <w:p w14:paraId="60C6BFBD">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臭气浓度</w:t>
            </w:r>
          </w:p>
        </w:tc>
        <w:tc>
          <w:tcPr>
            <w:tcW w:w="2085" w:type="dxa"/>
            <w:vMerge w:val="continue"/>
            <w:noWrap w:val="0"/>
            <w:vAlign w:val="center"/>
          </w:tcPr>
          <w:p w14:paraId="6DAC66FD">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175" w:type="dxa"/>
            <w:shd w:val="clear" w:color="auto" w:fill="auto"/>
            <w:noWrap w:val="0"/>
            <w:vAlign w:val="center"/>
          </w:tcPr>
          <w:p w14:paraId="490BBF73">
            <w:pPr>
              <w:adjustRightInd w:val="0"/>
              <w:snapToGri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《恶臭污染物排放标准》（</w:t>
            </w:r>
            <w:r>
              <w:rPr>
                <w:rFonts w:hint="default" w:ascii="Times New Roman" w:hAnsi="Times New Roman" w:eastAsia="宋体" w:cs="Times New Roman"/>
                <w:color w:val="auto"/>
                <w:sz w:val="21"/>
                <w:szCs w:val="21"/>
                <w:highlight w:val="none"/>
                <w:lang w:eastAsia="zh-CN"/>
              </w:rPr>
              <w:t>GB 14554-1993</w:t>
            </w:r>
            <w:r>
              <w:rPr>
                <w:rFonts w:hint="default" w:ascii="Times New Roman" w:hAnsi="Times New Roman" w:eastAsia="宋体" w:cs="Times New Roman"/>
                <w:color w:val="auto"/>
                <w:sz w:val="21"/>
                <w:szCs w:val="21"/>
                <w:highlight w:val="none"/>
              </w:rPr>
              <w:t>）表2恶臭污染物排放标准</w:t>
            </w:r>
          </w:p>
        </w:tc>
      </w:tr>
      <w:tr w14:paraId="59C323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1DD907C2">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3549FFE6">
            <w:pPr>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c>
          <w:tcPr>
            <w:tcW w:w="1560" w:type="dxa"/>
            <w:noWrap w:val="0"/>
            <w:vAlign w:val="center"/>
          </w:tcPr>
          <w:p w14:paraId="153CC427">
            <w:pPr>
              <w:adjustRightInd w:val="0"/>
              <w:snapToGri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2085" w:type="dxa"/>
            <w:vMerge w:val="continue"/>
            <w:noWrap w:val="0"/>
            <w:vAlign w:val="center"/>
          </w:tcPr>
          <w:p w14:paraId="31C0C3BA">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175" w:type="dxa"/>
            <w:vMerge w:val="restart"/>
            <w:shd w:val="clear" w:color="auto" w:fill="auto"/>
            <w:noWrap w:val="0"/>
            <w:vAlign w:val="center"/>
          </w:tcPr>
          <w:p w14:paraId="03D93AE2">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广东省《大气污染物排放限值》（DB44/27-2001）第二时段二级标准与《关于印发&lt;工业炉窑大气污染综合治理方案&gt;的通知》（环大气〔2019〕56号）和《关于贯彻落实&lt;工业炉窑大气污染物综合治理方案&gt;的实施意见》（粤环函〔2019〕1112号）中颗粒物、二氧化硫、氮氧化物排放限值较严值</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烟气黑度执行《工业炉窑大气污染物排放标准》（GB 9078-1996）</w:t>
            </w:r>
          </w:p>
        </w:tc>
      </w:tr>
      <w:tr w14:paraId="4AB8DE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40D0E476">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437BCD13">
            <w:pPr>
              <w:adjustRightInd w:val="0"/>
              <w:snapToGrid w:val="0"/>
              <w:spacing w:line="240" w:lineRule="auto"/>
              <w:jc w:val="center"/>
              <w:rPr>
                <w:rFonts w:hint="eastAsia" w:ascii="Times New Roman" w:hAnsi="Times New Roman" w:eastAsia="宋体" w:cs="Times New Roman"/>
                <w:color w:val="auto"/>
                <w:sz w:val="21"/>
                <w:szCs w:val="21"/>
                <w:highlight w:val="none"/>
                <w:lang w:val="en-US" w:eastAsia="zh-CN"/>
              </w:rPr>
            </w:pPr>
          </w:p>
        </w:tc>
        <w:tc>
          <w:tcPr>
            <w:tcW w:w="1560" w:type="dxa"/>
            <w:noWrap w:val="0"/>
            <w:vAlign w:val="center"/>
          </w:tcPr>
          <w:p w14:paraId="5FF1409F">
            <w:pPr>
              <w:adjustRightInd w:val="0"/>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氮氧化物、二氧化硫</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烟气黑度</w:t>
            </w:r>
          </w:p>
        </w:tc>
        <w:tc>
          <w:tcPr>
            <w:tcW w:w="2085" w:type="dxa"/>
            <w:vMerge w:val="continue"/>
            <w:noWrap w:val="0"/>
            <w:vAlign w:val="center"/>
          </w:tcPr>
          <w:p w14:paraId="63275458">
            <w:pPr>
              <w:adjustRightInd w:val="0"/>
              <w:snapToGrid w:val="0"/>
              <w:spacing w:line="240" w:lineRule="auto"/>
              <w:jc w:val="center"/>
              <w:rPr>
                <w:rFonts w:hint="default" w:ascii="Times New Roman" w:hAnsi="Times New Roman" w:eastAsia="宋体" w:cs="Times New Roman"/>
                <w:color w:val="auto"/>
                <w:sz w:val="21"/>
                <w:szCs w:val="21"/>
                <w:highlight w:val="none"/>
              </w:rPr>
            </w:pPr>
          </w:p>
        </w:tc>
        <w:tc>
          <w:tcPr>
            <w:tcW w:w="2175" w:type="dxa"/>
            <w:vMerge w:val="continue"/>
            <w:noWrap w:val="0"/>
            <w:vAlign w:val="center"/>
          </w:tcPr>
          <w:p w14:paraId="47C23391">
            <w:pPr>
              <w:adjustRightInd w:val="0"/>
              <w:snapToGrid w:val="0"/>
              <w:spacing w:line="240" w:lineRule="auto"/>
              <w:jc w:val="center"/>
              <w:rPr>
                <w:rFonts w:hint="default" w:ascii="Times New Roman" w:hAnsi="Times New Roman" w:eastAsia="宋体" w:cs="Times New Roman"/>
                <w:color w:val="auto"/>
                <w:sz w:val="21"/>
                <w:szCs w:val="21"/>
                <w:highlight w:val="none"/>
              </w:rPr>
            </w:pPr>
          </w:p>
        </w:tc>
      </w:tr>
      <w:tr w14:paraId="0724FF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45728363">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restart"/>
            <w:noWrap w:val="0"/>
            <w:vAlign w:val="center"/>
          </w:tcPr>
          <w:p w14:paraId="2E2504B0">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表面预处理废气（DA003）</w:t>
            </w:r>
          </w:p>
        </w:tc>
        <w:tc>
          <w:tcPr>
            <w:tcW w:w="1560" w:type="dxa"/>
            <w:noWrap w:val="0"/>
            <w:vAlign w:val="center"/>
          </w:tcPr>
          <w:p w14:paraId="4FC1C6E9">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燃烧废气</w:t>
            </w:r>
          </w:p>
        </w:tc>
        <w:tc>
          <w:tcPr>
            <w:tcW w:w="2085" w:type="dxa"/>
            <w:vMerge w:val="restart"/>
            <w:noWrap w:val="0"/>
            <w:vAlign w:val="center"/>
          </w:tcPr>
          <w:p w14:paraId="64217E16">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密闭收集+碱液喷淋后通过15m排气筒高空排放（DA003）</w:t>
            </w:r>
          </w:p>
        </w:tc>
        <w:tc>
          <w:tcPr>
            <w:tcW w:w="2175" w:type="dxa"/>
            <w:noWrap w:val="0"/>
            <w:vAlign w:val="center"/>
          </w:tcPr>
          <w:p w14:paraId="2D2E75F9">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关于印发&lt;工业炉窑大气污染综合治理方案&gt;的通知》（环大气〔2019〕56号）和《关于贯彻落实&lt;工业炉窑大气污染物综合治理方案&gt;的实施意见》（粤环函〔2019〕1112号）中颗粒物、二氧化硫、氮氧化物排放限值较严值</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烟气黑度执行《工业炉窑大气污染物排放标准》（GB 9078-1996）</w:t>
            </w:r>
          </w:p>
        </w:tc>
      </w:tr>
      <w:tr w14:paraId="06B7C2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716C1AD3">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6D11CC75">
            <w:pPr>
              <w:adjustRightInd w:val="0"/>
              <w:snapToGrid w:val="0"/>
              <w:jc w:val="center"/>
              <w:rPr>
                <w:rFonts w:hint="eastAsia" w:cs="Times New Roman"/>
                <w:color w:val="auto"/>
                <w:sz w:val="21"/>
                <w:szCs w:val="21"/>
                <w:highlight w:val="none"/>
                <w:lang w:val="en-US" w:eastAsia="zh-CN"/>
              </w:rPr>
            </w:pPr>
          </w:p>
        </w:tc>
        <w:tc>
          <w:tcPr>
            <w:tcW w:w="1560" w:type="dxa"/>
            <w:noWrap w:val="0"/>
            <w:vAlign w:val="center"/>
          </w:tcPr>
          <w:p w14:paraId="1EA65F45">
            <w:pPr>
              <w:adjustRightInd w:val="0"/>
              <w:snapToGrid w:val="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氟化物</w:t>
            </w:r>
          </w:p>
        </w:tc>
        <w:tc>
          <w:tcPr>
            <w:tcW w:w="2085" w:type="dxa"/>
            <w:vMerge w:val="continue"/>
            <w:noWrap w:val="0"/>
            <w:vAlign w:val="center"/>
          </w:tcPr>
          <w:p w14:paraId="137D1A55">
            <w:pPr>
              <w:adjustRightInd w:val="0"/>
              <w:snapToGrid w:val="0"/>
              <w:jc w:val="center"/>
              <w:rPr>
                <w:rFonts w:hint="eastAsia" w:cs="Times New Roman"/>
                <w:color w:val="auto"/>
                <w:sz w:val="21"/>
                <w:szCs w:val="21"/>
                <w:highlight w:val="none"/>
                <w:lang w:val="en-US" w:eastAsia="zh-CN"/>
              </w:rPr>
            </w:pPr>
          </w:p>
        </w:tc>
        <w:tc>
          <w:tcPr>
            <w:tcW w:w="2175" w:type="dxa"/>
            <w:noWrap w:val="0"/>
            <w:vAlign w:val="center"/>
          </w:tcPr>
          <w:p w14:paraId="63BED875">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广东省《大气污染物排放限值》（DB44/27-2001）第二时段二级标准</w:t>
            </w:r>
          </w:p>
        </w:tc>
      </w:tr>
      <w:tr w14:paraId="7CA0D8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4B7CA0D3">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shd w:val="clear" w:color="auto" w:fill="auto"/>
            <w:noWrap w:val="0"/>
            <w:vAlign w:val="center"/>
          </w:tcPr>
          <w:p w14:paraId="7DE2218F">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职工生活</w:t>
            </w:r>
          </w:p>
        </w:tc>
        <w:tc>
          <w:tcPr>
            <w:tcW w:w="1560" w:type="dxa"/>
            <w:shd w:val="clear" w:color="auto" w:fill="auto"/>
            <w:noWrap w:val="0"/>
            <w:vAlign w:val="center"/>
          </w:tcPr>
          <w:p w14:paraId="5B55BB84">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食堂油烟</w:t>
            </w:r>
          </w:p>
        </w:tc>
        <w:tc>
          <w:tcPr>
            <w:tcW w:w="2085" w:type="dxa"/>
            <w:shd w:val="clear" w:color="auto" w:fill="auto"/>
            <w:noWrap w:val="0"/>
            <w:vAlign w:val="center"/>
          </w:tcPr>
          <w:p w14:paraId="6D9ACBDE">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经收集后引至高效静电油烟净化器处理，处理达标后尾气引至</w:t>
            </w:r>
            <w:r>
              <w:rPr>
                <w:rFonts w:hint="default" w:ascii="Times New Roman" w:hAnsi="Times New Roman" w:eastAsia="宋体" w:cs="Times New Roman"/>
                <w:color w:val="auto"/>
                <w:sz w:val="21"/>
                <w:szCs w:val="21"/>
                <w:highlight w:val="none"/>
                <w:lang w:val="en-US" w:eastAsia="zh-CN"/>
              </w:rPr>
              <w:t>宿舍楼一层楼顶</w:t>
            </w:r>
            <w:r>
              <w:rPr>
                <w:rFonts w:hint="default" w:ascii="Times New Roman" w:hAnsi="Times New Roman" w:eastAsia="宋体" w:cs="Times New Roman"/>
                <w:color w:val="auto"/>
                <w:sz w:val="21"/>
                <w:szCs w:val="21"/>
                <w:highlight w:val="none"/>
                <w:lang w:eastAsia="zh-CN"/>
              </w:rPr>
              <w:t>排放（</w:t>
            </w:r>
            <w:r>
              <w:rPr>
                <w:rFonts w:hint="eastAsia" w:cs="Times New Roman"/>
                <w:color w:val="auto"/>
                <w:sz w:val="21"/>
                <w:szCs w:val="21"/>
                <w:highlight w:val="none"/>
                <w:lang w:eastAsia="zh-CN"/>
              </w:rPr>
              <w:t>DA00</w:t>
            </w:r>
            <w:r>
              <w:rPr>
                <w:rFonts w:hint="eastAsia"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eastAsia="zh-CN"/>
              </w:rPr>
              <w:t>）</w:t>
            </w:r>
          </w:p>
        </w:tc>
        <w:tc>
          <w:tcPr>
            <w:tcW w:w="2175" w:type="dxa"/>
            <w:shd w:val="clear" w:color="auto" w:fill="auto"/>
            <w:noWrap w:val="0"/>
            <w:vAlign w:val="center"/>
          </w:tcPr>
          <w:p w14:paraId="3F802AB3">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达到《饮食业油烟排放标准</w:t>
            </w:r>
            <w:r>
              <w:rPr>
                <w:rFonts w:hint="default" w:ascii="Times New Roman" w:hAnsi="Times New Roman" w:eastAsia="宋体" w:cs="Times New Roman"/>
                <w:color w:val="auto"/>
                <w:sz w:val="21"/>
                <w:szCs w:val="21"/>
                <w:highlight w:val="none"/>
                <w:lang w:eastAsia="zh-CN"/>
              </w:rPr>
              <w:t>（试行）》</w:t>
            </w:r>
            <w:r>
              <w:rPr>
                <w:rFonts w:hint="default" w:ascii="Times New Roman" w:hAnsi="Times New Roman" w:eastAsia="宋体" w:cs="Times New Roman"/>
                <w:color w:val="auto"/>
                <w:sz w:val="21"/>
                <w:szCs w:val="21"/>
                <w:highlight w:val="none"/>
              </w:rPr>
              <w:t>（GB18483-2001）</w:t>
            </w:r>
            <w:r>
              <w:rPr>
                <w:rFonts w:hint="default" w:ascii="Times New Roman" w:hAnsi="Times New Roman" w:eastAsia="宋体" w:cs="Times New Roman"/>
                <w:color w:val="auto"/>
                <w:sz w:val="21"/>
                <w:szCs w:val="21"/>
                <w:highlight w:val="none"/>
                <w:lang w:val="en-US" w:eastAsia="zh-CN"/>
              </w:rPr>
              <w:t>中型</w:t>
            </w:r>
            <w:r>
              <w:rPr>
                <w:rFonts w:hint="default" w:ascii="Times New Roman" w:hAnsi="Times New Roman" w:eastAsia="宋体" w:cs="Times New Roman"/>
                <w:color w:val="auto"/>
                <w:sz w:val="21"/>
                <w:szCs w:val="21"/>
                <w:highlight w:val="none"/>
              </w:rPr>
              <w:t>规模标准</w:t>
            </w:r>
          </w:p>
        </w:tc>
      </w:tr>
      <w:tr w14:paraId="6CD149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74820A24">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restart"/>
            <w:noWrap w:val="0"/>
            <w:vAlign w:val="center"/>
          </w:tcPr>
          <w:p w14:paraId="748A122E">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厂界</w:t>
            </w:r>
          </w:p>
        </w:tc>
        <w:tc>
          <w:tcPr>
            <w:tcW w:w="1560" w:type="dxa"/>
            <w:noWrap w:val="0"/>
            <w:vAlign w:val="center"/>
          </w:tcPr>
          <w:p w14:paraId="2B4E818F">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颗粒物</w:t>
            </w:r>
          </w:p>
        </w:tc>
        <w:tc>
          <w:tcPr>
            <w:tcW w:w="2085" w:type="dxa"/>
            <w:noWrap w:val="0"/>
            <w:vAlign w:val="center"/>
          </w:tcPr>
          <w:p w14:paraId="5E9CA07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eastAsia"/>
                <w:b w:val="0"/>
                <w:color w:val="auto"/>
                <w:szCs w:val="24"/>
                <w:lang w:val="en-US" w:eastAsia="zh-CN"/>
              </w:rPr>
              <w:t>喷粉线粉尘经“</w:t>
            </w:r>
            <w:r>
              <w:rPr>
                <w:b w:val="0"/>
                <w:color w:val="auto"/>
                <w:szCs w:val="24"/>
              </w:rPr>
              <w:t>密闭车间负压收集+大旋风+滤芯式二级回收系统</w:t>
            </w:r>
            <w:r>
              <w:rPr>
                <w:rFonts w:hint="eastAsia"/>
                <w:b w:val="0"/>
                <w:color w:val="auto"/>
                <w:szCs w:val="24"/>
                <w:lang w:eastAsia="zh-CN"/>
              </w:rPr>
              <w:t>”</w:t>
            </w:r>
            <w:r>
              <w:rPr>
                <w:rFonts w:hint="eastAsia"/>
                <w:b w:val="0"/>
                <w:color w:val="auto"/>
                <w:szCs w:val="24"/>
                <w:lang w:val="en-US" w:eastAsia="zh-CN"/>
              </w:rPr>
              <w:t>处理后无组织排放</w:t>
            </w:r>
            <w:r>
              <w:rPr>
                <w:rFonts w:hint="eastAsia"/>
                <w:b w:val="0"/>
                <w:color w:val="auto"/>
                <w:szCs w:val="24"/>
                <w:lang w:eastAsia="zh-CN"/>
              </w:rPr>
              <w:t>，</w:t>
            </w:r>
            <w:r>
              <w:rPr>
                <w:rFonts w:hint="default" w:ascii="Times New Roman" w:hAnsi="Times New Roman" w:eastAsia="宋体" w:cs="Times New Roman"/>
                <w:color w:val="auto"/>
                <w:sz w:val="21"/>
                <w:szCs w:val="21"/>
                <w:highlight w:val="none"/>
                <w:lang w:val="en-US" w:eastAsia="zh-CN"/>
              </w:rPr>
              <w:t>未被收集的切割</w:t>
            </w:r>
            <w:r>
              <w:rPr>
                <w:rFonts w:hint="default" w:ascii="Times New Roman" w:hAnsi="Times New Roman" w:eastAsia="宋体" w:cs="Times New Roman"/>
                <w:color w:val="auto"/>
                <w:sz w:val="21"/>
                <w:szCs w:val="21"/>
                <w:highlight w:val="none"/>
                <w:lang w:eastAsia="zh-CN"/>
              </w:rPr>
              <w:t>粉尘、</w:t>
            </w:r>
            <w:r>
              <w:rPr>
                <w:rFonts w:hint="default" w:ascii="Times New Roman" w:hAnsi="Times New Roman" w:eastAsia="宋体" w:cs="Times New Roman"/>
                <w:color w:val="auto"/>
                <w:kern w:val="2"/>
                <w:sz w:val="21"/>
                <w:szCs w:val="21"/>
                <w:highlight w:val="none"/>
              </w:rPr>
              <w:t>焊接烟尘</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抛光打磨粉尘于车间内无组织排放，并加强厂内通风</w:t>
            </w:r>
          </w:p>
        </w:tc>
        <w:tc>
          <w:tcPr>
            <w:tcW w:w="2175" w:type="dxa"/>
            <w:noWrap w:val="0"/>
            <w:vAlign w:val="center"/>
          </w:tcPr>
          <w:p w14:paraId="3C43936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广东省《大气污染物排放限值》（DB44/27-2001）第二时段无组织排放监控浓度限值</w:t>
            </w:r>
          </w:p>
        </w:tc>
      </w:tr>
      <w:tr w14:paraId="6A0759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59197A49">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32A2D5E8">
            <w:pPr>
              <w:adjustRightInd w:val="0"/>
              <w:snapToGrid w:val="0"/>
              <w:jc w:val="center"/>
              <w:rPr>
                <w:rFonts w:hint="default" w:ascii="Times New Roman" w:hAnsi="Times New Roman" w:eastAsia="宋体" w:cs="Times New Roman"/>
                <w:color w:val="auto"/>
                <w:sz w:val="21"/>
                <w:szCs w:val="21"/>
                <w:highlight w:val="none"/>
              </w:rPr>
            </w:pPr>
          </w:p>
        </w:tc>
        <w:tc>
          <w:tcPr>
            <w:tcW w:w="1560" w:type="dxa"/>
            <w:noWrap w:val="0"/>
            <w:vAlign w:val="center"/>
          </w:tcPr>
          <w:p w14:paraId="6BFC495C">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eastAsia="宋体"/>
                <w:color w:val="auto"/>
                <w:lang w:val="en-US" w:eastAsia="zh-CN"/>
              </w:rPr>
            </w:pPr>
            <w:r>
              <w:rPr>
                <w:rFonts w:hint="eastAsia"/>
                <w:color w:val="auto"/>
                <w:lang w:val="en-US" w:eastAsia="zh-CN"/>
              </w:rPr>
              <w:t>非甲烷总烃、苯系物、氟化物</w:t>
            </w:r>
          </w:p>
        </w:tc>
        <w:tc>
          <w:tcPr>
            <w:tcW w:w="2085" w:type="dxa"/>
            <w:noWrap w:val="0"/>
            <w:vAlign w:val="center"/>
          </w:tcPr>
          <w:p w14:paraId="1CDFA72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加强收集</w:t>
            </w:r>
            <w:r>
              <w:rPr>
                <w:rFonts w:hint="eastAsia" w:cs="Times New Roman"/>
                <w:color w:val="auto"/>
                <w:kern w:val="2"/>
                <w:sz w:val="21"/>
                <w:szCs w:val="21"/>
                <w:highlight w:val="none"/>
                <w:lang w:val="en-US" w:eastAsia="zh-CN" w:bidi="ar-SA"/>
              </w:rPr>
              <w:t>，或</w:t>
            </w:r>
            <w:r>
              <w:rPr>
                <w:rFonts w:hint="default" w:ascii="Times New Roman" w:hAnsi="Times New Roman" w:eastAsia="宋体" w:cs="Times New Roman"/>
                <w:color w:val="auto"/>
                <w:kern w:val="2"/>
                <w:sz w:val="21"/>
                <w:szCs w:val="21"/>
                <w:highlight w:val="none"/>
                <w:lang w:val="en-US" w:eastAsia="zh-CN" w:bidi="ar-SA"/>
              </w:rPr>
              <w:t>加强厂内通风</w:t>
            </w:r>
          </w:p>
        </w:tc>
        <w:tc>
          <w:tcPr>
            <w:tcW w:w="2175" w:type="dxa"/>
            <w:noWrap w:val="0"/>
            <w:vAlign w:val="center"/>
          </w:tcPr>
          <w:p w14:paraId="218E7DD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广东省《大气污染物排放限值》（DB44/27-2001）第二时段无组织排放监控浓度限值</w:t>
            </w:r>
          </w:p>
        </w:tc>
      </w:tr>
      <w:tr w14:paraId="4D9465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3BF1C2FE">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vMerge w:val="continue"/>
            <w:noWrap w:val="0"/>
            <w:vAlign w:val="center"/>
          </w:tcPr>
          <w:p w14:paraId="15019A8F">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1560" w:type="dxa"/>
            <w:noWrap w:val="0"/>
            <w:vAlign w:val="center"/>
          </w:tcPr>
          <w:p w14:paraId="3F80B1F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rPr>
              <w:t>臭气浓度、硫化氢、氨气</w:t>
            </w:r>
          </w:p>
        </w:tc>
        <w:tc>
          <w:tcPr>
            <w:tcW w:w="2085" w:type="dxa"/>
            <w:noWrap w:val="0"/>
            <w:vAlign w:val="center"/>
          </w:tcPr>
          <w:p w14:paraId="5A1FAD1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rPr>
              <w:t>采取加盖密闭、加强通风</w:t>
            </w:r>
          </w:p>
        </w:tc>
        <w:tc>
          <w:tcPr>
            <w:tcW w:w="2175" w:type="dxa"/>
            <w:noWrap w:val="0"/>
            <w:vAlign w:val="center"/>
          </w:tcPr>
          <w:p w14:paraId="6CD81BB3">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《恶臭污染物排放标准》(GB14554-93)表1二级标准中“新改扩建”限值要求</w:t>
            </w:r>
          </w:p>
        </w:tc>
      </w:tr>
      <w:tr w14:paraId="0D588D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vMerge w:val="continue"/>
            <w:noWrap w:val="0"/>
            <w:vAlign w:val="center"/>
          </w:tcPr>
          <w:p w14:paraId="59380422">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noWrap w:val="0"/>
            <w:vAlign w:val="center"/>
          </w:tcPr>
          <w:p w14:paraId="628FF73F">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厂区内</w:t>
            </w:r>
          </w:p>
        </w:tc>
        <w:tc>
          <w:tcPr>
            <w:tcW w:w="1560" w:type="dxa"/>
            <w:noWrap w:val="0"/>
            <w:vAlign w:val="center"/>
          </w:tcPr>
          <w:p w14:paraId="63CAB3F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rPr>
              <w:t>NMHC</w:t>
            </w:r>
          </w:p>
        </w:tc>
        <w:tc>
          <w:tcPr>
            <w:tcW w:w="2085" w:type="dxa"/>
            <w:noWrap w:val="0"/>
            <w:vAlign w:val="center"/>
          </w:tcPr>
          <w:p w14:paraId="56F641BD">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rPr>
            </w:pPr>
            <w:r>
              <w:rPr>
                <w:rFonts w:hint="eastAsia" w:ascii="Times New Roman" w:hAnsi="Times New Roman" w:eastAsia="宋体" w:cs="Times New Roman"/>
                <w:color w:val="auto"/>
                <w:sz w:val="21"/>
                <w:szCs w:val="21"/>
                <w:highlight w:val="none"/>
                <w:lang w:val="en-US" w:eastAsia="zh-CN"/>
              </w:rPr>
              <w:t>加强收集</w:t>
            </w:r>
          </w:p>
        </w:tc>
        <w:tc>
          <w:tcPr>
            <w:tcW w:w="2175" w:type="dxa"/>
            <w:noWrap w:val="0"/>
            <w:vAlign w:val="center"/>
          </w:tcPr>
          <w:p w14:paraId="2503B38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《固定污染源挥发性有机物综合排放标准》（DB44/2367-2022）表3厂区内VOCs 无组织排放限值要求</w:t>
            </w:r>
          </w:p>
        </w:tc>
      </w:tr>
      <w:tr w14:paraId="45886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63" w:hRule="atLeast"/>
          <w:jc w:val="center"/>
        </w:trPr>
        <w:tc>
          <w:tcPr>
            <w:tcW w:w="1523" w:type="dxa"/>
            <w:vMerge w:val="restart"/>
            <w:noWrap w:val="0"/>
            <w:vAlign w:val="center"/>
          </w:tcPr>
          <w:p w14:paraId="6F9579E3">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地表水环境</w:t>
            </w:r>
          </w:p>
        </w:tc>
        <w:tc>
          <w:tcPr>
            <w:tcW w:w="1457" w:type="dxa"/>
            <w:gridSpan w:val="2"/>
            <w:noWrap w:val="0"/>
            <w:vAlign w:val="center"/>
          </w:tcPr>
          <w:p w14:paraId="1FAD6AD2">
            <w:pPr>
              <w:adjustRightInd w:val="0"/>
              <w:snapToGrid w:val="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DW001生活污水排放口</w:t>
            </w:r>
          </w:p>
        </w:tc>
        <w:tc>
          <w:tcPr>
            <w:tcW w:w="1560" w:type="dxa"/>
            <w:noWrap w:val="0"/>
            <w:vAlign w:val="center"/>
          </w:tcPr>
          <w:p w14:paraId="06BFC93E">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pH、COD</w:t>
            </w:r>
            <w:r>
              <w:rPr>
                <w:rFonts w:hint="default" w:ascii="Times New Roman" w:hAnsi="Times New Roman" w:eastAsia="宋体" w:cs="Times New Roman"/>
                <w:color w:val="auto"/>
                <w:kern w:val="2"/>
                <w:sz w:val="21"/>
                <w:szCs w:val="21"/>
                <w:highlight w:val="none"/>
                <w:vertAlign w:val="subscript"/>
              </w:rPr>
              <w:t>Cr</w:t>
            </w:r>
            <w:r>
              <w:rPr>
                <w:rFonts w:hint="default" w:ascii="Times New Roman" w:hAnsi="Times New Roman" w:eastAsia="宋体" w:cs="Times New Roman"/>
                <w:color w:val="auto"/>
                <w:kern w:val="2"/>
                <w:sz w:val="21"/>
                <w:szCs w:val="21"/>
                <w:highlight w:val="none"/>
              </w:rPr>
              <w:t>、BOD</w:t>
            </w:r>
            <w:r>
              <w:rPr>
                <w:rFonts w:hint="default" w:ascii="Times New Roman" w:hAnsi="Times New Roman" w:eastAsia="宋体" w:cs="Times New Roman"/>
                <w:color w:val="auto"/>
                <w:kern w:val="2"/>
                <w:sz w:val="21"/>
                <w:szCs w:val="21"/>
                <w:highlight w:val="none"/>
                <w:vertAlign w:val="subscript"/>
              </w:rPr>
              <w:t>5</w:t>
            </w:r>
            <w:r>
              <w:rPr>
                <w:rFonts w:hint="default" w:ascii="Times New Roman" w:hAnsi="Times New Roman" w:eastAsia="宋体" w:cs="Times New Roman"/>
                <w:color w:val="auto"/>
                <w:kern w:val="2"/>
                <w:sz w:val="21"/>
                <w:szCs w:val="21"/>
                <w:highlight w:val="none"/>
              </w:rPr>
              <w:t>、SS、氨氮</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lang w:val="en-US" w:eastAsia="zh-CN"/>
              </w:rPr>
              <w:t>总磷、动植物油</w:t>
            </w:r>
          </w:p>
        </w:tc>
        <w:tc>
          <w:tcPr>
            <w:tcW w:w="2085" w:type="dxa"/>
            <w:noWrap w:val="0"/>
            <w:vAlign w:val="center"/>
          </w:tcPr>
          <w:p w14:paraId="6469FFC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生活污水经三级化粪池</w:t>
            </w:r>
            <w:r>
              <w:rPr>
                <w:rFonts w:hint="default" w:ascii="Times New Roman" w:hAnsi="Times New Roman" w:eastAsia="宋体" w:cs="Times New Roman"/>
                <w:color w:val="auto"/>
                <w:kern w:val="2"/>
                <w:sz w:val="21"/>
                <w:szCs w:val="21"/>
                <w:highlight w:val="none"/>
                <w:lang w:val="en-US" w:eastAsia="zh-CN"/>
              </w:rPr>
              <w:t>+隔油隔渣池</w:t>
            </w:r>
            <w:r>
              <w:rPr>
                <w:rFonts w:hint="default" w:ascii="Times New Roman" w:hAnsi="Times New Roman" w:eastAsia="宋体" w:cs="Times New Roman"/>
                <w:color w:val="auto"/>
                <w:kern w:val="2"/>
                <w:sz w:val="21"/>
                <w:szCs w:val="21"/>
                <w:highlight w:val="none"/>
              </w:rPr>
              <w:t>处理后，经园区污水管网排入园区污水处理厂进一步处理后，排入武江</w:t>
            </w:r>
          </w:p>
        </w:tc>
        <w:tc>
          <w:tcPr>
            <w:tcW w:w="2175" w:type="dxa"/>
            <w:noWrap w:val="0"/>
            <w:vAlign w:val="center"/>
          </w:tcPr>
          <w:p w14:paraId="08EEE1A4">
            <w:pPr>
              <w:pStyle w:val="25"/>
              <w:keepNext w:val="0"/>
              <w:keepLines w:val="0"/>
              <w:pageBreakBefore w:val="0"/>
              <w:suppressLineNumbers w:val="0"/>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广东省《水污染物排放限值》（DB44/26-2001）第二时段三级标准及园区污水处理厂接管水质要求两者较严值要求</w:t>
            </w:r>
          </w:p>
        </w:tc>
      </w:tr>
      <w:tr w14:paraId="081BA6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523" w:type="dxa"/>
            <w:vMerge w:val="continue"/>
            <w:noWrap w:val="0"/>
            <w:vAlign w:val="center"/>
          </w:tcPr>
          <w:p w14:paraId="0F898EC2">
            <w:pPr>
              <w:adjustRightInd w:val="0"/>
              <w:snapToGrid w:val="0"/>
              <w:jc w:val="center"/>
              <w:rPr>
                <w:rFonts w:hint="default" w:ascii="Times New Roman" w:hAnsi="Times New Roman" w:eastAsia="宋体" w:cs="Times New Roman"/>
                <w:color w:val="auto"/>
                <w:sz w:val="21"/>
                <w:szCs w:val="21"/>
                <w:highlight w:val="none"/>
              </w:rPr>
            </w:pPr>
          </w:p>
        </w:tc>
        <w:tc>
          <w:tcPr>
            <w:tcW w:w="1457" w:type="dxa"/>
            <w:gridSpan w:val="2"/>
            <w:noWrap w:val="0"/>
            <w:vAlign w:val="center"/>
          </w:tcPr>
          <w:p w14:paraId="239377F7">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DW002生产废水排放口</w:t>
            </w:r>
          </w:p>
        </w:tc>
        <w:tc>
          <w:tcPr>
            <w:tcW w:w="1560" w:type="dxa"/>
            <w:noWrap w:val="0"/>
            <w:vAlign w:val="center"/>
          </w:tcPr>
          <w:p w14:paraId="248F0CF7">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rPr>
            </w:pPr>
            <w:r>
              <w:rPr>
                <w:rFonts w:hint="default" w:ascii="Times New Roman" w:hAnsi="Times New Roman" w:eastAsia="宋体" w:cs="Times New Roman"/>
                <w:color w:val="auto"/>
                <w:kern w:val="2"/>
                <w:sz w:val="21"/>
                <w:szCs w:val="21"/>
                <w:highlight w:val="none"/>
              </w:rPr>
              <w:t>pH、COD</w:t>
            </w:r>
            <w:r>
              <w:rPr>
                <w:rFonts w:hint="default" w:ascii="Times New Roman" w:hAnsi="Times New Roman" w:eastAsia="宋体" w:cs="Times New Roman"/>
                <w:color w:val="auto"/>
                <w:kern w:val="2"/>
                <w:sz w:val="21"/>
                <w:szCs w:val="21"/>
                <w:highlight w:val="none"/>
                <w:vertAlign w:val="subscript"/>
              </w:rPr>
              <w:t>Cr</w:t>
            </w:r>
            <w:r>
              <w:rPr>
                <w:rFonts w:hint="default" w:ascii="Times New Roman" w:hAnsi="Times New Roman" w:eastAsia="宋体" w:cs="Times New Roman"/>
                <w:color w:val="auto"/>
                <w:kern w:val="2"/>
                <w:sz w:val="21"/>
                <w:szCs w:val="21"/>
                <w:highlight w:val="none"/>
              </w:rPr>
              <w:t>、</w:t>
            </w:r>
            <w:r>
              <w:rPr>
                <w:rFonts w:hint="default" w:ascii="Times New Roman" w:hAnsi="Times New Roman" w:eastAsia="宋体" w:cs="Times New Roman"/>
                <w:color w:val="auto"/>
                <w:sz w:val="21"/>
                <w:szCs w:val="21"/>
                <w:highlight w:val="none"/>
                <w:lang w:val="en-US" w:eastAsia="zh-CN"/>
              </w:rPr>
              <w:t>BOD</w:t>
            </w:r>
            <w:r>
              <w:rPr>
                <w:rFonts w:hint="default" w:ascii="Times New Roman" w:hAnsi="Times New Roman" w:eastAsia="宋体" w:cs="Times New Roman"/>
                <w:color w:val="auto"/>
                <w:sz w:val="21"/>
                <w:szCs w:val="21"/>
                <w:highlight w:val="none"/>
                <w:vertAlign w:val="subscript"/>
                <w:lang w:val="en-US" w:eastAsia="zh-CN"/>
              </w:rPr>
              <w:t>5</w:t>
            </w:r>
            <w:r>
              <w:rPr>
                <w:rFonts w:hint="default" w:ascii="Times New Roman" w:hAnsi="Times New Roman" w:eastAsia="宋体" w:cs="Times New Roman"/>
                <w:color w:val="auto"/>
                <w:sz w:val="21"/>
                <w:szCs w:val="21"/>
                <w:highlight w:val="none"/>
                <w:lang w:val="en-US" w:eastAsia="zh-CN"/>
              </w:rPr>
              <w:t>、NH</w:t>
            </w:r>
            <w:r>
              <w:rPr>
                <w:rFonts w:hint="default" w:ascii="Times New Roman" w:hAnsi="Times New Roman" w:eastAsia="宋体" w:cs="Times New Roman"/>
                <w:color w:val="auto"/>
                <w:sz w:val="21"/>
                <w:szCs w:val="21"/>
                <w:highlight w:val="none"/>
                <w:vertAlign w:val="subscript"/>
                <w:lang w:val="en-US" w:eastAsia="zh-CN"/>
              </w:rPr>
              <w:t>3</w:t>
            </w:r>
            <w:r>
              <w:rPr>
                <w:rFonts w:hint="default" w:ascii="Times New Roman" w:hAnsi="Times New Roman" w:eastAsia="宋体" w:cs="Times New Roman"/>
                <w:color w:val="auto"/>
                <w:sz w:val="21"/>
                <w:szCs w:val="21"/>
                <w:highlight w:val="none"/>
                <w:lang w:val="en-US" w:eastAsia="zh-CN"/>
              </w:rPr>
              <w:t>-N、</w:t>
            </w:r>
            <w:r>
              <w:rPr>
                <w:rFonts w:hint="default" w:ascii="Times New Roman" w:hAnsi="Times New Roman" w:eastAsia="宋体" w:cs="Times New Roman"/>
                <w:color w:val="auto"/>
                <w:kern w:val="2"/>
                <w:sz w:val="21"/>
                <w:szCs w:val="21"/>
                <w:highlight w:val="none"/>
              </w:rPr>
              <w:t>SS、石油类、阴离子表面活性剂、氟化物</w:t>
            </w:r>
            <w:r>
              <w:rPr>
                <w:rFonts w:hint="eastAsia" w:ascii="Times New Roman" w:hAnsi="Times New Roman" w:cs="Times New Roman"/>
                <w:color w:val="auto"/>
                <w:kern w:val="2"/>
                <w:sz w:val="21"/>
                <w:szCs w:val="21"/>
                <w:highlight w:val="none"/>
                <w:lang w:val="en-US" w:eastAsia="zh-CN"/>
              </w:rPr>
              <w:t>、总铝、TP、TN</w:t>
            </w:r>
          </w:p>
        </w:tc>
        <w:tc>
          <w:tcPr>
            <w:tcW w:w="2085" w:type="dxa"/>
            <w:noWrap w:val="0"/>
            <w:vAlign w:val="center"/>
          </w:tcPr>
          <w:p w14:paraId="7B10A3D5">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外排生产废水经企业自建污水处理站处理后，经园区污水管网排入园区污水处理厂进一步处理后，排入武江</w:t>
            </w:r>
          </w:p>
        </w:tc>
        <w:tc>
          <w:tcPr>
            <w:tcW w:w="2175" w:type="dxa"/>
            <w:noWrap w:val="0"/>
            <w:vAlign w:val="center"/>
          </w:tcPr>
          <w:p w14:paraId="3B695BFC">
            <w:pPr>
              <w:pStyle w:val="25"/>
              <w:keepNext w:val="0"/>
              <w:keepLines w:val="0"/>
              <w:pageBreakBefore w:val="0"/>
              <w:suppressLineNumbers w:val="0"/>
              <w:kinsoku/>
              <w:overflowPunct/>
              <w:topLinePunct w:val="0"/>
              <w:bidi w:val="0"/>
              <w:snapToGrid/>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园区污水处理厂接管水质要求、广东省《水污染物排放限值》（</w:t>
            </w:r>
            <w:r>
              <w:rPr>
                <w:rFonts w:hint="default" w:ascii="Times New Roman" w:hAnsi="Times New Roman" w:eastAsia="宋体" w:cs="Times New Roman"/>
                <w:i w:val="0"/>
                <w:iCs w:val="0"/>
                <w:color w:val="auto"/>
                <w:kern w:val="0"/>
                <w:sz w:val="21"/>
                <w:szCs w:val="21"/>
                <w:u w:val="none"/>
                <w:lang w:val="en-US" w:eastAsia="zh-CN" w:bidi="ar"/>
              </w:rPr>
              <w:t>DB44/26-2001</w:t>
            </w:r>
            <w:r>
              <w:rPr>
                <w:rFonts w:hint="eastAsia" w:ascii="宋体" w:hAnsi="宋体" w:eastAsia="宋体" w:cs="宋体"/>
                <w:i w:val="0"/>
                <w:iCs w:val="0"/>
                <w:color w:val="auto"/>
                <w:kern w:val="0"/>
                <w:sz w:val="21"/>
                <w:szCs w:val="21"/>
                <w:u w:val="none"/>
                <w:lang w:val="en-US" w:eastAsia="zh-CN" w:bidi="ar"/>
              </w:rPr>
              <w:t>）第二时段三级标准以及《电镀水污染物排放标准》（</w:t>
            </w:r>
            <w:r>
              <w:rPr>
                <w:rFonts w:hint="default" w:ascii="Times New Roman" w:hAnsi="Times New Roman" w:eastAsia="宋体" w:cs="Times New Roman"/>
                <w:i w:val="0"/>
                <w:iCs w:val="0"/>
                <w:color w:val="auto"/>
                <w:kern w:val="0"/>
                <w:sz w:val="21"/>
                <w:szCs w:val="21"/>
                <w:u w:val="none"/>
                <w:lang w:val="en-US" w:eastAsia="zh-CN" w:bidi="ar"/>
              </w:rPr>
              <w:t>DB44/1597-2015</w:t>
            </w: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表1现有项目水污染物非珠三角排放限值200%（其中总铝按表2新建项目水污染物排放限值-非珠三角地区执行）</w:t>
            </w:r>
            <w:r>
              <w:rPr>
                <w:rFonts w:hint="eastAsia" w:ascii="宋体" w:hAnsi="宋体" w:eastAsia="宋体" w:cs="宋体"/>
                <w:i w:val="0"/>
                <w:iCs w:val="0"/>
                <w:color w:val="auto"/>
                <w:kern w:val="0"/>
                <w:sz w:val="21"/>
                <w:szCs w:val="21"/>
                <w:u w:val="none"/>
                <w:lang w:val="en-US" w:eastAsia="zh-CN" w:bidi="ar"/>
              </w:rPr>
              <w:t>三者较严值要求</w:t>
            </w:r>
          </w:p>
        </w:tc>
      </w:tr>
      <w:tr w14:paraId="7F2178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2E262444">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声环境</w:t>
            </w:r>
          </w:p>
        </w:tc>
        <w:tc>
          <w:tcPr>
            <w:tcW w:w="487" w:type="dxa"/>
            <w:tcBorders>
              <w:right w:val="single" w:color="000000" w:sz="4" w:space="0"/>
            </w:tcBorders>
            <w:noWrap w:val="0"/>
            <w:vAlign w:val="center"/>
          </w:tcPr>
          <w:p w14:paraId="0C254289">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营运期</w:t>
            </w:r>
          </w:p>
        </w:tc>
        <w:tc>
          <w:tcPr>
            <w:tcW w:w="970" w:type="dxa"/>
            <w:tcBorders>
              <w:left w:val="single" w:color="000000" w:sz="4" w:space="0"/>
            </w:tcBorders>
            <w:noWrap w:val="0"/>
            <w:vAlign w:val="center"/>
          </w:tcPr>
          <w:p w14:paraId="21E81779">
            <w:pPr>
              <w:jc w:val="center"/>
              <w:rPr>
                <w:rFonts w:hint="default" w:ascii="Times New Roman" w:hAnsi="Times New Roman" w:eastAsia="宋体" w:cs="Times New Roman"/>
                <w:bCs/>
                <w:color w:val="auto"/>
                <w:kern w:val="2"/>
                <w:sz w:val="21"/>
                <w:szCs w:val="21"/>
                <w:highlight w:val="none"/>
                <w:lang w:val="en-US" w:eastAsia="zh-CN" w:bidi="ar-SA"/>
              </w:rPr>
            </w:pPr>
            <w:r>
              <w:rPr>
                <w:rFonts w:hint="default" w:ascii="Times New Roman" w:hAnsi="Times New Roman" w:eastAsia="宋体" w:cs="Times New Roman"/>
                <w:bCs/>
                <w:color w:val="auto"/>
                <w:sz w:val="21"/>
                <w:szCs w:val="21"/>
                <w:highlight w:val="none"/>
              </w:rPr>
              <w:t>生产设备</w:t>
            </w:r>
          </w:p>
        </w:tc>
        <w:tc>
          <w:tcPr>
            <w:tcW w:w="1560" w:type="dxa"/>
            <w:noWrap w:val="0"/>
            <w:vAlign w:val="center"/>
          </w:tcPr>
          <w:p w14:paraId="3E517BC8">
            <w:pPr>
              <w:spacing w:line="360" w:lineRule="exact"/>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噪声</w:t>
            </w:r>
          </w:p>
        </w:tc>
        <w:tc>
          <w:tcPr>
            <w:tcW w:w="2085" w:type="dxa"/>
            <w:noWrap w:val="0"/>
            <w:vAlign w:val="center"/>
          </w:tcPr>
          <w:p w14:paraId="6CF39244">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选用低噪声设备，并采取隔声、减振、消声等降噪措施</w:t>
            </w:r>
          </w:p>
        </w:tc>
        <w:tc>
          <w:tcPr>
            <w:tcW w:w="2175" w:type="dxa"/>
            <w:noWrap w:val="0"/>
            <w:vAlign w:val="center"/>
          </w:tcPr>
          <w:p w14:paraId="40588A5F">
            <w:pPr>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厂界西、北执行</w:t>
            </w:r>
            <w:r>
              <w:rPr>
                <w:rFonts w:hint="default" w:ascii="Times New Roman" w:hAnsi="Times New Roman" w:eastAsia="宋体" w:cs="Times New Roman"/>
                <w:color w:val="auto"/>
                <w:sz w:val="21"/>
                <w:szCs w:val="21"/>
                <w:highlight w:val="none"/>
              </w:rPr>
              <w:t>《工业企业厂界环境噪声排放标准》（GB 12348-2008）</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类</w:t>
            </w:r>
            <w:r>
              <w:rPr>
                <w:rFonts w:hint="eastAsia" w:cs="Times New Roman"/>
                <w:color w:val="auto"/>
                <w:sz w:val="21"/>
                <w:szCs w:val="21"/>
                <w:highlight w:val="none"/>
                <w:lang w:val="en-US" w:eastAsia="zh-CN"/>
              </w:rPr>
              <w:t>，东、南厂界执行</w:t>
            </w:r>
            <w:r>
              <w:rPr>
                <w:rFonts w:hint="default" w:ascii="Times New Roman" w:hAnsi="Times New Roman" w:eastAsia="宋体" w:cs="Times New Roman"/>
                <w:color w:val="auto"/>
                <w:sz w:val="21"/>
                <w:szCs w:val="21"/>
                <w:highlight w:val="none"/>
                <w:lang w:val="en-US" w:eastAsia="zh-CN"/>
              </w:rPr>
              <w:t>4</w:t>
            </w:r>
            <w:r>
              <w:rPr>
                <w:rFonts w:hint="eastAsia" w:cs="Times New Roman"/>
                <w:color w:val="auto"/>
                <w:sz w:val="21"/>
                <w:szCs w:val="21"/>
                <w:highlight w:val="none"/>
                <w:lang w:val="en-US" w:eastAsia="zh-CN"/>
              </w:rPr>
              <w:t>a</w:t>
            </w:r>
            <w:r>
              <w:rPr>
                <w:rFonts w:hint="default" w:ascii="Times New Roman" w:hAnsi="Times New Roman" w:eastAsia="宋体" w:cs="Times New Roman"/>
                <w:color w:val="auto"/>
                <w:sz w:val="21"/>
                <w:szCs w:val="21"/>
                <w:highlight w:val="none"/>
                <w:lang w:val="en-US" w:eastAsia="zh-CN"/>
              </w:rPr>
              <w:t>类</w:t>
            </w:r>
            <w:r>
              <w:rPr>
                <w:rFonts w:hint="default" w:ascii="Times New Roman" w:hAnsi="Times New Roman" w:eastAsia="宋体" w:cs="Times New Roman"/>
                <w:color w:val="auto"/>
                <w:sz w:val="21"/>
                <w:szCs w:val="21"/>
                <w:highlight w:val="none"/>
              </w:rPr>
              <w:t>标准</w:t>
            </w:r>
          </w:p>
        </w:tc>
      </w:tr>
      <w:tr w14:paraId="0E0BCB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523" w:type="dxa"/>
            <w:noWrap w:val="0"/>
            <w:vAlign w:val="center"/>
          </w:tcPr>
          <w:p w14:paraId="521BD5C5">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电磁辐射</w:t>
            </w:r>
          </w:p>
        </w:tc>
        <w:tc>
          <w:tcPr>
            <w:tcW w:w="1457" w:type="dxa"/>
            <w:gridSpan w:val="2"/>
            <w:noWrap w:val="0"/>
            <w:vAlign w:val="center"/>
          </w:tcPr>
          <w:p w14:paraId="669A62D1">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1560" w:type="dxa"/>
            <w:noWrap w:val="0"/>
            <w:vAlign w:val="center"/>
          </w:tcPr>
          <w:p w14:paraId="3E2BE855">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085" w:type="dxa"/>
            <w:noWrap w:val="0"/>
            <w:vAlign w:val="center"/>
          </w:tcPr>
          <w:p w14:paraId="14E7B232">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c>
          <w:tcPr>
            <w:tcW w:w="2175" w:type="dxa"/>
            <w:noWrap w:val="0"/>
            <w:vAlign w:val="center"/>
          </w:tcPr>
          <w:p w14:paraId="1092772C">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p>
        </w:tc>
      </w:tr>
      <w:tr w14:paraId="367F3D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41B50FD4">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7277" w:type="dxa"/>
            <w:gridSpan w:val="5"/>
            <w:noWrap w:val="0"/>
            <w:vAlign w:val="center"/>
          </w:tcPr>
          <w:p w14:paraId="40CEE5F6">
            <w:pPr>
              <w:pStyle w:val="43"/>
              <w:keepNext w:val="0"/>
              <w:keepLines w:val="0"/>
              <w:pageBreakBefore w:val="0"/>
              <w:widowControl w:val="0"/>
              <w:kinsoku/>
              <w:wordWrap/>
              <w:overflowPunct/>
              <w:topLinePunct w:val="0"/>
              <w:autoSpaceDE/>
              <w:autoSpaceDN/>
              <w:bidi w:val="0"/>
              <w:adjustRightInd/>
              <w:snapToGrid/>
              <w:spacing w:after="0" w:line="120" w:lineRule="auto"/>
              <w:ind w:firstLine="420" w:firstLineChars="200"/>
              <w:textAlignment w:val="auto"/>
              <w:rPr>
                <w:rFonts w:hint="default" w:ascii="Times New Roman" w:hAnsi="Times New Roman" w:eastAsia="宋体" w:cs="Times New Roman"/>
                <w:color w:val="auto"/>
                <w:sz w:val="21"/>
                <w:szCs w:val="21"/>
                <w:highlight w:val="none"/>
              </w:rPr>
            </w:pPr>
          </w:p>
          <w:p w14:paraId="7DD20B06">
            <w:pPr>
              <w:pStyle w:val="43"/>
              <w:spacing w:after="0" w:line="360" w:lineRule="auto"/>
              <w:ind w:firstLine="420" w:firstLineChars="200"/>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一般工业固体废物：在厂区内采用库房贮存，贮存过程满足相应防渗漏、防雨淋、防扬尘等环境保护要求；</w:t>
            </w:r>
          </w:p>
          <w:p w14:paraId="02C2F668">
            <w:pPr>
              <w:pStyle w:val="43"/>
              <w:spacing w:after="0" w:line="360" w:lineRule="auto"/>
              <w:ind w:firstLine="420" w:firstLineChars="200"/>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危险废物：执行《危险废物贮存污染控制标准》（GB18597-2023）和《危险废物收集贮存运输技术规范》（HJ 2025-2012）。</w:t>
            </w:r>
          </w:p>
        </w:tc>
      </w:tr>
      <w:tr w14:paraId="771375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54F3B422">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土壤及地下水污染防治措施</w:t>
            </w:r>
          </w:p>
        </w:tc>
        <w:tc>
          <w:tcPr>
            <w:tcW w:w="7277" w:type="dxa"/>
            <w:gridSpan w:val="5"/>
            <w:noWrap w:val="0"/>
            <w:vAlign w:val="center"/>
          </w:tcPr>
          <w:p w14:paraId="693EF214">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360" w:lineRule="auto"/>
              <w:ind w:left="0" w:leftChars="0" w:right="0" w:rightChars="0"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厂区地面已全部硬化，危废间在建筑物内部，达到防风防雨防晒要求，地面硬化良好并刷环氧树脂漆防渗，四周设置围堰，满足四防要求。对预处理生产车间</w:t>
            </w:r>
            <w:r>
              <w:rPr>
                <w:rFonts w:hint="default" w:ascii="Times New Roman" w:hAnsi="Times New Roman" w:eastAsia="宋体" w:cs="Times New Roman"/>
                <w:color w:val="auto"/>
                <w:kern w:val="2"/>
                <w:sz w:val="21"/>
                <w:szCs w:val="21"/>
                <w:highlight w:val="none"/>
                <w:lang w:val="en-US" w:eastAsia="zh-CN"/>
              </w:rPr>
              <w:t>、化学品仓库、</w:t>
            </w:r>
            <w:r>
              <w:rPr>
                <w:rFonts w:hint="eastAsia" w:ascii="Times New Roman" w:hAnsi="Times New Roman" w:cs="Times New Roman"/>
                <w:color w:val="auto"/>
                <w:kern w:val="2"/>
                <w:sz w:val="21"/>
                <w:szCs w:val="21"/>
                <w:highlight w:val="none"/>
                <w:lang w:val="en-US" w:eastAsia="zh-CN"/>
              </w:rPr>
              <w:t>危险废物贮存间</w:t>
            </w:r>
            <w:r>
              <w:rPr>
                <w:rFonts w:hint="default" w:ascii="Times New Roman" w:hAnsi="Times New Roman" w:eastAsia="宋体" w:cs="Times New Roman"/>
                <w:color w:val="auto"/>
                <w:kern w:val="2"/>
                <w:sz w:val="21"/>
                <w:szCs w:val="21"/>
                <w:highlight w:val="none"/>
                <w:lang w:val="en-US" w:eastAsia="zh-CN"/>
              </w:rPr>
              <w:t>、</w:t>
            </w:r>
            <w:r>
              <w:rPr>
                <w:rFonts w:hint="default" w:ascii="Times New Roman" w:hAnsi="Times New Roman" w:eastAsia="宋体" w:cs="Times New Roman"/>
                <w:color w:val="auto"/>
                <w:kern w:val="2"/>
                <w:sz w:val="21"/>
                <w:szCs w:val="21"/>
                <w:highlight w:val="none"/>
              </w:rPr>
              <w:t>废水处理站进行</w:t>
            </w:r>
            <w:r>
              <w:rPr>
                <w:rFonts w:hint="eastAsia" w:ascii="Times New Roman" w:hAnsi="Times New Roman" w:cs="Times New Roman"/>
                <w:color w:val="auto"/>
                <w:kern w:val="2"/>
                <w:sz w:val="21"/>
                <w:szCs w:val="21"/>
                <w:highlight w:val="none"/>
                <w:lang w:val="en-US" w:eastAsia="zh-CN"/>
              </w:rPr>
              <w:t>重点</w:t>
            </w:r>
            <w:r>
              <w:rPr>
                <w:rFonts w:hint="default" w:ascii="Times New Roman" w:hAnsi="Times New Roman" w:eastAsia="宋体" w:cs="Times New Roman"/>
                <w:color w:val="auto"/>
                <w:kern w:val="2"/>
                <w:sz w:val="21"/>
                <w:szCs w:val="21"/>
                <w:highlight w:val="none"/>
              </w:rPr>
              <w:t>防渗处理，防渗要求按照等效黏土防渗层Mb≥1.5m，K≤1×10</w:t>
            </w:r>
            <w:r>
              <w:rPr>
                <w:rFonts w:hint="default" w:ascii="Times New Roman" w:hAnsi="Times New Roman" w:eastAsia="宋体" w:cs="Times New Roman"/>
                <w:color w:val="auto"/>
                <w:kern w:val="2"/>
                <w:sz w:val="21"/>
                <w:szCs w:val="21"/>
                <w:highlight w:val="none"/>
                <w:vertAlign w:val="superscript"/>
              </w:rPr>
              <w:t>-7</w:t>
            </w:r>
            <w:r>
              <w:rPr>
                <w:rFonts w:hint="default" w:ascii="Times New Roman" w:hAnsi="Times New Roman" w:eastAsia="宋体" w:cs="Times New Roman"/>
                <w:color w:val="auto"/>
                <w:kern w:val="2"/>
                <w:sz w:val="21"/>
                <w:szCs w:val="21"/>
                <w:highlight w:val="none"/>
              </w:rPr>
              <w:t>cm/s或参照GB</w:t>
            </w:r>
            <w:r>
              <w:rPr>
                <w:rFonts w:hint="eastAsia" w:ascii="Times New Roman" w:hAnsi="Times New Roman" w:cs="Times New Roman"/>
                <w:color w:val="auto"/>
                <w:kern w:val="2"/>
                <w:sz w:val="21"/>
                <w:szCs w:val="21"/>
                <w:highlight w:val="none"/>
                <w:lang w:val="en-US" w:eastAsia="zh-CN"/>
              </w:rPr>
              <w:t>18597</w:t>
            </w:r>
            <w:r>
              <w:rPr>
                <w:rFonts w:hint="default" w:ascii="Times New Roman" w:hAnsi="Times New Roman" w:eastAsia="宋体" w:cs="Times New Roman"/>
                <w:color w:val="auto"/>
                <w:kern w:val="2"/>
                <w:sz w:val="21"/>
                <w:szCs w:val="21"/>
                <w:highlight w:val="none"/>
              </w:rPr>
              <w:t>执行。</w:t>
            </w:r>
          </w:p>
        </w:tc>
      </w:tr>
      <w:tr w14:paraId="0A584A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5C916EAC">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生态保护措施</w:t>
            </w:r>
          </w:p>
        </w:tc>
        <w:tc>
          <w:tcPr>
            <w:tcW w:w="7277" w:type="dxa"/>
            <w:gridSpan w:val="5"/>
            <w:noWrap w:val="0"/>
            <w:vAlign w:val="center"/>
          </w:tcPr>
          <w:p w14:paraId="04EF5599">
            <w:pPr>
              <w:pStyle w:val="109"/>
              <w:keepNext w:val="0"/>
              <w:keepLines w:val="0"/>
              <w:pageBreakBefore w:val="0"/>
              <w:widowControl/>
              <w:suppressLineNumbers w:val="0"/>
              <w:tabs>
                <w:tab w:val="left" w:pos="-2848"/>
              </w:tabs>
              <w:kinsoku/>
              <w:overflowPunct/>
              <w:topLinePunct w:val="0"/>
              <w:bidi w:val="0"/>
              <w:snapToGrid/>
              <w:spacing w:before="0" w:beforeAutospacing="0" w:after="0" w:afterAutospacing="0" w:line="360" w:lineRule="auto"/>
              <w:ind w:left="0" w:leftChars="0" w:right="0" w:rightChars="0" w:firstLine="420" w:firstLineChars="200"/>
              <w:jc w:val="both"/>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kern w:val="2"/>
                <w:sz w:val="21"/>
                <w:szCs w:val="21"/>
                <w:highlight w:val="none"/>
              </w:rPr>
              <w:t>厂房已建设安装完成，选址四周主要为厂房，不存在建设期间的生态影响。项目营运中产生的污染物通过采取以上环境保护治理措施并且加强日常的管理和监督，同时搞好厂区绿化后，均可达标排放。因此，项目营运期间不会对周边的生态环境造成明显的不利影响。</w:t>
            </w:r>
          </w:p>
        </w:tc>
      </w:tr>
      <w:tr w14:paraId="64F575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23" w:type="dxa"/>
            <w:noWrap w:val="0"/>
            <w:vAlign w:val="center"/>
          </w:tcPr>
          <w:p w14:paraId="3D331AA1">
            <w:pPr>
              <w:adjustRightInd w:val="0"/>
              <w:snapToGrid w:val="0"/>
              <w:jc w:val="center"/>
              <w:rPr>
                <w:rFonts w:hint="default" w:ascii="Times New Roman" w:hAnsi="Times New Roman" w:eastAsia="宋体" w:cs="Times New Roman"/>
                <w:color w:val="auto"/>
                <w:spacing w:val="-8"/>
                <w:sz w:val="21"/>
                <w:szCs w:val="21"/>
                <w:highlight w:val="none"/>
              </w:rPr>
            </w:pPr>
            <w:r>
              <w:rPr>
                <w:rFonts w:hint="default" w:ascii="Times New Roman" w:hAnsi="Times New Roman" w:eastAsia="宋体" w:cs="Times New Roman"/>
                <w:color w:val="auto"/>
                <w:spacing w:val="-8"/>
                <w:sz w:val="21"/>
                <w:szCs w:val="21"/>
                <w:highlight w:val="none"/>
              </w:rPr>
              <w:t>环境风险</w:t>
            </w:r>
          </w:p>
          <w:p w14:paraId="5447DAA7">
            <w:pPr>
              <w:adjustRightInd w:val="0"/>
              <w:snapToGrid w:val="0"/>
              <w:jc w:val="center"/>
              <w:rPr>
                <w:rFonts w:hint="default" w:ascii="Times New Roman" w:hAnsi="Times New Roman" w:eastAsia="宋体" w:cs="Times New Roman"/>
                <w:color w:val="auto"/>
                <w:spacing w:val="-8"/>
                <w:sz w:val="21"/>
                <w:szCs w:val="21"/>
                <w:highlight w:val="none"/>
              </w:rPr>
            </w:pPr>
            <w:r>
              <w:rPr>
                <w:rFonts w:hint="default" w:ascii="Times New Roman" w:hAnsi="Times New Roman" w:eastAsia="宋体" w:cs="Times New Roman"/>
                <w:color w:val="auto"/>
                <w:spacing w:val="-8"/>
                <w:sz w:val="21"/>
                <w:szCs w:val="21"/>
                <w:highlight w:val="none"/>
              </w:rPr>
              <w:t>防范措施</w:t>
            </w:r>
          </w:p>
        </w:tc>
        <w:tc>
          <w:tcPr>
            <w:tcW w:w="7277" w:type="dxa"/>
            <w:gridSpan w:val="5"/>
            <w:noWrap w:val="0"/>
            <w:vAlign w:val="center"/>
          </w:tcPr>
          <w:p w14:paraId="524FD424">
            <w:pPr>
              <w:pStyle w:val="109"/>
              <w:keepNext w:val="0"/>
              <w:keepLines w:val="0"/>
              <w:pageBreakBefore w:val="0"/>
              <w:widowControl/>
              <w:suppressLineNumbers w:val="0"/>
              <w:tabs>
                <w:tab w:val="left" w:pos="-2848"/>
              </w:tabs>
              <w:kinsoku/>
              <w:overflowPunct/>
              <w:topLinePunct w:val="0"/>
              <w:autoSpaceDE/>
              <w:autoSpaceDN/>
              <w:bidi w:val="0"/>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1、严格执行应急管理、消防等相关规范，从总图布置和建筑安全方面进行风险防范，预留疏散通道或安置场所；</w:t>
            </w:r>
          </w:p>
          <w:p w14:paraId="2F1A9B5C">
            <w:pPr>
              <w:pStyle w:val="109"/>
              <w:keepNext w:val="0"/>
              <w:keepLines w:val="0"/>
              <w:pageBreakBefore w:val="0"/>
              <w:widowControl/>
              <w:suppressLineNumbers w:val="0"/>
              <w:tabs>
                <w:tab w:val="left" w:pos="-2848"/>
              </w:tabs>
              <w:kinsoku/>
              <w:overflowPunct/>
              <w:topLinePunct w:val="0"/>
              <w:autoSpaceDE/>
              <w:autoSpaceDN/>
              <w:bidi w:val="0"/>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2、从优化改进生产工艺、减少储存量、改善储存条件等方面降低风险程度；</w:t>
            </w:r>
          </w:p>
          <w:p w14:paraId="1E41B037">
            <w:pPr>
              <w:pStyle w:val="109"/>
              <w:keepNext w:val="0"/>
              <w:keepLines w:val="0"/>
              <w:pageBreakBefore w:val="0"/>
              <w:widowControl/>
              <w:suppressLineNumbers w:val="0"/>
              <w:tabs>
                <w:tab w:val="left" w:pos="-2848"/>
              </w:tabs>
              <w:kinsoku/>
              <w:overflowPunct/>
              <w:topLinePunct w:val="0"/>
              <w:autoSpaceDE/>
              <w:autoSpaceDN/>
              <w:bidi w:val="0"/>
              <w:snapToGrid/>
              <w:spacing w:before="0" w:beforeAutospacing="0" w:after="0" w:afterAutospacing="0" w:line="360" w:lineRule="auto"/>
              <w:ind w:left="0" w:right="0" w:firstLine="420" w:firstLineChars="200"/>
              <w:jc w:val="both"/>
              <w:textAlignment w:val="auto"/>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3、加强日常管理，降低管理失误而出现的风险事故，提高员工规范性操作水平，减少误操作引发的风险事故；</w:t>
            </w:r>
          </w:p>
          <w:p w14:paraId="35D2D5A7">
            <w:pPr>
              <w:pStyle w:val="109"/>
              <w:keepNext w:val="0"/>
              <w:keepLines w:val="0"/>
              <w:pageBreakBefore w:val="0"/>
              <w:widowControl/>
              <w:suppressLineNumbers w:val="0"/>
              <w:tabs>
                <w:tab w:val="left" w:pos="-2848"/>
              </w:tabs>
              <w:kinsoku/>
              <w:overflowPunct/>
              <w:topLinePunct w:val="0"/>
              <w:autoSpaceDE/>
              <w:autoSpaceDN/>
              <w:bidi w:val="0"/>
              <w:snapToGrid/>
              <w:spacing w:before="0" w:beforeAutospacing="0" w:after="0" w:afterAutospacing="0" w:line="360" w:lineRule="auto"/>
              <w:ind w:left="0" w:leftChars="0" w:right="0" w:rightChars="0" w:firstLine="420" w:firstLineChars="20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4、按《危险废物贮存污染控制标准》（GB18597-2023）的相关要求做好</w:t>
            </w:r>
            <w:r>
              <w:rPr>
                <w:rFonts w:hint="eastAsia" w:ascii="Times New Roman" w:hAnsi="Times New Roman" w:cs="Times New Roman"/>
                <w:color w:val="auto"/>
                <w:kern w:val="2"/>
                <w:sz w:val="21"/>
                <w:szCs w:val="21"/>
                <w:highlight w:val="none"/>
                <w:lang w:eastAsia="zh-CN"/>
              </w:rPr>
              <w:t>危险废物贮存间</w:t>
            </w:r>
            <w:r>
              <w:rPr>
                <w:rFonts w:hint="default" w:ascii="Times New Roman" w:hAnsi="Times New Roman" w:eastAsia="宋体" w:cs="Times New Roman"/>
                <w:color w:val="auto"/>
                <w:kern w:val="2"/>
                <w:sz w:val="21"/>
                <w:szCs w:val="21"/>
                <w:highlight w:val="none"/>
              </w:rPr>
              <w:t>的防渗措施，加强管理，避免装卸或存储过程中危险物质发生泄漏。</w:t>
            </w:r>
          </w:p>
        </w:tc>
      </w:tr>
      <w:tr w14:paraId="1B4E16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523" w:type="dxa"/>
            <w:noWrap w:val="0"/>
            <w:vAlign w:val="center"/>
          </w:tcPr>
          <w:p w14:paraId="306A80B6">
            <w:pPr>
              <w:keepNext w:val="0"/>
              <w:keepLines w:val="0"/>
              <w:pageBreakBefore w:val="0"/>
              <w:widowControl w:val="0"/>
              <w:kinsoku/>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pacing w:val="-8"/>
                <w:sz w:val="21"/>
                <w:szCs w:val="21"/>
                <w:highlight w:val="none"/>
              </w:rPr>
            </w:pPr>
            <w:r>
              <w:rPr>
                <w:rFonts w:hint="default" w:ascii="Times New Roman" w:hAnsi="Times New Roman" w:cs="Times New Roman"/>
                <w:color w:val="auto"/>
                <w:spacing w:val="-8"/>
                <w:sz w:val="24"/>
                <w:szCs w:val="24"/>
              </w:rPr>
              <w:t>其他环境管理要求</w:t>
            </w:r>
          </w:p>
        </w:tc>
        <w:tc>
          <w:tcPr>
            <w:tcW w:w="7277" w:type="dxa"/>
            <w:gridSpan w:val="5"/>
            <w:noWrap w:val="0"/>
            <w:vAlign w:val="center"/>
          </w:tcPr>
          <w:p w14:paraId="68D441FC">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（一）环境管理要求</w:t>
            </w:r>
          </w:p>
          <w:p w14:paraId="0478A1B6">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cs="Times New Roman"/>
                <w:color w:val="auto"/>
                <w:sz w:val="24"/>
                <w:szCs w:val="24"/>
              </w:rPr>
              <w:t>企业要完善环境管理制度，首先必须建立相应的环境管理机构，明确环境管理机构的职责。</w:t>
            </w:r>
          </w:p>
          <w:p w14:paraId="7CB67A9E">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cs="Times New Roman"/>
                <w:color w:val="auto"/>
                <w:sz w:val="24"/>
                <w:szCs w:val="24"/>
              </w:rPr>
              <w:t>落实各项环境保护措施，环保设施运行的管理和维护，日常的监测及污染事故的防范和应急处理。</w:t>
            </w:r>
          </w:p>
          <w:p w14:paraId="75CEDCB5">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3.</w:t>
            </w:r>
            <w:r>
              <w:rPr>
                <w:rFonts w:hint="default" w:ascii="Times New Roman" w:hAnsi="Times New Roman" w:cs="Times New Roman"/>
                <w:color w:val="auto"/>
                <w:sz w:val="24"/>
                <w:szCs w:val="24"/>
              </w:rPr>
              <w:t>环境管理机构的职责</w:t>
            </w:r>
          </w:p>
          <w:p w14:paraId="66B1FD4F">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（1）</w:t>
            </w:r>
            <w:r>
              <w:rPr>
                <w:rFonts w:hint="default" w:ascii="Times New Roman" w:hAnsi="Times New Roman" w:cs="Times New Roman"/>
                <w:color w:val="auto"/>
                <w:sz w:val="24"/>
                <w:szCs w:val="24"/>
              </w:rPr>
              <w:t>依据《固定污染源排污许可分类管理名录（2019 年版）》，本项目实行排污许可简化管理。建设单位应在发生实际排污行为前，在全国排污许可证管理信息平台申领排污许可证，严格落实许可证载明的排放浓度、总量控制等管控要求；如污染物超标排放或超过重点污染物排放总量指标，须按生态环境主管部门要求限期整改。</w:t>
            </w:r>
          </w:p>
          <w:p w14:paraId="6A8E4169">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（2）</w:t>
            </w:r>
            <w:r>
              <w:rPr>
                <w:rFonts w:hint="default" w:ascii="Times New Roman" w:hAnsi="Times New Roman" w:cs="Times New Roman"/>
                <w:color w:val="auto"/>
                <w:sz w:val="24"/>
                <w:szCs w:val="24"/>
              </w:rPr>
              <w:t>根据</w:t>
            </w:r>
            <w:r>
              <w:rPr>
                <w:rFonts w:hint="eastAsia" w:cs="Times New Roman"/>
                <w:color w:val="auto"/>
                <w:sz w:val="24"/>
                <w:szCs w:val="24"/>
                <w:lang w:eastAsia="zh-CN"/>
              </w:rPr>
              <w:t>生态环境主管部门</w:t>
            </w:r>
            <w:r>
              <w:rPr>
                <w:rFonts w:hint="default" w:ascii="Times New Roman" w:hAnsi="Times New Roman" w:cs="Times New Roman"/>
                <w:color w:val="auto"/>
                <w:sz w:val="24"/>
                <w:szCs w:val="24"/>
              </w:rPr>
              <w:t>、安全部门对环保设施验收报告的批复意见进行补充完善。</w:t>
            </w:r>
          </w:p>
          <w:p w14:paraId="3D7726A7">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（3）</w:t>
            </w:r>
            <w:r>
              <w:rPr>
                <w:rFonts w:hint="default" w:ascii="Times New Roman" w:hAnsi="Times New Roman" w:cs="Times New Roman"/>
                <w:color w:val="auto"/>
                <w:sz w:val="24"/>
                <w:szCs w:val="24"/>
              </w:rPr>
              <w:t>根据企业的环境保护目标考核计划，结合生产过程各环节的不同环境要求，把资源和能源消耗、资源回收利用、污染物排放量的反映环保工作水平的生产环境质量等环保指标，纳入各级生产作业计划，同其他生产指标一同组织实施和考核。</w:t>
            </w:r>
          </w:p>
          <w:p w14:paraId="6C56B8E9">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（4）</w:t>
            </w:r>
            <w:r>
              <w:rPr>
                <w:rFonts w:hint="default" w:ascii="Times New Roman" w:hAnsi="Times New Roman" w:cs="Times New Roman"/>
                <w:color w:val="auto"/>
                <w:sz w:val="24"/>
                <w:szCs w:val="24"/>
              </w:rPr>
              <w:t>按环保设施的操作规程，定期对环保设施进行保养和检修，保证环保设施的正常运行和污染物的达标排放。一旦环保设施出现故障，应立即停产检修，并上报环保法定责任人，严禁环保设施带病运行和事故性排放。建立运行记录并制定考核指标。</w:t>
            </w:r>
          </w:p>
          <w:p w14:paraId="7828BDE5">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（5）</w:t>
            </w:r>
            <w:r>
              <w:rPr>
                <w:rFonts w:hint="default" w:ascii="Times New Roman" w:hAnsi="Times New Roman" w:cs="Times New Roman"/>
                <w:color w:val="auto"/>
                <w:sz w:val="24"/>
                <w:szCs w:val="24"/>
              </w:rPr>
              <w:t>要加强设备、仪器、仪表的检查、维护、检修，保证设备完好运行，防止跑、冒、滴、漏对环境的污染。</w:t>
            </w:r>
          </w:p>
          <w:p w14:paraId="11E5BA40">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（6）</w:t>
            </w:r>
            <w:r>
              <w:rPr>
                <w:rFonts w:hint="default" w:ascii="Times New Roman" w:hAnsi="Times New Roman" w:cs="Times New Roman"/>
                <w:color w:val="auto"/>
                <w:sz w:val="24"/>
                <w:szCs w:val="24"/>
              </w:rPr>
              <w:t>加强各生产车间、工段的环境卫生管理：①督促有关工段及时清理废弃的渣料等，以免大风天气时形成扬尘，造成二次污染，影响周围环境。②保持工场的通风、整洁和宽敞。开工时废气净化、除尘装置必须正常运转，确保操作工人有安全生产的环境。操作工人还应做好个人防护工作，避免粉尘、废气经呼吸道和皮肤吸收，引起急性中毒事件或职业病的发生。</w:t>
            </w:r>
          </w:p>
          <w:p w14:paraId="6687FF53">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（7）</w:t>
            </w:r>
            <w:r>
              <w:rPr>
                <w:rFonts w:hint="default" w:ascii="Times New Roman" w:hAnsi="Times New Roman" w:cs="Times New Roman"/>
                <w:color w:val="auto"/>
                <w:sz w:val="24"/>
                <w:szCs w:val="24"/>
              </w:rPr>
              <w:t>做好绿化的建设和维护工作。绿色植物不仅能涵养水分，保持水土，而且能挡尘降噪，调节小气候，有利于改善生态环境。</w:t>
            </w:r>
          </w:p>
          <w:p w14:paraId="538286DA">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（8）</w:t>
            </w:r>
            <w:r>
              <w:rPr>
                <w:rFonts w:hint="default" w:ascii="Times New Roman" w:hAnsi="Times New Roman" w:cs="Times New Roman"/>
                <w:color w:val="auto"/>
                <w:sz w:val="24"/>
                <w:szCs w:val="24"/>
              </w:rPr>
              <w:t>建立环境管理体系，提高环境管理水平。定期进行清洁生产审计，不断采用无污染和少污染的新工艺和新技术。</w:t>
            </w:r>
          </w:p>
          <w:p w14:paraId="35CB1EDB">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（9）</w:t>
            </w:r>
            <w:r>
              <w:rPr>
                <w:rFonts w:hint="default" w:ascii="Times New Roman" w:hAnsi="Times New Roman" w:cs="Times New Roman"/>
                <w:color w:val="auto"/>
                <w:sz w:val="24"/>
                <w:szCs w:val="24"/>
              </w:rPr>
              <w:t>接受</w:t>
            </w:r>
            <w:r>
              <w:rPr>
                <w:rFonts w:hint="eastAsia" w:cs="Times New Roman"/>
                <w:color w:val="auto"/>
                <w:sz w:val="24"/>
                <w:szCs w:val="24"/>
                <w:lang w:eastAsia="zh-CN"/>
              </w:rPr>
              <w:t>生态环境主管部门</w:t>
            </w:r>
            <w:r>
              <w:rPr>
                <w:rFonts w:hint="default" w:ascii="Times New Roman" w:hAnsi="Times New Roman" w:cs="Times New Roman"/>
                <w:color w:val="auto"/>
                <w:sz w:val="24"/>
                <w:szCs w:val="24"/>
              </w:rPr>
              <w:t>的监督检查。主要内容有：污染物排放情况、环保设施运行管理情况、环境监测及污染物监测情况、环境事故的调查和有关记录、污染源建档记录等。</w:t>
            </w:r>
          </w:p>
          <w:p w14:paraId="4491AC99">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 xml:space="preserve">（二）排污口规范化 </w:t>
            </w:r>
          </w:p>
          <w:p w14:paraId="26C866B4">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cs="Times New Roman"/>
                <w:color w:val="auto"/>
                <w:sz w:val="24"/>
                <w:szCs w:val="24"/>
              </w:rPr>
              <w:t>排污口规范化必要性：排污口规范化管理是实施污染物总量控制的基础性工作之一，也是总量控制不可缺少的一部分内容，此项工作可强化污染物的现场监督检查，促进企业加强管理和污染治理，实施污染物排放科学化、定量化管理。</w:t>
            </w:r>
          </w:p>
          <w:p w14:paraId="6DD34E69">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cs="Times New Roman"/>
                <w:color w:val="auto"/>
                <w:sz w:val="24"/>
                <w:szCs w:val="24"/>
              </w:rPr>
              <w:t>排污口规范化的范围和时间：一切新建、扩建、技改、改建的排污单位以及限期治理的排污单位，必须在建设污染治理设施的同时，建设规范化排污口。因此，排污口必须规范化设置和管理。规范化工作应</w:t>
            </w:r>
            <w:r>
              <w:rPr>
                <w:rFonts w:hint="eastAsia" w:cs="Times New Roman"/>
                <w:color w:val="auto"/>
                <w:sz w:val="24"/>
                <w:szCs w:val="24"/>
                <w:lang w:val="en-US" w:eastAsia="zh-CN"/>
              </w:rPr>
              <w:t>与</w:t>
            </w:r>
            <w:r>
              <w:rPr>
                <w:rFonts w:hint="default" w:ascii="Times New Roman" w:hAnsi="Times New Roman" w:cs="Times New Roman"/>
                <w:color w:val="auto"/>
                <w:sz w:val="24"/>
                <w:szCs w:val="24"/>
              </w:rPr>
              <w:t>污染治理同步实施，即治理设施完工时，规范化工作必须同时完成，并列入污染治理设施的验收内容。</w:t>
            </w:r>
          </w:p>
          <w:p w14:paraId="59896F46">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3.</w:t>
            </w:r>
            <w:r>
              <w:rPr>
                <w:rFonts w:hint="default" w:ascii="Times New Roman" w:hAnsi="Times New Roman" w:cs="Times New Roman"/>
                <w:color w:val="auto"/>
                <w:sz w:val="24"/>
                <w:szCs w:val="24"/>
              </w:rPr>
              <w:t xml:space="preserve">排污口规范化内容 </w:t>
            </w:r>
          </w:p>
          <w:p w14:paraId="1FD554E6">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（1）</w:t>
            </w:r>
            <w:r>
              <w:rPr>
                <w:rFonts w:hint="default" w:ascii="Times New Roman" w:hAnsi="Times New Roman" w:cs="Times New Roman"/>
                <w:color w:val="auto"/>
                <w:sz w:val="24"/>
                <w:szCs w:val="24"/>
              </w:rPr>
              <w:t>需规范化排放口：排放口应预留监测口，做到便于采样和测定流量，并设立标志。</w:t>
            </w:r>
          </w:p>
          <w:p w14:paraId="62CFAE38">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SA"/>
              </w:rPr>
              <w:t>（2）</w:t>
            </w:r>
            <w:r>
              <w:rPr>
                <w:rFonts w:hint="default" w:ascii="Times New Roman" w:hAnsi="Times New Roman" w:cs="Times New Roman"/>
                <w:color w:val="auto"/>
                <w:sz w:val="24"/>
                <w:szCs w:val="24"/>
              </w:rPr>
              <w:t>排污口的管理：建设单位应在各排污口处设置较明显的排污口标志牌，其上应注明主要排污污染物的名称。建设单位应如实填写《中华人民共和国规范化排污口标志登记证》的有关内容，由</w:t>
            </w:r>
            <w:r>
              <w:rPr>
                <w:rFonts w:hint="eastAsia" w:cs="Times New Roman"/>
                <w:color w:val="auto"/>
                <w:sz w:val="24"/>
                <w:szCs w:val="24"/>
                <w:lang w:eastAsia="zh-CN"/>
              </w:rPr>
              <w:t>生态环境主管部门</w:t>
            </w:r>
            <w:r>
              <w:rPr>
                <w:rFonts w:hint="default" w:ascii="Times New Roman" w:hAnsi="Times New Roman" w:cs="Times New Roman"/>
                <w:color w:val="auto"/>
                <w:sz w:val="24"/>
                <w:szCs w:val="24"/>
              </w:rPr>
              <w:t>签发登记证。建设单位应将有关排污口的情况如：排污口的性质、编号、排污口的位置；主要排放的污染物种类、数量、浓度、排放规律、排放去向；污染治理措施的运行情况等进行建档管理，并报送</w:t>
            </w:r>
            <w:r>
              <w:rPr>
                <w:rFonts w:hint="eastAsia" w:cs="Times New Roman"/>
                <w:color w:val="auto"/>
                <w:sz w:val="24"/>
                <w:szCs w:val="24"/>
                <w:lang w:eastAsia="zh-CN"/>
              </w:rPr>
              <w:t>生态环境主管部门</w:t>
            </w:r>
            <w:r>
              <w:rPr>
                <w:rFonts w:hint="default" w:ascii="Times New Roman" w:hAnsi="Times New Roman" w:cs="Times New Roman"/>
                <w:color w:val="auto"/>
                <w:sz w:val="24"/>
                <w:szCs w:val="24"/>
              </w:rPr>
              <w:t>备案。排污口规范化标识详见下表。</w:t>
            </w:r>
          </w:p>
          <w:p w14:paraId="5EDBE2AB">
            <w:pPr>
              <w:pStyle w:val="142"/>
              <w:keepNext w:val="0"/>
              <w:keepLines w:val="0"/>
              <w:pageBreakBefore w:val="0"/>
              <w:widowControl w:val="0"/>
              <w:kinsoku/>
              <w:overflowPunct/>
              <w:topLinePunct w:val="0"/>
              <w:autoSpaceDE/>
              <w:autoSpaceDN/>
              <w:bidi w:val="0"/>
              <w:spacing w:line="240" w:lineRule="auto"/>
              <w:ind w:right="0" w:firstLine="482"/>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表5-1排污口规范化标识示意图表</w:t>
            </w:r>
          </w:p>
          <w:tbl>
            <w:tblPr>
              <w:tblStyle w:val="48"/>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3"/>
              <w:gridCol w:w="1442"/>
              <w:gridCol w:w="1254"/>
              <w:gridCol w:w="1254"/>
              <w:gridCol w:w="1807"/>
            </w:tblGrid>
            <w:tr w14:paraId="16A35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5" w:type="dxa"/>
                  <w:noWrap w:val="0"/>
                  <w:vAlign w:val="top"/>
                </w:tcPr>
                <w:p w14:paraId="3175361C">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废水排放口</w:t>
                  </w:r>
                </w:p>
              </w:tc>
              <w:tc>
                <w:tcPr>
                  <w:tcW w:w="1444" w:type="dxa"/>
                  <w:noWrap w:val="0"/>
                  <w:vAlign w:val="top"/>
                </w:tcPr>
                <w:p w14:paraId="73AF747B">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废气排放口</w:t>
                  </w:r>
                </w:p>
              </w:tc>
              <w:tc>
                <w:tcPr>
                  <w:tcW w:w="1256" w:type="dxa"/>
                  <w:noWrap w:val="0"/>
                  <w:vAlign w:val="top"/>
                </w:tcPr>
                <w:p w14:paraId="1F70C5D5">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噪声源</w:t>
                  </w:r>
                </w:p>
              </w:tc>
              <w:tc>
                <w:tcPr>
                  <w:tcW w:w="1256" w:type="dxa"/>
                  <w:noWrap w:val="0"/>
                  <w:vAlign w:val="top"/>
                </w:tcPr>
                <w:p w14:paraId="5A638C77">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固体废弃物堆场</w:t>
                  </w:r>
                </w:p>
              </w:tc>
              <w:tc>
                <w:tcPr>
                  <w:tcW w:w="1810" w:type="dxa"/>
                  <w:noWrap w:val="0"/>
                  <w:vAlign w:val="top"/>
                </w:tcPr>
                <w:p w14:paraId="2427CAAF">
                  <w:pPr>
                    <w:pStyle w:val="175"/>
                    <w:keepNext w:val="0"/>
                    <w:keepLines w:val="0"/>
                    <w:pageBreakBefore w:val="0"/>
                    <w:widowControl w:val="0"/>
                    <w:kinsoku/>
                    <w:overflowPunct/>
                    <w:topLinePunct w:val="0"/>
                    <w:autoSpaceDE/>
                    <w:autoSpaceDN/>
                    <w:bidi w:val="0"/>
                    <w:spacing w:before="0" w:after="0" w:line="240" w:lineRule="auto"/>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危险废物暂存</w:t>
                  </w:r>
                </w:p>
              </w:tc>
            </w:tr>
            <w:tr w14:paraId="4556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295" w:type="dxa"/>
                  <w:noWrap w:val="0"/>
                  <w:vAlign w:val="center"/>
                </w:tcPr>
                <w:p w14:paraId="580D711C">
                  <w:pPr>
                    <w:pStyle w:val="175"/>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drawing>
                      <wp:inline distT="0" distB="0" distL="114300" distR="114300">
                        <wp:extent cx="640715" cy="647700"/>
                        <wp:effectExtent l="0" t="0" r="6985" b="0"/>
                        <wp:docPr id="188" name="图片 12" descr="排放口"/>
                        <wp:cNvGraphicFramePr/>
                        <a:graphic xmlns:a="http://schemas.openxmlformats.org/drawingml/2006/main">
                          <a:graphicData uri="http://schemas.openxmlformats.org/drawingml/2006/picture">
                            <pic:pic xmlns:pic="http://schemas.openxmlformats.org/drawingml/2006/picture">
                              <pic:nvPicPr>
                                <pic:cNvPr id="188" name="图片 12" descr="排放口"/>
                                <pic:cNvPicPr/>
                              </pic:nvPicPr>
                              <pic:blipFill>
                                <a:blip r:embed="rId49"/>
                                <a:srcRect l="66771" t="5846" r="3780" b="55385"/>
                                <a:stretch>
                                  <a:fillRect/>
                                </a:stretch>
                              </pic:blipFill>
                              <pic:spPr>
                                <a:xfrm>
                                  <a:off x="0" y="0"/>
                                  <a:ext cx="640715" cy="647700"/>
                                </a:xfrm>
                                <a:prstGeom prst="rect">
                                  <a:avLst/>
                                </a:prstGeom>
                                <a:noFill/>
                                <a:ln>
                                  <a:noFill/>
                                </a:ln>
                              </pic:spPr>
                            </pic:pic>
                          </a:graphicData>
                        </a:graphic>
                      </wp:inline>
                    </w:drawing>
                  </w:r>
                </w:p>
              </w:tc>
              <w:tc>
                <w:tcPr>
                  <w:tcW w:w="1444" w:type="dxa"/>
                  <w:noWrap w:val="0"/>
                  <w:vAlign w:val="top"/>
                </w:tcPr>
                <w:p w14:paraId="24319959">
                  <w:pPr>
                    <w:pStyle w:val="175"/>
                    <w:keepNext w:val="0"/>
                    <w:keepLines w:val="0"/>
                    <w:pageBreakBefore w:val="0"/>
                    <w:widowControl w:val="0"/>
                    <w:kinsoku/>
                    <w:overflowPunct/>
                    <w:topLinePunct w:val="0"/>
                    <w:autoSpaceDE/>
                    <w:autoSpaceDN/>
                    <w:bidi w:val="0"/>
                    <w:spacing w:before="0" w:after="0" w:line="240" w:lineRule="auto"/>
                    <w:jc w:val="center"/>
                    <w:textAlignment w:val="auto"/>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drawing>
                      <wp:inline distT="0" distB="0" distL="114300" distR="114300">
                        <wp:extent cx="637540" cy="647700"/>
                        <wp:effectExtent l="0" t="0" r="10160" b="0"/>
                        <wp:docPr id="189" name="图片 13" descr="排放口"/>
                        <wp:cNvGraphicFramePr/>
                        <a:graphic xmlns:a="http://schemas.openxmlformats.org/drawingml/2006/main">
                          <a:graphicData uri="http://schemas.openxmlformats.org/drawingml/2006/picture">
                            <pic:pic xmlns:pic="http://schemas.openxmlformats.org/drawingml/2006/picture">
                              <pic:nvPicPr>
                                <pic:cNvPr id="189" name="图片 13" descr="排放口"/>
                                <pic:cNvPicPr/>
                              </pic:nvPicPr>
                              <pic:blipFill>
                                <a:blip r:embed="rId50"/>
                                <a:srcRect l="19153" t="6250" r="51726" b="55122"/>
                                <a:stretch>
                                  <a:fillRect/>
                                </a:stretch>
                              </pic:blipFill>
                              <pic:spPr>
                                <a:xfrm>
                                  <a:off x="0" y="0"/>
                                  <a:ext cx="637540" cy="647700"/>
                                </a:xfrm>
                                <a:prstGeom prst="rect">
                                  <a:avLst/>
                                </a:prstGeom>
                                <a:noFill/>
                                <a:ln>
                                  <a:noFill/>
                                </a:ln>
                              </pic:spPr>
                            </pic:pic>
                          </a:graphicData>
                        </a:graphic>
                      </wp:inline>
                    </w:drawing>
                  </w:r>
                </w:p>
              </w:tc>
              <w:tc>
                <w:tcPr>
                  <w:tcW w:w="1256" w:type="dxa"/>
                  <w:noWrap w:val="0"/>
                  <w:vAlign w:val="top"/>
                </w:tcPr>
                <w:p w14:paraId="25A8E5E9">
                  <w:pPr>
                    <w:pStyle w:val="175"/>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drawing>
                      <wp:inline distT="0" distB="0" distL="114300" distR="114300">
                        <wp:extent cx="638810" cy="647700"/>
                        <wp:effectExtent l="0" t="0" r="8890" b="0"/>
                        <wp:docPr id="193" name="图片 14" descr="排放口"/>
                        <wp:cNvGraphicFramePr/>
                        <a:graphic xmlns:a="http://schemas.openxmlformats.org/drawingml/2006/main">
                          <a:graphicData uri="http://schemas.openxmlformats.org/drawingml/2006/picture">
                            <pic:pic xmlns:pic="http://schemas.openxmlformats.org/drawingml/2006/picture">
                              <pic:nvPicPr>
                                <pic:cNvPr id="193" name="图片 14" descr="排放口"/>
                                <pic:cNvPicPr/>
                              </pic:nvPicPr>
                              <pic:blipFill>
                                <a:blip r:embed="rId51"/>
                                <a:srcRect l="51723" t="47942" r="27068" b="13129"/>
                                <a:stretch>
                                  <a:fillRect/>
                                </a:stretch>
                              </pic:blipFill>
                              <pic:spPr>
                                <a:xfrm>
                                  <a:off x="0" y="0"/>
                                  <a:ext cx="638810" cy="647700"/>
                                </a:xfrm>
                                <a:prstGeom prst="rect">
                                  <a:avLst/>
                                </a:prstGeom>
                                <a:noFill/>
                                <a:ln>
                                  <a:noFill/>
                                </a:ln>
                              </pic:spPr>
                            </pic:pic>
                          </a:graphicData>
                        </a:graphic>
                      </wp:inline>
                    </w:drawing>
                  </w:r>
                </w:p>
              </w:tc>
              <w:tc>
                <w:tcPr>
                  <w:tcW w:w="1256" w:type="dxa"/>
                  <w:noWrap w:val="0"/>
                  <w:vAlign w:val="top"/>
                </w:tcPr>
                <w:p w14:paraId="45E81E56">
                  <w:pPr>
                    <w:pStyle w:val="175"/>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drawing>
                      <wp:inline distT="0" distB="0" distL="114300" distR="114300">
                        <wp:extent cx="652145" cy="647700"/>
                        <wp:effectExtent l="0" t="0" r="14605" b="0"/>
                        <wp:docPr id="194" name="图片 15" descr="排放口"/>
                        <wp:cNvGraphicFramePr/>
                        <a:graphic xmlns:a="http://schemas.openxmlformats.org/drawingml/2006/main">
                          <a:graphicData uri="http://schemas.openxmlformats.org/drawingml/2006/picture">
                            <pic:pic xmlns:pic="http://schemas.openxmlformats.org/drawingml/2006/picture">
                              <pic:nvPicPr>
                                <pic:cNvPr id="194" name="图片 15" descr="排放口"/>
                                <pic:cNvPicPr/>
                              </pic:nvPicPr>
                              <pic:blipFill>
                                <a:blip r:embed="rId52"/>
                                <a:srcRect l="18872" t="47525" r="51678" b="14359"/>
                                <a:stretch>
                                  <a:fillRect/>
                                </a:stretch>
                              </pic:blipFill>
                              <pic:spPr>
                                <a:xfrm>
                                  <a:off x="0" y="0"/>
                                  <a:ext cx="652145" cy="647700"/>
                                </a:xfrm>
                                <a:prstGeom prst="rect">
                                  <a:avLst/>
                                </a:prstGeom>
                                <a:noFill/>
                                <a:ln>
                                  <a:noFill/>
                                </a:ln>
                              </pic:spPr>
                            </pic:pic>
                          </a:graphicData>
                        </a:graphic>
                      </wp:inline>
                    </w:drawing>
                  </w:r>
                </w:p>
              </w:tc>
              <w:tc>
                <w:tcPr>
                  <w:tcW w:w="1810" w:type="dxa"/>
                  <w:noWrap w:val="0"/>
                  <w:vAlign w:val="top"/>
                </w:tcPr>
                <w:p w14:paraId="5E9E971A">
                  <w:pPr>
                    <w:pStyle w:val="175"/>
                    <w:keepNext w:val="0"/>
                    <w:keepLines w:val="0"/>
                    <w:pageBreakBefore w:val="0"/>
                    <w:widowControl w:val="0"/>
                    <w:kinsoku/>
                    <w:overflowPunct/>
                    <w:topLinePunct w:val="0"/>
                    <w:autoSpaceDE/>
                    <w:autoSpaceDN/>
                    <w:bidi w:val="0"/>
                    <w:spacing w:before="0" w:after="0" w:line="240" w:lineRule="auto"/>
                    <w:jc w:val="center"/>
                    <w:textAlignment w:val="auto"/>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drawing>
                      <wp:inline distT="0" distB="0" distL="114300" distR="114300">
                        <wp:extent cx="673735" cy="687070"/>
                        <wp:effectExtent l="0" t="0" r="12065" b="17780"/>
                        <wp:docPr id="195" name="图片 16"/>
                        <wp:cNvGraphicFramePr/>
                        <a:graphic xmlns:a="http://schemas.openxmlformats.org/drawingml/2006/main">
                          <a:graphicData uri="http://schemas.openxmlformats.org/drawingml/2006/picture">
                            <pic:pic xmlns:pic="http://schemas.openxmlformats.org/drawingml/2006/picture">
                              <pic:nvPicPr>
                                <pic:cNvPr id="195" name="图片 16"/>
                                <pic:cNvPicPr/>
                              </pic:nvPicPr>
                              <pic:blipFill>
                                <a:blip r:embed="rId53"/>
                                <a:srcRect l="15968" t="5974" r="13557" b="48367"/>
                                <a:stretch>
                                  <a:fillRect/>
                                </a:stretch>
                              </pic:blipFill>
                              <pic:spPr>
                                <a:xfrm>
                                  <a:off x="0" y="0"/>
                                  <a:ext cx="673735" cy="687070"/>
                                </a:xfrm>
                                <a:prstGeom prst="rect">
                                  <a:avLst/>
                                </a:prstGeom>
                                <a:noFill/>
                                <a:ln>
                                  <a:noFill/>
                                </a:ln>
                              </pic:spPr>
                            </pic:pic>
                          </a:graphicData>
                        </a:graphic>
                      </wp:inline>
                    </w:drawing>
                  </w:r>
                </w:p>
              </w:tc>
            </w:tr>
            <w:tr w14:paraId="22167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1" w:type="dxa"/>
                  <w:gridSpan w:val="4"/>
                  <w:noWrap w:val="0"/>
                  <w:vAlign w:val="top"/>
                </w:tcPr>
                <w:p w14:paraId="626549DC">
                  <w:pPr>
                    <w:pStyle w:val="175"/>
                    <w:keepNext w:val="0"/>
                    <w:keepLines w:val="0"/>
                    <w:pageBreakBefore w:val="0"/>
                    <w:widowControl w:val="0"/>
                    <w:kinsoku/>
                    <w:overflowPunct/>
                    <w:topLinePunct w:val="0"/>
                    <w:autoSpaceDE/>
                    <w:autoSpaceDN/>
                    <w:bidi w:val="0"/>
                    <w:spacing w:before="0" w:after="0" w:line="240" w:lineRule="auto"/>
                    <w:ind w:firstLine="422" w:firstLineChars="200"/>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背景颜色：绿色            图形颜色：白色</w:t>
                  </w:r>
                </w:p>
              </w:tc>
              <w:tc>
                <w:tcPr>
                  <w:tcW w:w="1810" w:type="dxa"/>
                  <w:noWrap w:val="0"/>
                  <w:vAlign w:val="top"/>
                </w:tcPr>
                <w:p w14:paraId="37DE3FEE">
                  <w:pPr>
                    <w:pStyle w:val="175"/>
                    <w:keepNext w:val="0"/>
                    <w:keepLines w:val="0"/>
                    <w:pageBreakBefore w:val="0"/>
                    <w:widowControl w:val="0"/>
                    <w:kinsoku/>
                    <w:overflowPunct/>
                    <w:topLinePunct w:val="0"/>
                    <w:autoSpaceDE/>
                    <w:autoSpaceDN/>
                    <w:bidi w:val="0"/>
                    <w:spacing w:before="0" w:after="0" w:line="240" w:lineRule="auto"/>
                    <w:jc w:val="both"/>
                    <w:textAlignment w:val="auto"/>
                    <w:rPr>
                      <w:rFonts w:hint="default" w:ascii="Times New Roman" w:hAnsi="Times New Roman" w:eastAsia="宋体" w:cs="Times New Roman"/>
                      <w:b/>
                      <w:color w:val="auto"/>
                      <w:sz w:val="21"/>
                      <w:szCs w:val="21"/>
                      <w:lang w:val="en-US" w:eastAsia="zh-CN"/>
                    </w:rPr>
                  </w:pPr>
                  <w:r>
                    <w:rPr>
                      <w:rFonts w:hint="eastAsia" w:ascii="Times New Roman" w:hAnsi="Times New Roman" w:cs="Times New Roman"/>
                      <w:b/>
                      <w:color w:val="auto"/>
                      <w:sz w:val="21"/>
                      <w:szCs w:val="21"/>
                      <w:lang w:val="en-US" w:eastAsia="zh-CN"/>
                    </w:rPr>
                    <w:t>底色为黄色，图形字体边框为黑色</w:t>
                  </w:r>
                </w:p>
              </w:tc>
            </w:tr>
          </w:tbl>
          <w:p w14:paraId="44350BD0">
            <w:pPr>
              <w:pStyle w:val="176"/>
              <w:keepNext w:val="0"/>
              <w:keepLines w:val="0"/>
              <w:pageBreakBefore w:val="0"/>
              <w:widowControl w:val="0"/>
              <w:numPr>
                <w:ilvl w:val="0"/>
                <w:numId w:val="0"/>
              </w:numPr>
              <w:kinsoku/>
              <w:overflowPunct/>
              <w:topLinePunct w:val="0"/>
              <w:autoSpaceDE/>
              <w:autoSpaceDN/>
              <w:bidi w:val="0"/>
              <w:spacing w:line="360" w:lineRule="auto"/>
              <w:jc w:val="left"/>
              <w:textAlignment w:val="auto"/>
              <w:rPr>
                <w:rFonts w:hint="default" w:ascii="Times New Roman" w:hAnsi="Times New Roman" w:cs="Times New Roman"/>
                <w:color w:val="auto"/>
                <w:sz w:val="24"/>
                <w:szCs w:val="24"/>
              </w:rPr>
            </w:pPr>
            <w:r>
              <w:rPr>
                <w:rFonts w:hint="default" w:ascii="Times New Roman" w:hAnsi="Times New Roman" w:cs="Times New Roman"/>
                <w:bCs/>
                <w:color w:val="auto"/>
                <w:sz w:val="24"/>
                <w:szCs w:val="24"/>
              </w:rPr>
              <w:t>（三）</w:t>
            </w:r>
            <w:r>
              <w:rPr>
                <w:rFonts w:hint="default" w:ascii="Times New Roman" w:hAnsi="Times New Roman" w:cs="Times New Roman"/>
                <w:color w:val="auto"/>
                <w:sz w:val="24"/>
                <w:szCs w:val="24"/>
              </w:rPr>
              <w:t>排污许可</w:t>
            </w:r>
          </w:p>
          <w:p w14:paraId="7A9D3127">
            <w:pPr>
              <w:keepNext w:val="0"/>
              <w:keepLines w:val="0"/>
              <w:pageBreakBefore w:val="0"/>
              <w:widowControl w:val="0"/>
              <w:kinsoku/>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根据《固定污染源排污许可分类管理名录（2019版）》，对本项目排污许可分类进行判定，具体如下：</w:t>
            </w:r>
          </w:p>
          <w:p w14:paraId="1271236F">
            <w:pPr>
              <w:pStyle w:val="142"/>
              <w:keepNext w:val="0"/>
              <w:keepLines w:val="0"/>
              <w:pageBreakBefore w:val="0"/>
              <w:widowControl w:val="0"/>
              <w:kinsoku/>
              <w:overflowPunct/>
              <w:topLinePunct w:val="0"/>
              <w:autoSpaceDE/>
              <w:autoSpaceDN/>
              <w:bidi w:val="0"/>
              <w:spacing w:line="240" w:lineRule="auto"/>
              <w:ind w:right="0" w:firstLine="482"/>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表5-2 项目排污许可类别判定表</w:t>
            </w:r>
          </w:p>
          <w:tbl>
            <w:tblPr>
              <w:tblStyle w:val="4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
              <w:gridCol w:w="1145"/>
              <w:gridCol w:w="1384"/>
              <w:gridCol w:w="1546"/>
              <w:gridCol w:w="991"/>
              <w:gridCol w:w="1034"/>
            </w:tblGrid>
            <w:tr w14:paraId="4ED9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vMerge w:val="restart"/>
                  <w:tcBorders>
                    <w:tl2br w:val="nil"/>
                    <w:tr2bl w:val="nil"/>
                  </w:tcBorders>
                  <w:noWrap w:val="0"/>
                  <w:vAlign w:val="center"/>
                </w:tcPr>
                <w:p w14:paraId="10771468">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国民经济行业类别</w:t>
                  </w:r>
                </w:p>
              </w:tc>
              <w:tc>
                <w:tcPr>
                  <w:tcW w:w="812" w:type="pct"/>
                  <w:vMerge w:val="restart"/>
                  <w:tcBorders>
                    <w:tl2br w:val="nil"/>
                    <w:tr2bl w:val="nil"/>
                  </w:tcBorders>
                  <w:noWrap w:val="0"/>
                  <w:vAlign w:val="center"/>
                </w:tcPr>
                <w:p w14:paraId="28F0FFA3">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建设项目行业类别</w:t>
                  </w:r>
                </w:p>
              </w:tc>
              <w:tc>
                <w:tcPr>
                  <w:tcW w:w="3514" w:type="pct"/>
                  <w:gridSpan w:val="4"/>
                  <w:tcBorders>
                    <w:tl2br w:val="nil"/>
                    <w:tr2bl w:val="nil"/>
                  </w:tcBorders>
                  <w:noWrap w:val="0"/>
                  <w:vAlign w:val="center"/>
                </w:tcPr>
                <w:p w14:paraId="073E45CF">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排污许可类别判定</w:t>
                  </w:r>
                </w:p>
              </w:tc>
            </w:tr>
            <w:tr w14:paraId="2D57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vMerge w:val="continue"/>
                  <w:tcBorders>
                    <w:tl2br w:val="nil"/>
                    <w:tr2bl w:val="nil"/>
                  </w:tcBorders>
                  <w:noWrap w:val="0"/>
                  <w:vAlign w:val="center"/>
                </w:tcPr>
                <w:p w14:paraId="3931FA56">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p>
              </w:tc>
              <w:tc>
                <w:tcPr>
                  <w:tcW w:w="812" w:type="pct"/>
                  <w:vMerge w:val="continue"/>
                  <w:tcBorders>
                    <w:tl2br w:val="nil"/>
                    <w:tr2bl w:val="nil"/>
                  </w:tcBorders>
                  <w:noWrap w:val="0"/>
                  <w:vAlign w:val="center"/>
                </w:tcPr>
                <w:p w14:paraId="3EF4CB39">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p>
              </w:tc>
              <w:tc>
                <w:tcPr>
                  <w:tcW w:w="978" w:type="pct"/>
                  <w:tcBorders>
                    <w:tl2br w:val="nil"/>
                    <w:tr2bl w:val="nil"/>
                  </w:tcBorders>
                  <w:noWrap w:val="0"/>
                  <w:vAlign w:val="center"/>
                </w:tcPr>
                <w:p w14:paraId="0FF874BA">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重点管理</w:t>
                  </w:r>
                </w:p>
              </w:tc>
              <w:tc>
                <w:tcPr>
                  <w:tcW w:w="1095" w:type="pct"/>
                  <w:tcBorders>
                    <w:tl2br w:val="nil"/>
                    <w:tr2bl w:val="nil"/>
                  </w:tcBorders>
                  <w:noWrap w:val="0"/>
                  <w:vAlign w:val="center"/>
                </w:tcPr>
                <w:p w14:paraId="5A895329">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简化管理</w:t>
                  </w:r>
                </w:p>
              </w:tc>
              <w:tc>
                <w:tcPr>
                  <w:tcW w:w="701" w:type="pct"/>
                  <w:tcBorders>
                    <w:tl2br w:val="nil"/>
                    <w:tr2bl w:val="nil"/>
                  </w:tcBorders>
                  <w:noWrap w:val="0"/>
                  <w:vAlign w:val="center"/>
                </w:tcPr>
                <w:p w14:paraId="6726954F">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登记管理</w:t>
                  </w:r>
                </w:p>
              </w:tc>
              <w:tc>
                <w:tcPr>
                  <w:tcW w:w="738" w:type="pct"/>
                  <w:tcBorders>
                    <w:tl2br w:val="nil"/>
                    <w:tr2bl w:val="nil"/>
                  </w:tcBorders>
                  <w:noWrap w:val="0"/>
                  <w:vAlign w:val="center"/>
                </w:tcPr>
                <w:p w14:paraId="49100758">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本项目</w:t>
                  </w:r>
                </w:p>
              </w:tc>
            </w:tr>
            <w:tr w14:paraId="6AEA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pct"/>
                  <w:tcBorders>
                    <w:tl2br w:val="nil"/>
                    <w:tr2bl w:val="nil"/>
                  </w:tcBorders>
                  <w:noWrap w:val="0"/>
                  <w:vAlign w:val="center"/>
                </w:tcPr>
                <w:p w14:paraId="20D59A19">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rPr>
                    <w:t>C3360金属表面处理及热处理加工</w:t>
                  </w:r>
                </w:p>
              </w:tc>
              <w:tc>
                <w:tcPr>
                  <w:tcW w:w="812" w:type="pct"/>
                  <w:tcBorders>
                    <w:tl2br w:val="nil"/>
                    <w:tr2bl w:val="nil"/>
                  </w:tcBorders>
                  <w:noWrap w:val="0"/>
                  <w:vAlign w:val="center"/>
                </w:tcPr>
                <w:p w14:paraId="09429E3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三十、金属制品业 33—67、金属表面处理及热处理加工 336</w:t>
                  </w:r>
                </w:p>
              </w:tc>
              <w:tc>
                <w:tcPr>
                  <w:tcW w:w="1384" w:type="dxa"/>
                  <w:tcBorders>
                    <w:tl2br w:val="nil"/>
                    <w:tr2bl w:val="nil"/>
                  </w:tcBorders>
                  <w:noWrap w:val="0"/>
                  <w:vAlign w:val="center"/>
                </w:tcPr>
                <w:p w14:paraId="2746C28F">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纳入重点排污单位名录的，专业电镀企业（含电镀园区中电镀企业），专门处理电镀废水的集中处理设施，有电镀工序的，有含铬钝化工序的</w:t>
                  </w:r>
                </w:p>
              </w:tc>
              <w:tc>
                <w:tcPr>
                  <w:tcW w:w="1546" w:type="dxa"/>
                  <w:tcBorders>
                    <w:tl2br w:val="nil"/>
                    <w:tr2bl w:val="nil"/>
                  </w:tcBorders>
                  <w:noWrap w:val="0"/>
                  <w:vAlign w:val="center"/>
                </w:tcPr>
                <w:p w14:paraId="5C76B18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除重点管理以外的有酸洗、抛光（电解抛光和化学抛光）、热浸镀（溶剂法）、淬火或者无铬钝化等工序的、年使用10吨及以上有机溶剂的</w:t>
                  </w:r>
                </w:p>
              </w:tc>
              <w:tc>
                <w:tcPr>
                  <w:tcW w:w="701" w:type="pct"/>
                  <w:tcBorders>
                    <w:tl2br w:val="nil"/>
                    <w:tr2bl w:val="nil"/>
                  </w:tcBorders>
                  <w:noWrap w:val="0"/>
                  <w:vAlign w:val="center"/>
                </w:tcPr>
                <w:p w14:paraId="64E291CA">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其他</w:t>
                  </w:r>
                </w:p>
              </w:tc>
              <w:tc>
                <w:tcPr>
                  <w:tcW w:w="738" w:type="pct"/>
                  <w:tcBorders>
                    <w:tl2br w:val="nil"/>
                    <w:tr2bl w:val="nil"/>
                  </w:tcBorders>
                  <w:noWrap w:val="0"/>
                  <w:vAlign w:val="center"/>
                </w:tcPr>
                <w:p w14:paraId="6B1EA238">
                  <w:pPr>
                    <w:pStyle w:val="28"/>
                    <w:keepNext w:val="0"/>
                    <w:keepLines w:val="0"/>
                    <w:pageBreakBefore w:val="0"/>
                    <w:widowControl w:val="0"/>
                    <w:numPr>
                      <w:ilvl w:val="0"/>
                      <w:numId w:val="0"/>
                    </w:numPr>
                    <w:kinsoku/>
                    <w:overflowPunct/>
                    <w:topLinePunct w:val="0"/>
                    <w:autoSpaceDE/>
                    <w:autoSpaceDN/>
                    <w:bidi w:val="0"/>
                    <w:spacing w:line="240" w:lineRule="auto"/>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本项目生产</w:t>
                  </w:r>
                  <w:r>
                    <w:rPr>
                      <w:rFonts w:hint="eastAsia" w:ascii="Times New Roman" w:hAnsi="Times New Roman" w:cs="Times New Roman"/>
                      <w:color w:val="auto"/>
                      <w:sz w:val="21"/>
                      <w:szCs w:val="21"/>
                      <w:lang w:val="en-US" w:eastAsia="zh-CN"/>
                    </w:rPr>
                    <w:t>有无铬钝化工序</w:t>
                  </w:r>
                  <w:r>
                    <w:rPr>
                      <w:rFonts w:hint="default" w:ascii="Times New Roman" w:hAnsi="Times New Roman" w:cs="Times New Roman"/>
                      <w:color w:val="auto"/>
                      <w:sz w:val="21"/>
                      <w:szCs w:val="21"/>
                    </w:rPr>
                    <w:t>，实行</w:t>
                  </w:r>
                  <w:r>
                    <w:rPr>
                      <w:rFonts w:hint="eastAsia" w:ascii="Times New Roman" w:hAnsi="Times New Roman" w:cs="Times New Roman"/>
                      <w:color w:val="auto"/>
                      <w:sz w:val="21"/>
                      <w:szCs w:val="21"/>
                      <w:lang w:val="en-US" w:eastAsia="zh-CN"/>
                    </w:rPr>
                    <w:t>简化</w:t>
                  </w:r>
                  <w:r>
                    <w:rPr>
                      <w:rFonts w:hint="default" w:ascii="Times New Roman" w:hAnsi="Times New Roman" w:cs="Times New Roman"/>
                      <w:color w:val="auto"/>
                      <w:sz w:val="21"/>
                      <w:szCs w:val="21"/>
                    </w:rPr>
                    <w:t>管理</w:t>
                  </w:r>
                </w:p>
              </w:tc>
            </w:tr>
          </w:tbl>
          <w:p w14:paraId="0676DFF0">
            <w:pPr>
              <w:pStyle w:val="28"/>
              <w:keepNext w:val="0"/>
              <w:keepLines w:val="0"/>
              <w:pageBreakBefore w:val="0"/>
              <w:widowControl w:val="0"/>
              <w:numPr>
                <w:ilvl w:val="0"/>
                <w:numId w:val="0"/>
              </w:numPr>
              <w:kinsoku/>
              <w:overflowPunct/>
              <w:topLinePunct w:val="0"/>
              <w:autoSpaceDE/>
              <w:autoSpaceDN/>
              <w:bidi w:val="0"/>
              <w:spacing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对照名录分析，本项目属于</w:t>
            </w:r>
            <w:r>
              <w:rPr>
                <w:rFonts w:hint="eastAsia" w:cs="Times New Roman"/>
                <w:color w:val="auto"/>
                <w:sz w:val="24"/>
                <w:szCs w:val="24"/>
                <w:lang w:val="en-US" w:eastAsia="zh-CN"/>
              </w:rPr>
              <w:t>简化</w:t>
            </w:r>
            <w:r>
              <w:rPr>
                <w:rFonts w:hint="default" w:ascii="Times New Roman" w:hAnsi="Times New Roman" w:cs="Times New Roman"/>
                <w:color w:val="auto"/>
                <w:sz w:val="24"/>
                <w:szCs w:val="24"/>
              </w:rPr>
              <w:t>管理。建设单位应在启动生产设施或者实际排污之前，依法向韶关市生态环境局乐昌分局申请取得排污许可证，并按照排污许可证的规定排放污染物。</w:t>
            </w:r>
          </w:p>
          <w:p w14:paraId="31D59186">
            <w:pPr>
              <w:keepNext w:val="0"/>
              <w:keepLines w:val="0"/>
              <w:pageBreakBefore w:val="0"/>
              <w:widowControl w:val="0"/>
              <w:kinsoku/>
              <w:overflowPunct/>
              <w:topLinePunct w:val="0"/>
              <w:autoSpaceDE/>
              <w:autoSpaceDN/>
              <w:bidi w:val="0"/>
              <w:adjustRightInd w:val="0"/>
              <w:snapToGrid w:val="0"/>
              <w:spacing w:line="360" w:lineRule="auto"/>
              <w:jc w:val="left"/>
              <w:textAlignment w:val="auto"/>
              <w:rPr>
                <w:rFonts w:hint="default" w:ascii="Times New Roman" w:hAnsi="Times New Roman" w:cs="Times New Roman"/>
                <w:color w:val="auto"/>
                <w:sz w:val="24"/>
                <w:szCs w:val="24"/>
              </w:rPr>
            </w:pPr>
            <w:r>
              <w:rPr>
                <w:rFonts w:hint="default" w:ascii="Times New Roman" w:hAnsi="Times New Roman" w:cs="Times New Roman"/>
                <w:b/>
                <w:bCs/>
                <w:color w:val="auto"/>
                <w:sz w:val="24"/>
                <w:szCs w:val="24"/>
              </w:rPr>
              <w:t>（四）竣工验收要求</w:t>
            </w:r>
          </w:p>
          <w:p w14:paraId="303F2520">
            <w:pPr>
              <w:pStyle w:val="175"/>
              <w:keepNext w:val="0"/>
              <w:keepLines w:val="0"/>
              <w:pageBreakBefore w:val="0"/>
              <w:widowControl w:val="0"/>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根据《建设项目竣工环境保护验收暂行办法》（国环规环评〔2017〕4号），建设单位自行验收。本项目自行验收要求如下： </w:t>
            </w:r>
          </w:p>
          <w:p w14:paraId="08A61629">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1.</w:t>
            </w:r>
            <w:r>
              <w:rPr>
                <w:rFonts w:hint="default" w:ascii="Times New Roman" w:hAnsi="Times New Roman" w:cs="Times New Roman"/>
                <w:color w:val="auto"/>
                <w:sz w:val="24"/>
                <w:szCs w:val="24"/>
              </w:rPr>
              <w:t>建设单位是建设项目竣工环境保护验收的责任主体，应当按照暂行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不得在验收过程中弄虚作假。针对本项目，应参照《建设项目竣工环境保护验收技术指南污染影响类》编制验收监测报告。</w:t>
            </w:r>
          </w:p>
          <w:p w14:paraId="57950071">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cs="Times New Roman"/>
                <w:color w:val="auto"/>
                <w:sz w:val="24"/>
                <w:szCs w:val="24"/>
              </w:rPr>
              <w:t>验收监测报告编制完成后，建设单位应当根据验收监测报告结论，逐一检查是否存在暂行办法第八条所列验收不合格的情形，提出验收意见。存在问题的，建设单位应当进行整改，整改完成后方可提出验收意见。验收意见包括工程建设基本情况、工程变动情况、环境保护设施落实情况、环境保护设施调试效果、工程建设对环境的影响、验收结论和后续要求等内容，验收结论应当明确该建设项目环境保护设施是否验收合格。建设项目配套建设的环境保护设施经验收合格后，其主体工程方可投入生产或者使用；未经验收或者验收不合格的，不得投入生产或者使用。</w:t>
            </w:r>
          </w:p>
          <w:p w14:paraId="1BB3A60F">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3.</w:t>
            </w:r>
            <w:r>
              <w:rPr>
                <w:rFonts w:hint="default" w:ascii="Times New Roman" w:hAnsi="Times New Roman" w:cs="Times New Roman"/>
                <w:color w:val="auto"/>
                <w:sz w:val="24"/>
                <w:szCs w:val="24"/>
              </w:rPr>
              <w:t xml:space="preserve">存在下列情形之一的建设项目，不得通过竣工环境保护验收： </w:t>
            </w:r>
          </w:p>
          <w:p w14:paraId="6AFF5217">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未按环境影响报告表及其审批部门审批决定要求建成环境保护设施，或者环境保护设施不能与主体工程同时投产或者使用的；</w:t>
            </w:r>
          </w:p>
          <w:p w14:paraId="7A0CC8E7">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污染物排放不符合国家和地方相关标准、环境影响报告书及其审批部门审批决定或者重点污染物排放总量控制指标要求的；</w:t>
            </w:r>
          </w:p>
          <w:p w14:paraId="4D533485">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环境影响报告表经批准后，该建设项目的性质、规模、地点、采用的生产工艺或者防治污染、防止生态破坏的措施发生重大变动，建设单位未重新报批环境影响报告书或者环境影响报告书未经批准的； </w:t>
            </w:r>
          </w:p>
          <w:p w14:paraId="55142E74">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建设过程中造成重大环境污染未治理完成，或者造成重大生态破坏未恢复的； </w:t>
            </w:r>
          </w:p>
          <w:p w14:paraId="17DA7C17">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纳入排污许可管理的建设项目，无证排污或者不按证排污的；</w:t>
            </w:r>
          </w:p>
          <w:p w14:paraId="5A98AA6F">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建设单位因该建设项目违反国家和地方环境保护法律法规受到处罚，被责令改正，尚未改正完成的；</w:t>
            </w:r>
          </w:p>
          <w:p w14:paraId="1A602528">
            <w:pPr>
              <w:pStyle w:val="175"/>
              <w:keepNext w:val="0"/>
              <w:keepLines w:val="0"/>
              <w:pageBreakBefore w:val="0"/>
              <w:widowControl w:val="0"/>
              <w:numPr>
                <w:ilvl w:val="0"/>
                <w:numId w:val="16"/>
              </w:numPr>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验收报告的基础资料数据明显不实，内容存在重大缺项、遗漏，或者验收结论不明确、不合理的。</w:t>
            </w:r>
          </w:p>
          <w:p w14:paraId="4E694CAB">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4.</w:t>
            </w:r>
            <w:r>
              <w:rPr>
                <w:rFonts w:hint="default" w:ascii="Times New Roman" w:hAnsi="Times New Roman" w:cs="Times New Roman"/>
                <w:color w:val="auto"/>
                <w:sz w:val="24"/>
                <w:szCs w:val="24"/>
              </w:rPr>
              <w:t>为提高验收的有效性，在提出验收意见的过程中，建设单位可以组织成立验收工作组，采取现场检查、资料查阅、召开验收会议等方式，协助开展验收工作。验收工作组可以由设计单位、施工单位、环境影响报告书编制机构、验收监测（调查）报告编制机构等单位代表以及专业技术专家等组成，代表范围和人数自定。除按照国家需要保密的情形外，建设单位应当通过其网站或其他便于公众知晓的方式，向社会公开下列信息：</w:t>
            </w:r>
          </w:p>
          <w:p w14:paraId="4BB56606">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22" w:firstLineChars="200"/>
              <w:jc w:val="left"/>
              <w:textAlignment w:val="auto"/>
              <w:rPr>
                <w:rFonts w:hint="default" w:ascii="Times New Roman" w:hAnsi="Times New Roman" w:cs="Times New Roman"/>
                <w:color w:val="auto"/>
                <w:sz w:val="24"/>
                <w:szCs w:val="24"/>
              </w:rPr>
            </w:pPr>
            <w:r>
              <w:rPr>
                <w:rFonts w:hint="eastAsia" w:cs="Times New Roman"/>
                <w:b/>
                <w:bCs/>
                <w:color w:val="auto"/>
                <w:kern w:val="0"/>
                <w:sz w:val="21"/>
                <w:szCs w:val="21"/>
                <w:lang w:val="en-US" w:eastAsia="zh-CN" w:bidi="ar-SA"/>
              </w:rPr>
              <w:t>①</w:t>
            </w:r>
            <w:r>
              <w:rPr>
                <w:rFonts w:hint="default" w:ascii="Times New Roman" w:hAnsi="Times New Roman" w:cs="Times New Roman"/>
                <w:color w:val="auto"/>
                <w:sz w:val="24"/>
                <w:szCs w:val="24"/>
              </w:rPr>
              <w:t>建设项目配套建设的环境保护设施竣工后，公开竣工日期；</w:t>
            </w:r>
          </w:p>
          <w:p w14:paraId="52DA14DD">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22" w:firstLineChars="200"/>
              <w:jc w:val="left"/>
              <w:textAlignment w:val="auto"/>
              <w:rPr>
                <w:rFonts w:hint="default" w:ascii="Times New Roman" w:hAnsi="Times New Roman" w:cs="Times New Roman"/>
                <w:color w:val="auto"/>
                <w:sz w:val="24"/>
                <w:szCs w:val="24"/>
              </w:rPr>
            </w:pPr>
            <w:r>
              <w:rPr>
                <w:rFonts w:hint="eastAsia" w:cs="Times New Roman"/>
                <w:b/>
                <w:bCs/>
                <w:color w:val="auto"/>
                <w:kern w:val="0"/>
                <w:sz w:val="21"/>
                <w:szCs w:val="21"/>
                <w:lang w:val="en-US" w:eastAsia="zh-CN" w:bidi="ar-SA"/>
              </w:rPr>
              <w:t>②</w:t>
            </w:r>
            <w:r>
              <w:rPr>
                <w:rFonts w:hint="default" w:ascii="Times New Roman" w:hAnsi="Times New Roman" w:cs="Times New Roman"/>
                <w:color w:val="auto"/>
                <w:sz w:val="24"/>
                <w:szCs w:val="24"/>
              </w:rPr>
              <w:t>对建设项目配套建设的环境保护设施进行调试前，公开调试的起止日期；</w:t>
            </w:r>
          </w:p>
          <w:p w14:paraId="3F2F3047">
            <w:pPr>
              <w:pStyle w:val="175"/>
              <w:keepNext w:val="0"/>
              <w:keepLines w:val="0"/>
              <w:pageBreakBefore w:val="0"/>
              <w:widowControl w:val="0"/>
              <w:numPr>
                <w:ilvl w:val="0"/>
                <w:numId w:val="0"/>
              </w:numPr>
              <w:tabs>
                <w:tab w:val="left" w:pos="0"/>
              </w:tabs>
              <w:kinsoku/>
              <w:overflowPunct/>
              <w:topLinePunct w:val="0"/>
              <w:autoSpaceDE/>
              <w:autoSpaceDN/>
              <w:bidi w:val="0"/>
              <w:spacing w:before="0" w:after="0" w:line="360" w:lineRule="auto"/>
              <w:ind w:left="0" w:leftChars="0" w:firstLine="422" w:firstLineChars="200"/>
              <w:jc w:val="left"/>
              <w:textAlignment w:val="auto"/>
              <w:rPr>
                <w:rFonts w:hint="default" w:ascii="Times New Roman" w:hAnsi="Times New Roman" w:cs="Times New Roman"/>
                <w:color w:val="auto"/>
                <w:sz w:val="24"/>
                <w:szCs w:val="24"/>
              </w:rPr>
            </w:pPr>
            <w:r>
              <w:rPr>
                <w:rFonts w:hint="eastAsia" w:cs="Times New Roman"/>
                <w:b/>
                <w:bCs/>
                <w:color w:val="auto"/>
                <w:kern w:val="0"/>
                <w:sz w:val="21"/>
                <w:szCs w:val="21"/>
                <w:lang w:val="en-US" w:eastAsia="zh-CN" w:bidi="ar-SA"/>
              </w:rPr>
              <w:t>③</w:t>
            </w:r>
            <w:r>
              <w:rPr>
                <w:rFonts w:hint="default" w:ascii="Times New Roman" w:hAnsi="Times New Roman" w:cs="Times New Roman"/>
                <w:color w:val="auto"/>
                <w:sz w:val="24"/>
                <w:szCs w:val="24"/>
              </w:rPr>
              <w:t>验收报告编制完成后5个工作日内，公开验收报告，公示的期限不得少于20个工作日。</w:t>
            </w:r>
          </w:p>
          <w:p w14:paraId="763EA423">
            <w:pPr>
              <w:keepNext w:val="0"/>
              <w:keepLines w:val="0"/>
              <w:pageBreakBefore w:val="0"/>
              <w:widowControl w:val="0"/>
              <w:numPr>
                <w:ilvl w:val="0"/>
                <w:numId w:val="0"/>
              </w:numPr>
              <w:tabs>
                <w:tab w:val="left" w:pos="0"/>
              </w:tabs>
              <w:kinsoku/>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kern w:val="2"/>
                <w:sz w:val="24"/>
                <w:szCs w:val="24"/>
                <w:lang w:val="en-US" w:eastAsia="zh-CN" w:bidi="ar-SA"/>
              </w:rPr>
              <w:t>5.</w:t>
            </w:r>
            <w:r>
              <w:rPr>
                <w:rFonts w:hint="default" w:ascii="Times New Roman" w:hAnsi="Times New Roman" w:cs="Times New Roman"/>
                <w:color w:val="auto"/>
                <w:sz w:val="24"/>
                <w:szCs w:val="24"/>
              </w:rPr>
              <w:t>验收期限是指自建设项目环境保护设施竣工之日起至建设单位向社会公开验收报告之日止的时间。验收报告公示期满后5个工作日内，建设单位应当登录全国建设项目竣工环境保护验收信息平台，填报建设项目基本信息、环境保护设施验收情况等相关信息，环境保护主管部门对上述信息予以公开。建设单位应当将验收报告以及其他档案资料存档备查。</w:t>
            </w:r>
          </w:p>
          <w:p w14:paraId="6A216999">
            <w:pPr>
              <w:pStyle w:val="175"/>
              <w:keepNext w:val="0"/>
              <w:keepLines w:val="0"/>
              <w:pageBreakBefore w:val="0"/>
              <w:widowControl w:val="0"/>
              <w:kinsoku/>
              <w:overflowPunct/>
              <w:topLinePunct w:val="0"/>
              <w:autoSpaceDE/>
              <w:autoSpaceDN/>
              <w:bidi w:val="0"/>
              <w:spacing w:before="0" w:after="0" w:line="360" w:lineRule="auto"/>
              <w:ind w:firstLine="480" w:firstLineChars="200"/>
              <w:jc w:val="left"/>
              <w:textAlignment w:val="auto"/>
              <w:rPr>
                <w:rFonts w:hint="default" w:ascii="Times New Roman" w:hAnsi="Times New Roman" w:cs="Times New Roman"/>
                <w:color w:val="auto"/>
                <w:sz w:val="24"/>
                <w:szCs w:val="24"/>
              </w:rPr>
            </w:pPr>
          </w:p>
          <w:p w14:paraId="6D7F7548">
            <w:pPr>
              <w:pStyle w:val="175"/>
              <w:keepNext w:val="0"/>
              <w:keepLines w:val="0"/>
              <w:pageBreakBefore w:val="0"/>
              <w:widowControl w:val="0"/>
              <w:kinsoku/>
              <w:overflowPunct/>
              <w:topLinePunct w:val="0"/>
              <w:autoSpaceDE/>
              <w:autoSpaceDN/>
              <w:bidi w:val="0"/>
              <w:spacing w:before="0" w:after="0" w:line="360" w:lineRule="auto"/>
              <w:jc w:val="both"/>
              <w:textAlignment w:val="auto"/>
              <w:rPr>
                <w:rFonts w:hint="default" w:ascii="Times New Roman" w:hAnsi="Times New Roman" w:cs="Times New Roman"/>
                <w:color w:val="auto"/>
                <w:sz w:val="24"/>
                <w:szCs w:val="24"/>
              </w:rPr>
            </w:pPr>
          </w:p>
          <w:p w14:paraId="7826FC5C">
            <w:pPr>
              <w:pStyle w:val="175"/>
              <w:keepNext w:val="0"/>
              <w:keepLines w:val="0"/>
              <w:pageBreakBefore w:val="0"/>
              <w:widowControl w:val="0"/>
              <w:kinsoku/>
              <w:overflowPunct/>
              <w:topLinePunct w:val="0"/>
              <w:autoSpaceDE/>
              <w:autoSpaceDN/>
              <w:bidi w:val="0"/>
              <w:spacing w:before="0" w:after="0" w:line="360" w:lineRule="auto"/>
              <w:jc w:val="both"/>
              <w:textAlignment w:val="auto"/>
              <w:rPr>
                <w:rFonts w:hint="default" w:ascii="Times New Roman" w:hAnsi="Times New Roman" w:eastAsia="宋体" w:cs="Times New Roman"/>
                <w:color w:val="auto"/>
                <w:sz w:val="21"/>
                <w:szCs w:val="21"/>
                <w:highlight w:val="none"/>
              </w:rPr>
            </w:pPr>
          </w:p>
        </w:tc>
      </w:tr>
    </w:tbl>
    <w:p w14:paraId="4E97CFFA">
      <w:pPr>
        <w:pStyle w:val="45"/>
        <w:jc w:val="center"/>
        <w:outlineLvl w:val="0"/>
        <w:rPr>
          <w:rFonts w:ascii="黑体" w:hAnsi="黑体" w:eastAsia="黑体"/>
          <w:snapToGrid w:val="0"/>
          <w:color w:val="auto"/>
          <w:sz w:val="30"/>
          <w:szCs w:val="30"/>
          <w:highlight w:val="none"/>
        </w:rPr>
      </w:pPr>
      <w:r>
        <w:rPr>
          <w:snapToGrid w:val="0"/>
          <w:color w:val="auto"/>
          <w:highlight w:val="none"/>
        </w:rPr>
        <w:br w:type="page"/>
      </w:r>
      <w:bookmarkStart w:id="41" w:name="_Toc6762"/>
      <w:bookmarkStart w:id="42" w:name="_Toc9674"/>
      <w:bookmarkStart w:id="43" w:name="_Toc7332"/>
      <w:bookmarkStart w:id="44" w:name="_Toc22078"/>
      <w:r>
        <w:rPr>
          <w:rFonts w:hint="eastAsia" w:ascii="黑体" w:hAnsi="黑体" w:eastAsia="黑体"/>
          <w:snapToGrid w:val="0"/>
          <w:color w:val="auto"/>
          <w:sz w:val="30"/>
          <w:szCs w:val="30"/>
          <w:highlight w:val="none"/>
        </w:rPr>
        <w:t>六、结论</w:t>
      </w:r>
      <w:bookmarkEnd w:id="41"/>
      <w:bookmarkEnd w:id="42"/>
      <w:bookmarkEnd w:id="43"/>
      <w:bookmarkEnd w:id="44"/>
    </w:p>
    <w:tbl>
      <w:tblPr>
        <w:tblStyle w:val="48"/>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7EACA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391" w:hRule="atLeast"/>
          <w:jc w:val="center"/>
        </w:trPr>
        <w:tc>
          <w:tcPr>
            <w:tcW w:w="8865" w:type="dxa"/>
            <w:noWrap w:val="0"/>
            <w:vAlign w:val="center"/>
          </w:tcPr>
          <w:p w14:paraId="09411B3E">
            <w:pPr>
              <w:spacing w:line="360" w:lineRule="auto"/>
              <w:ind w:firstLine="480" w:firstLineChars="200"/>
              <w:rPr>
                <w:rFonts w:ascii="宋体" w:cs="宋体"/>
                <w:color w:val="auto"/>
                <w:sz w:val="24"/>
                <w:highlight w:val="none"/>
              </w:rPr>
            </w:pPr>
            <w:r>
              <w:rPr>
                <w:rFonts w:hint="eastAsia" w:ascii="宋体" w:cs="宋体"/>
                <w:color w:val="auto"/>
                <w:sz w:val="24"/>
                <w:highlight w:val="none"/>
              </w:rPr>
              <w:t>本项目</w:t>
            </w:r>
            <w:r>
              <w:rPr>
                <w:rFonts w:ascii="宋体" w:cs="宋体"/>
                <w:color w:val="auto"/>
                <w:sz w:val="24"/>
                <w:highlight w:val="none"/>
              </w:rPr>
              <w:t>性质与周边环境功能区划相符，符合规划布局要求，选址合理可行。项目所在区域大气、水、声环境质量现状良好，因此本项目应认真执行环保“三同时”管理规定，把项目对环境的影响控制在最低限度。在切实落实本环评提出的各项有关环保措施，并确保各种治理设施正常</w:t>
            </w:r>
            <w:r>
              <w:rPr>
                <w:rFonts w:hint="eastAsia" w:ascii="宋体" w:cs="宋体"/>
                <w:color w:val="auto"/>
                <w:sz w:val="24"/>
                <w:highlight w:val="none"/>
                <w:lang w:eastAsia="zh-CN"/>
              </w:rPr>
              <w:t>运转</w:t>
            </w:r>
            <w:r>
              <w:rPr>
                <w:rFonts w:ascii="宋体" w:cs="宋体"/>
                <w:color w:val="auto"/>
                <w:sz w:val="24"/>
                <w:highlight w:val="none"/>
              </w:rPr>
              <w:t>以及确保污染物达标排放前提下，项目对周围环境质量的影响不大，从环境保护角度分析，本项目的建设是可行的。</w:t>
            </w:r>
          </w:p>
        </w:tc>
      </w:tr>
    </w:tbl>
    <w:p w14:paraId="24B6D17E">
      <w:pPr>
        <w:rPr>
          <w:rFonts w:ascii="宋体"/>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7117AEA">
      <w:pPr>
        <w:widowControl/>
        <w:adjustRightInd w:val="0"/>
        <w:snapToGrid w:val="0"/>
        <w:spacing w:before="0" w:beforeAutospacing="0" w:after="0" w:afterAutospacing="0"/>
        <w:jc w:val="left"/>
        <w:outlineLvl w:val="0"/>
        <w:rPr>
          <w:rFonts w:ascii="黑体" w:hAnsi="黑体" w:eastAsia="黑体" w:cs="Times New Roman"/>
          <w:snapToGrid w:val="0"/>
          <w:color w:val="auto"/>
          <w:kern w:val="0"/>
          <w:sz w:val="32"/>
          <w:szCs w:val="32"/>
          <w:highlight w:val="none"/>
          <w:lang w:val="en-US" w:eastAsia="zh-CN" w:bidi="ar-SA"/>
        </w:rPr>
      </w:pPr>
      <w:bookmarkStart w:id="45" w:name="_Toc13894"/>
      <w:bookmarkStart w:id="46" w:name="_Toc4000"/>
      <w:bookmarkStart w:id="47" w:name="_Toc2248"/>
      <w:bookmarkStart w:id="48" w:name="_Toc10053"/>
      <w:r>
        <w:rPr>
          <w:rFonts w:hint="eastAsia" w:ascii="黑体" w:hAnsi="黑体" w:eastAsia="黑体" w:cs="Times New Roman"/>
          <w:snapToGrid w:val="0"/>
          <w:color w:val="auto"/>
          <w:kern w:val="0"/>
          <w:sz w:val="32"/>
          <w:szCs w:val="32"/>
          <w:highlight w:val="none"/>
          <w:lang w:val="en-US" w:eastAsia="zh-CN" w:bidi="ar-SA"/>
        </w:rPr>
        <w:t>附表</w:t>
      </w:r>
      <w:bookmarkEnd w:id="45"/>
      <w:bookmarkEnd w:id="46"/>
      <w:bookmarkEnd w:id="47"/>
      <w:bookmarkEnd w:id="48"/>
    </w:p>
    <w:p w14:paraId="535D65B0">
      <w:pPr>
        <w:widowControl/>
        <w:adjustRightInd w:val="0"/>
        <w:snapToGrid w:val="0"/>
        <w:spacing w:before="0" w:beforeAutospacing="0" w:after="0" w:afterAutospacing="0" w:line="552" w:lineRule="auto"/>
        <w:jc w:val="center"/>
        <w:rPr>
          <w:rFonts w:hint="eastAsia" w:ascii="方正小标宋_GBK" w:hAnsi="黑体" w:eastAsia="方正小标宋_GBK" w:cs="Times New Roman"/>
          <w:snapToGrid w:val="0"/>
          <w:color w:val="auto"/>
          <w:kern w:val="0"/>
          <w:sz w:val="38"/>
          <w:szCs w:val="38"/>
          <w:highlight w:val="none"/>
          <w:lang w:val="en-US" w:eastAsia="zh-CN" w:bidi="ar-SA"/>
        </w:rPr>
      </w:pPr>
      <w:bookmarkStart w:id="49" w:name="_Toc6789"/>
      <w:r>
        <w:rPr>
          <w:rFonts w:hint="eastAsia" w:ascii="方正小标宋_GBK" w:hAnsi="黑体" w:eastAsia="方正小标宋_GBK" w:cs="Times New Roman"/>
          <w:snapToGrid w:val="0"/>
          <w:color w:val="auto"/>
          <w:kern w:val="0"/>
          <w:sz w:val="38"/>
          <w:szCs w:val="38"/>
          <w:highlight w:val="none"/>
          <w:lang w:val="en-US" w:eastAsia="zh-CN" w:bidi="ar-SA"/>
        </w:rPr>
        <w:t>建设项目污染物排放量汇总表</w:t>
      </w:r>
      <w:bookmarkEnd w:id="49"/>
    </w:p>
    <w:tbl>
      <w:tblPr>
        <w:tblStyle w:val="48"/>
        <w:tblW w:w="13957"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62"/>
        <w:gridCol w:w="1795"/>
        <w:gridCol w:w="1704"/>
        <w:gridCol w:w="1356"/>
        <w:gridCol w:w="1644"/>
        <w:gridCol w:w="1488"/>
        <w:gridCol w:w="1620"/>
        <w:gridCol w:w="1932"/>
        <w:gridCol w:w="1456"/>
      </w:tblGrid>
      <w:tr w14:paraId="120917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962" w:type="dxa"/>
            <w:tcBorders>
              <w:tl2br w:val="single" w:color="auto" w:sz="4" w:space="0"/>
            </w:tcBorders>
            <w:noWrap w:val="0"/>
            <w:tcMar>
              <w:left w:w="28" w:type="dxa"/>
              <w:right w:w="28" w:type="dxa"/>
            </w:tcMar>
            <w:vAlign w:val="center"/>
          </w:tcPr>
          <w:p w14:paraId="66D20467">
            <w:pPr>
              <w:widowControl w:val="0"/>
              <w:adjustRightInd w:val="0"/>
              <w:snapToGrid w:val="0"/>
              <w:spacing w:beforeLines="0" w:afterLines="0" w:line="240" w:lineRule="auto"/>
              <w:ind w:firstLine="398" w:firstLineChars="200"/>
              <w:jc w:val="right"/>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项目</w:t>
            </w:r>
          </w:p>
          <w:p w14:paraId="60CA1145">
            <w:pPr>
              <w:widowControl w:val="0"/>
              <w:adjustRightInd w:val="0"/>
              <w:snapToGrid w:val="0"/>
              <w:spacing w:beforeLines="0" w:afterLines="0" w:line="240" w:lineRule="auto"/>
              <w:ind w:firstLine="0" w:firstLineChars="0"/>
              <w:jc w:val="left"/>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分类</w:t>
            </w:r>
          </w:p>
        </w:tc>
        <w:tc>
          <w:tcPr>
            <w:tcW w:w="1795" w:type="dxa"/>
            <w:noWrap w:val="0"/>
            <w:tcMar>
              <w:left w:w="28" w:type="dxa"/>
              <w:right w:w="28" w:type="dxa"/>
            </w:tcMar>
            <w:vAlign w:val="center"/>
          </w:tcPr>
          <w:p w14:paraId="0F7056BD">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污染物名称</w:t>
            </w:r>
          </w:p>
        </w:tc>
        <w:tc>
          <w:tcPr>
            <w:tcW w:w="1704" w:type="dxa"/>
            <w:noWrap w:val="0"/>
            <w:tcMar>
              <w:left w:w="28" w:type="dxa"/>
              <w:right w:w="28" w:type="dxa"/>
            </w:tcMar>
            <w:vAlign w:val="center"/>
          </w:tcPr>
          <w:p w14:paraId="728FC8F5">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现有工程排放量（固体废物产生量）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1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①</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c>
          <w:tcPr>
            <w:tcW w:w="1356" w:type="dxa"/>
            <w:noWrap w:val="0"/>
            <w:tcMar>
              <w:left w:w="28" w:type="dxa"/>
              <w:right w:w="28" w:type="dxa"/>
            </w:tcMar>
            <w:vAlign w:val="center"/>
          </w:tcPr>
          <w:p w14:paraId="4DB37C3A">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现有工程许可排放量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2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snapToGrid w:val="0"/>
                <w:color w:val="auto"/>
                <w:spacing w:val="-6"/>
                <w:kern w:val="21"/>
                <w:sz w:val="21"/>
                <w:szCs w:val="21"/>
                <w:highlight w:val="none"/>
                <w:lang w:val="en-US" w:eastAsia="zh-CN" w:bidi="ar-SA"/>
              </w:rPr>
              <w:t>②</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c>
          <w:tcPr>
            <w:tcW w:w="1644" w:type="dxa"/>
            <w:noWrap w:val="0"/>
            <w:tcMar>
              <w:left w:w="28" w:type="dxa"/>
              <w:right w:w="28" w:type="dxa"/>
            </w:tcMar>
            <w:vAlign w:val="center"/>
          </w:tcPr>
          <w:p w14:paraId="12673731">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在建工程排放量（固体废物产生量）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3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③</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c>
          <w:tcPr>
            <w:tcW w:w="1488" w:type="dxa"/>
            <w:noWrap w:val="0"/>
            <w:tcMar>
              <w:left w:w="28" w:type="dxa"/>
              <w:right w:w="28" w:type="dxa"/>
            </w:tcMar>
            <w:vAlign w:val="center"/>
          </w:tcPr>
          <w:p w14:paraId="45224A23">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本项目排放量（固体废物产生量）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4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④</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c>
          <w:tcPr>
            <w:tcW w:w="1620" w:type="dxa"/>
            <w:noWrap w:val="0"/>
            <w:tcMar>
              <w:left w:w="28" w:type="dxa"/>
              <w:right w:w="28" w:type="dxa"/>
            </w:tcMar>
            <w:vAlign w:val="center"/>
          </w:tcPr>
          <w:p w14:paraId="7A271BF6">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16"/>
                <w:kern w:val="21"/>
                <w:sz w:val="21"/>
                <w:szCs w:val="21"/>
                <w:highlight w:val="none"/>
                <w:lang w:val="en-US" w:eastAsia="zh-CN" w:bidi="ar-SA"/>
              </w:rPr>
            </w:pPr>
            <w:r>
              <w:rPr>
                <w:rFonts w:hint="default" w:ascii="Times New Roman" w:hAnsi="Times New Roman" w:eastAsia="宋体" w:cs="Times New Roman"/>
                <w:b/>
                <w:bCs/>
                <w:snapToGrid w:val="0"/>
                <w:color w:val="auto"/>
                <w:spacing w:val="-16"/>
                <w:kern w:val="21"/>
                <w:sz w:val="21"/>
                <w:szCs w:val="21"/>
                <w:highlight w:val="none"/>
                <w:lang w:val="en-US" w:eastAsia="zh-CN" w:bidi="ar-SA"/>
              </w:rPr>
              <w:t>以新带老削减量（新建项目不填）</w: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16"/>
                <w:kern w:val="21"/>
                <w:sz w:val="21"/>
                <w:szCs w:val="21"/>
                <w:highlight w:val="none"/>
                <w:lang w:val="en-US" w:eastAsia="zh-CN" w:bidi="ar-SA"/>
              </w:rPr>
              <w:instrText xml:space="preserve"> = 5 \* GB3 \* MERGEFORMAT </w:instrTex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⑤</w: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end"/>
            </w:r>
          </w:p>
        </w:tc>
        <w:tc>
          <w:tcPr>
            <w:tcW w:w="1932" w:type="dxa"/>
            <w:noWrap w:val="0"/>
            <w:tcMar>
              <w:left w:w="28" w:type="dxa"/>
              <w:right w:w="28" w:type="dxa"/>
            </w:tcMar>
            <w:vAlign w:val="center"/>
          </w:tcPr>
          <w:p w14:paraId="5359B995">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16"/>
                <w:kern w:val="21"/>
                <w:sz w:val="21"/>
                <w:szCs w:val="21"/>
                <w:highlight w:val="none"/>
                <w:lang w:val="en-US" w:eastAsia="zh-CN" w:bidi="ar-SA"/>
              </w:rPr>
            </w:pPr>
            <w:r>
              <w:rPr>
                <w:rFonts w:hint="default" w:ascii="Times New Roman" w:hAnsi="Times New Roman" w:eastAsia="宋体" w:cs="Times New Roman"/>
                <w:b/>
                <w:bCs/>
                <w:snapToGrid w:val="0"/>
                <w:color w:val="auto"/>
                <w:spacing w:val="-16"/>
                <w:kern w:val="21"/>
                <w:sz w:val="21"/>
                <w:szCs w:val="21"/>
                <w:highlight w:val="none"/>
                <w:lang w:val="en-US" w:eastAsia="zh-CN" w:bidi="ar-SA"/>
              </w:rPr>
              <w:t>本项目建成后全厂排放量（固体废物产生量）</w: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16"/>
                <w:kern w:val="21"/>
                <w:sz w:val="21"/>
                <w:szCs w:val="21"/>
                <w:highlight w:val="none"/>
                <w:lang w:val="en-US" w:eastAsia="zh-CN" w:bidi="ar-SA"/>
              </w:rPr>
              <w:instrText xml:space="preserve"> = 6 \* GB3 \* MERGEFORMAT </w:instrTex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⑥</w:t>
            </w:r>
            <w:r>
              <w:rPr>
                <w:rFonts w:hint="default" w:ascii="Times New Roman" w:hAnsi="Times New Roman" w:eastAsia="宋体" w:cs="Times New Roman"/>
                <w:b/>
                <w:bCs/>
                <w:snapToGrid w:val="0"/>
                <w:color w:val="auto"/>
                <w:spacing w:val="-16"/>
                <w:kern w:val="21"/>
                <w:sz w:val="21"/>
                <w:szCs w:val="21"/>
                <w:highlight w:val="none"/>
                <w:lang w:val="en-US" w:eastAsia="zh-CN" w:bidi="ar-SA"/>
              </w:rPr>
              <w:fldChar w:fldCharType="end"/>
            </w:r>
          </w:p>
        </w:tc>
        <w:tc>
          <w:tcPr>
            <w:tcW w:w="1456" w:type="dxa"/>
            <w:noWrap w:val="0"/>
            <w:tcMar>
              <w:left w:w="28" w:type="dxa"/>
              <w:right w:w="28" w:type="dxa"/>
            </w:tcMar>
            <w:vAlign w:val="center"/>
          </w:tcPr>
          <w:p w14:paraId="02483D4C">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highlight w:val="none"/>
                <w:lang w:val="en-US" w:eastAsia="zh-CN" w:bidi="ar-SA"/>
              </w:rPr>
            </w:pPr>
            <w:r>
              <w:rPr>
                <w:rFonts w:hint="default" w:ascii="Times New Roman" w:hAnsi="Times New Roman" w:eastAsia="宋体" w:cs="Times New Roman"/>
                <w:b/>
                <w:bCs/>
                <w:snapToGrid w:val="0"/>
                <w:color w:val="auto"/>
                <w:spacing w:val="-6"/>
                <w:kern w:val="21"/>
                <w:sz w:val="21"/>
                <w:szCs w:val="21"/>
                <w:highlight w:val="none"/>
                <w:lang w:val="en-US" w:eastAsia="zh-CN" w:bidi="ar-SA"/>
              </w:rPr>
              <w:t>变化量</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begin"/>
            </w:r>
            <w:r>
              <w:rPr>
                <w:rFonts w:hint="default" w:ascii="Times New Roman" w:hAnsi="Times New Roman" w:eastAsia="宋体" w:cs="Times New Roman"/>
                <w:b/>
                <w:bCs/>
                <w:snapToGrid w:val="0"/>
                <w:color w:val="auto"/>
                <w:spacing w:val="-6"/>
                <w:kern w:val="21"/>
                <w:sz w:val="21"/>
                <w:szCs w:val="21"/>
                <w:highlight w:val="none"/>
                <w:lang w:val="en-US" w:eastAsia="zh-CN" w:bidi="ar-SA"/>
              </w:rPr>
              <w:instrText xml:space="preserve"> = 7 \* GB3 \* MERGEFORMAT </w:instrTex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separate"/>
            </w:r>
            <w:r>
              <w:rPr>
                <w:rFonts w:hint="default" w:ascii="Times New Roman" w:hAnsi="Times New Roman" w:eastAsia="宋体" w:cs="Times New Roman"/>
                <w:b/>
                <w:bCs/>
                <w:color w:val="auto"/>
                <w:kern w:val="2"/>
                <w:sz w:val="21"/>
                <w:szCs w:val="21"/>
                <w:highlight w:val="none"/>
                <w:lang w:val="en-US" w:eastAsia="zh-CN" w:bidi="ar-SA"/>
              </w:rPr>
              <w:t>⑦</w:t>
            </w:r>
            <w:r>
              <w:rPr>
                <w:rFonts w:hint="default" w:ascii="Times New Roman" w:hAnsi="Times New Roman" w:eastAsia="宋体" w:cs="Times New Roman"/>
                <w:b/>
                <w:bCs/>
                <w:snapToGrid w:val="0"/>
                <w:color w:val="auto"/>
                <w:spacing w:val="-6"/>
                <w:kern w:val="21"/>
                <w:sz w:val="21"/>
                <w:szCs w:val="21"/>
                <w:highlight w:val="none"/>
                <w:lang w:val="en-US" w:eastAsia="zh-CN" w:bidi="ar-SA"/>
              </w:rPr>
              <w:fldChar w:fldCharType="end"/>
            </w:r>
          </w:p>
        </w:tc>
      </w:tr>
      <w:tr w14:paraId="23395C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restart"/>
            <w:noWrap w:val="0"/>
            <w:vAlign w:val="center"/>
          </w:tcPr>
          <w:p w14:paraId="24BFB1AF">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废气</w:t>
            </w:r>
          </w:p>
        </w:tc>
        <w:tc>
          <w:tcPr>
            <w:tcW w:w="1795" w:type="dxa"/>
            <w:noWrap w:val="0"/>
            <w:vAlign w:val="center"/>
          </w:tcPr>
          <w:p w14:paraId="522510EC">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bidi="ar"/>
              </w:rPr>
              <w:t>废气量</w:t>
            </w:r>
          </w:p>
        </w:tc>
        <w:tc>
          <w:tcPr>
            <w:tcW w:w="1704" w:type="dxa"/>
            <w:noWrap w:val="0"/>
            <w:vAlign w:val="center"/>
          </w:tcPr>
          <w:p w14:paraId="5C24E885">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356" w:type="dxa"/>
            <w:noWrap w:val="0"/>
            <w:vAlign w:val="center"/>
          </w:tcPr>
          <w:p w14:paraId="73D2F389">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644" w:type="dxa"/>
            <w:noWrap w:val="0"/>
            <w:vAlign w:val="center"/>
          </w:tcPr>
          <w:p w14:paraId="699AC119">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488" w:type="dxa"/>
            <w:noWrap w:val="0"/>
            <w:vAlign w:val="center"/>
          </w:tcPr>
          <w:p w14:paraId="7FC4B026">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bidi="ar-SA"/>
              </w:rPr>
              <w:t>48624.16</w:t>
            </w:r>
            <w:r>
              <w:rPr>
                <w:rFonts w:hint="default" w:ascii="Times New Roman" w:hAnsi="Times New Roman" w:eastAsia="宋体" w:cs="Times New Roman"/>
                <w:color w:val="auto"/>
                <w:kern w:val="0"/>
                <w:sz w:val="21"/>
                <w:szCs w:val="21"/>
                <w:highlight w:val="none"/>
                <w:lang w:val="en-US" w:eastAsia="zh-CN" w:bidi="ar"/>
              </w:rPr>
              <w:t>万m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val="en-US" w:eastAsia="zh-CN" w:bidi="ar"/>
              </w:rPr>
              <w:t>/a</w:t>
            </w:r>
          </w:p>
        </w:tc>
        <w:tc>
          <w:tcPr>
            <w:tcW w:w="1620" w:type="dxa"/>
            <w:noWrap w:val="0"/>
            <w:vAlign w:val="center"/>
          </w:tcPr>
          <w:p w14:paraId="48614F35">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932" w:type="dxa"/>
            <w:noWrap w:val="0"/>
            <w:vAlign w:val="center"/>
          </w:tcPr>
          <w:p w14:paraId="12511351">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bidi="ar-SA"/>
              </w:rPr>
              <w:t>48624.16</w:t>
            </w:r>
            <w:r>
              <w:rPr>
                <w:rFonts w:hint="default" w:ascii="Times New Roman" w:hAnsi="Times New Roman" w:eastAsia="宋体" w:cs="Times New Roman"/>
                <w:color w:val="auto"/>
                <w:kern w:val="0"/>
                <w:sz w:val="21"/>
                <w:szCs w:val="21"/>
                <w:highlight w:val="none"/>
                <w:lang w:val="en-US" w:eastAsia="zh-CN" w:bidi="ar"/>
              </w:rPr>
              <w:t>万m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val="en-US" w:eastAsia="zh-CN" w:bidi="ar"/>
              </w:rPr>
              <w:t>/a</w:t>
            </w:r>
          </w:p>
        </w:tc>
        <w:tc>
          <w:tcPr>
            <w:tcW w:w="1456" w:type="dxa"/>
            <w:noWrap w:val="0"/>
            <w:vAlign w:val="center"/>
          </w:tcPr>
          <w:p w14:paraId="17962D4E">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r>
              <w:rPr>
                <w:rFonts w:hint="eastAsia" w:cs="Times New Roman"/>
                <w:snapToGrid w:val="0"/>
                <w:color w:val="auto"/>
                <w:kern w:val="21"/>
                <w:sz w:val="21"/>
                <w:szCs w:val="21"/>
                <w:highlight w:val="none"/>
                <w:lang w:val="en-US" w:eastAsia="zh-CN" w:bidi="ar-SA"/>
              </w:rPr>
              <w:t>48624.16</w:t>
            </w:r>
            <w:r>
              <w:rPr>
                <w:rFonts w:hint="default" w:ascii="Times New Roman" w:hAnsi="Times New Roman" w:eastAsia="宋体" w:cs="Times New Roman"/>
                <w:color w:val="auto"/>
                <w:kern w:val="0"/>
                <w:sz w:val="21"/>
                <w:szCs w:val="21"/>
                <w:highlight w:val="none"/>
                <w:lang w:val="en-US" w:eastAsia="zh-CN" w:bidi="ar"/>
              </w:rPr>
              <w:t>万m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val="en-US" w:eastAsia="zh-CN" w:bidi="ar"/>
              </w:rPr>
              <w:t>/a</w:t>
            </w:r>
          </w:p>
        </w:tc>
      </w:tr>
      <w:tr w14:paraId="7C6663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21309B48">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45FA3B0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颗粒物</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56A53F9A">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356" w:type="dxa"/>
            <w:noWrap w:val="0"/>
            <w:vAlign w:val="center"/>
          </w:tcPr>
          <w:p w14:paraId="6D44B8AD">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644" w:type="dxa"/>
            <w:noWrap w:val="0"/>
            <w:vAlign w:val="center"/>
          </w:tcPr>
          <w:p w14:paraId="6DF5DC53">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488" w:type="dxa"/>
            <w:noWrap w:val="0"/>
            <w:vAlign w:val="center"/>
          </w:tcPr>
          <w:p w14:paraId="7B682682">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r>
              <w:rPr>
                <w:rFonts w:hint="eastAsia" w:cs="Times New Roman"/>
                <w:i w:val="0"/>
                <w:iCs w:val="0"/>
                <w:color w:val="auto"/>
                <w:kern w:val="0"/>
                <w:sz w:val="21"/>
                <w:szCs w:val="21"/>
                <w:u w:val="none"/>
                <w:lang w:val="en-US" w:eastAsia="zh-CN" w:bidi="ar"/>
              </w:rPr>
              <w:t>277</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20" w:type="dxa"/>
            <w:noWrap w:val="0"/>
            <w:vAlign w:val="center"/>
          </w:tcPr>
          <w:p w14:paraId="07563BE3">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w:t>
            </w:r>
          </w:p>
        </w:tc>
        <w:tc>
          <w:tcPr>
            <w:tcW w:w="1932" w:type="dxa"/>
            <w:noWrap w:val="0"/>
            <w:vAlign w:val="center"/>
          </w:tcPr>
          <w:p w14:paraId="756E39C3">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r>
              <w:rPr>
                <w:rFonts w:hint="eastAsia" w:cs="Times New Roman"/>
                <w:i w:val="0"/>
                <w:iCs w:val="0"/>
                <w:color w:val="auto"/>
                <w:kern w:val="0"/>
                <w:sz w:val="21"/>
                <w:szCs w:val="21"/>
                <w:u w:val="none"/>
                <w:lang w:val="en-US" w:eastAsia="zh-CN" w:bidi="ar"/>
              </w:rPr>
              <w:t>277</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456" w:type="dxa"/>
            <w:noWrap w:val="0"/>
            <w:vAlign w:val="center"/>
          </w:tcPr>
          <w:p w14:paraId="7ED58740">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2.</w:t>
            </w:r>
            <w:r>
              <w:rPr>
                <w:rFonts w:hint="eastAsia" w:cs="Times New Roman"/>
                <w:i w:val="0"/>
                <w:iCs w:val="0"/>
                <w:color w:val="auto"/>
                <w:kern w:val="0"/>
                <w:sz w:val="21"/>
                <w:szCs w:val="21"/>
                <w:u w:val="none"/>
                <w:lang w:val="en-US" w:eastAsia="zh-CN" w:bidi="ar"/>
              </w:rPr>
              <w:t>277</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38F74C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0BCC9117">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3FE3348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非甲烷总烃</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7C7D55E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0EB46970">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05778036">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3638C8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1.022 </w:t>
            </w:r>
          </w:p>
        </w:tc>
        <w:tc>
          <w:tcPr>
            <w:tcW w:w="1620" w:type="dxa"/>
            <w:noWrap w:val="0"/>
            <w:vAlign w:val="center"/>
          </w:tcPr>
          <w:p w14:paraId="0E6EEF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932" w:type="dxa"/>
            <w:noWrap w:val="0"/>
            <w:vAlign w:val="center"/>
          </w:tcPr>
          <w:p w14:paraId="21ADC5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1.022 </w:t>
            </w:r>
          </w:p>
        </w:tc>
        <w:tc>
          <w:tcPr>
            <w:tcW w:w="1456" w:type="dxa"/>
            <w:noWrap w:val="0"/>
            <w:vAlign w:val="center"/>
          </w:tcPr>
          <w:p w14:paraId="2FD3F62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1.022 </w:t>
            </w:r>
          </w:p>
        </w:tc>
      </w:tr>
      <w:tr w14:paraId="1405F0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65DE0A38">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6FC679E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苯系物</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3EE74E8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7D16290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1A6D866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4E66441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0.483 </w:t>
            </w:r>
          </w:p>
        </w:tc>
        <w:tc>
          <w:tcPr>
            <w:tcW w:w="1620" w:type="dxa"/>
            <w:noWrap w:val="0"/>
            <w:vAlign w:val="center"/>
          </w:tcPr>
          <w:p w14:paraId="0400085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932" w:type="dxa"/>
            <w:noWrap w:val="0"/>
            <w:vAlign w:val="center"/>
          </w:tcPr>
          <w:p w14:paraId="0DE79F3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0.483 </w:t>
            </w:r>
          </w:p>
        </w:tc>
        <w:tc>
          <w:tcPr>
            <w:tcW w:w="1456" w:type="dxa"/>
            <w:noWrap w:val="0"/>
            <w:vAlign w:val="center"/>
          </w:tcPr>
          <w:p w14:paraId="2710A2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0.483 </w:t>
            </w:r>
          </w:p>
        </w:tc>
      </w:tr>
      <w:tr w14:paraId="2E67F8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627DA44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00774BBD">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SO</w:t>
            </w:r>
            <w:r>
              <w:rPr>
                <w:rFonts w:hint="default" w:ascii="Times New Roman" w:hAnsi="Times New Roman" w:eastAsia="宋体" w:cs="Times New Roman"/>
                <w:i w:val="0"/>
                <w:iCs w:val="0"/>
                <w:color w:val="auto"/>
                <w:kern w:val="0"/>
                <w:sz w:val="21"/>
                <w:szCs w:val="21"/>
                <w:u w:val="none"/>
                <w:vertAlign w:val="subscript"/>
                <w:lang w:val="en-US" w:eastAsia="zh-CN" w:bidi="ar"/>
              </w:rPr>
              <w:t>2</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79EA78E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7CC18C6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5293368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41FE9D35">
            <w:pPr>
              <w:keepNext w:val="0"/>
              <w:keepLines w:val="0"/>
              <w:widowControl/>
              <w:suppressLineNumbers w:val="0"/>
              <w:jc w:val="center"/>
              <w:textAlignment w:val="center"/>
              <w:rPr>
                <w:rFonts w:hint="default" w:ascii="Times New Roman"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 xml:space="preserve">6 </w:t>
            </w:r>
          </w:p>
        </w:tc>
        <w:tc>
          <w:tcPr>
            <w:tcW w:w="1620" w:type="dxa"/>
            <w:noWrap w:val="0"/>
            <w:vAlign w:val="center"/>
          </w:tcPr>
          <w:p w14:paraId="266E9E6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1F9F2AAB">
            <w:pPr>
              <w:keepNext w:val="0"/>
              <w:keepLines w:val="0"/>
              <w:widowControl/>
              <w:suppressLineNumbers w:val="0"/>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 xml:space="preserve">6 </w:t>
            </w:r>
          </w:p>
        </w:tc>
        <w:tc>
          <w:tcPr>
            <w:tcW w:w="1456" w:type="dxa"/>
            <w:noWrap w:val="0"/>
            <w:vAlign w:val="center"/>
          </w:tcPr>
          <w:p w14:paraId="2DC8DEB3">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 xml:space="preserve">6 </w:t>
            </w:r>
          </w:p>
        </w:tc>
      </w:tr>
      <w:tr w14:paraId="494D79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2" w:type="dxa"/>
            <w:vMerge w:val="continue"/>
            <w:noWrap w:val="0"/>
            <w:vAlign w:val="center"/>
          </w:tcPr>
          <w:p w14:paraId="4ABCFE98">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4B3EA88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NO</w:t>
            </w:r>
            <w:r>
              <w:rPr>
                <w:rFonts w:hint="default" w:ascii="Times New Roman" w:hAnsi="Times New Roman" w:eastAsia="宋体" w:cs="Times New Roman"/>
                <w:i w:val="0"/>
                <w:iCs w:val="0"/>
                <w:color w:val="auto"/>
                <w:kern w:val="0"/>
                <w:sz w:val="21"/>
                <w:szCs w:val="21"/>
                <w:u w:val="none"/>
                <w:vertAlign w:val="subscript"/>
                <w:lang w:val="en-US" w:eastAsia="zh-CN" w:bidi="ar"/>
              </w:rPr>
              <w:t>X</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178210CE">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3AC09A7E">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5C23DF78">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1232740C">
            <w:pPr>
              <w:keepNext w:val="0"/>
              <w:keepLines w:val="0"/>
              <w:widowControl/>
              <w:suppressLineNumbers w:val="0"/>
              <w:jc w:val="center"/>
              <w:textAlignment w:val="center"/>
              <w:rPr>
                <w:rFonts w:hint="default" w:ascii="Times New Roman"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341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20" w:type="dxa"/>
            <w:noWrap w:val="0"/>
            <w:vAlign w:val="center"/>
          </w:tcPr>
          <w:p w14:paraId="0BEDC251">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42DD45D5">
            <w:pPr>
              <w:keepNext w:val="0"/>
              <w:keepLines w:val="0"/>
              <w:widowControl/>
              <w:suppressLineNumbers w:val="0"/>
              <w:jc w:val="center"/>
              <w:textAlignment w:val="center"/>
              <w:rPr>
                <w:rFonts w:hint="eastAsia"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341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456" w:type="dxa"/>
            <w:noWrap w:val="0"/>
            <w:vAlign w:val="center"/>
          </w:tcPr>
          <w:p w14:paraId="00514957">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w:t>
            </w:r>
            <w:r>
              <w:rPr>
                <w:rFonts w:hint="eastAsia" w:cs="Times New Roman"/>
                <w:i w:val="0"/>
                <w:iCs w:val="0"/>
                <w:color w:val="auto"/>
                <w:kern w:val="0"/>
                <w:sz w:val="21"/>
                <w:szCs w:val="21"/>
                <w:u w:val="none"/>
                <w:lang w:val="en-US" w:eastAsia="zh-CN" w:bidi="ar"/>
              </w:rPr>
              <w:t>341</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5CAFAD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62" w:type="dxa"/>
            <w:vMerge w:val="continue"/>
            <w:noWrap w:val="0"/>
            <w:vAlign w:val="center"/>
          </w:tcPr>
          <w:p w14:paraId="5830B3F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7AC24C6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氟化物（t/a）</w:t>
            </w:r>
          </w:p>
        </w:tc>
        <w:tc>
          <w:tcPr>
            <w:tcW w:w="1704" w:type="dxa"/>
            <w:noWrap w:val="0"/>
            <w:vAlign w:val="center"/>
          </w:tcPr>
          <w:p w14:paraId="778715D0">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544F73A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4A910B0C">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2EA159AC">
            <w:pPr>
              <w:spacing w:beforeLines="0" w:afterLines="0" w:line="240" w:lineRule="auto"/>
              <w:ind w:firstLine="0" w:firstLineChars="0"/>
              <w:jc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snapToGrid w:val="0"/>
                <w:color w:val="auto"/>
                <w:kern w:val="21"/>
                <w:sz w:val="21"/>
                <w:szCs w:val="21"/>
                <w:highlight w:val="none"/>
                <w:lang w:val="en-US" w:eastAsia="zh-CN"/>
              </w:rPr>
              <w:t>0.003</w:t>
            </w:r>
          </w:p>
        </w:tc>
        <w:tc>
          <w:tcPr>
            <w:tcW w:w="1620" w:type="dxa"/>
            <w:noWrap w:val="0"/>
            <w:vAlign w:val="center"/>
          </w:tcPr>
          <w:p w14:paraId="5E09CEF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7CADE6E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0.003</w:t>
            </w:r>
          </w:p>
        </w:tc>
        <w:tc>
          <w:tcPr>
            <w:tcW w:w="1456" w:type="dxa"/>
            <w:noWrap w:val="0"/>
            <w:vAlign w:val="center"/>
          </w:tcPr>
          <w:p w14:paraId="646E57E6">
            <w:pPr>
              <w:keepNext w:val="0"/>
              <w:keepLines w:val="0"/>
              <w:widowControl/>
              <w:suppressLineNumbers w:val="0"/>
              <w:jc w:val="center"/>
              <w:textAlignment w:val="center"/>
              <w:rPr>
                <w:rFonts w:hint="default"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+0.003</w:t>
            </w:r>
          </w:p>
        </w:tc>
      </w:tr>
      <w:tr w14:paraId="05E42A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4AC5C5F7">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2B046734">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油烟</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3A470CA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76602C18">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26103C6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587EF8BF">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20</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20" w:type="dxa"/>
            <w:noWrap w:val="0"/>
            <w:vAlign w:val="center"/>
          </w:tcPr>
          <w:p w14:paraId="4371254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7DC487FF">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20</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456" w:type="dxa"/>
            <w:noWrap w:val="0"/>
            <w:vAlign w:val="center"/>
          </w:tcPr>
          <w:p w14:paraId="64E2FCBD">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20</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55ECCA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restart"/>
            <w:noWrap w:val="0"/>
            <w:vAlign w:val="center"/>
          </w:tcPr>
          <w:p w14:paraId="3FC70EEA">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废水</w:t>
            </w:r>
          </w:p>
        </w:tc>
        <w:tc>
          <w:tcPr>
            <w:tcW w:w="1795" w:type="dxa"/>
            <w:noWrap w:val="0"/>
            <w:vAlign w:val="center"/>
          </w:tcPr>
          <w:p w14:paraId="777B3E98">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废水量</w:t>
            </w:r>
          </w:p>
        </w:tc>
        <w:tc>
          <w:tcPr>
            <w:tcW w:w="1704" w:type="dxa"/>
            <w:noWrap w:val="0"/>
            <w:vAlign w:val="center"/>
          </w:tcPr>
          <w:p w14:paraId="033ED81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2C989D6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6401D37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2590948D">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2080</w:t>
            </w:r>
            <w:r>
              <w:rPr>
                <w:rFonts w:hint="default" w:ascii="Times New Roman" w:hAnsi="Times New Roman" w:eastAsia="宋体" w:cs="Times New Roman"/>
                <w:color w:val="auto"/>
                <w:kern w:val="0"/>
                <w:sz w:val="21"/>
                <w:szCs w:val="21"/>
                <w:highlight w:val="none"/>
                <w:lang w:val="en-US" w:eastAsia="zh-CN" w:bidi="ar"/>
              </w:rPr>
              <w:t>万</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620" w:type="dxa"/>
            <w:noWrap w:val="0"/>
            <w:vAlign w:val="center"/>
          </w:tcPr>
          <w:p w14:paraId="7281DD3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2E0F3183">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2080</w:t>
            </w:r>
            <w:r>
              <w:rPr>
                <w:rFonts w:hint="default" w:ascii="Times New Roman" w:hAnsi="Times New Roman" w:eastAsia="宋体" w:cs="Times New Roman"/>
                <w:color w:val="auto"/>
                <w:kern w:val="0"/>
                <w:sz w:val="21"/>
                <w:szCs w:val="21"/>
                <w:highlight w:val="none"/>
                <w:lang w:val="en-US" w:eastAsia="zh-CN" w:bidi="ar"/>
              </w:rPr>
              <w:t>万</w:t>
            </w:r>
            <w:r>
              <w:rPr>
                <w:rFonts w:hint="default" w:ascii="Times New Roman" w:hAnsi="Times New Roman" w:eastAsia="宋体" w:cs="Times New Roman"/>
                <w:snapToGrid w:val="0"/>
                <w:color w:val="auto"/>
                <w:kern w:val="21"/>
                <w:sz w:val="21"/>
                <w:szCs w:val="21"/>
                <w:highlight w:val="none"/>
                <w:lang w:val="en-US" w:eastAsia="zh-CN" w:bidi="ar-SA"/>
              </w:rPr>
              <w:t>t/a</w:t>
            </w:r>
          </w:p>
        </w:tc>
        <w:tc>
          <w:tcPr>
            <w:tcW w:w="1456" w:type="dxa"/>
            <w:noWrap w:val="0"/>
            <w:vAlign w:val="center"/>
          </w:tcPr>
          <w:p w14:paraId="065B04FA">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2080</w:t>
            </w:r>
            <w:r>
              <w:rPr>
                <w:rFonts w:hint="default" w:ascii="Times New Roman" w:hAnsi="Times New Roman" w:eastAsia="宋体" w:cs="Times New Roman"/>
                <w:color w:val="auto"/>
                <w:kern w:val="0"/>
                <w:sz w:val="21"/>
                <w:szCs w:val="21"/>
                <w:highlight w:val="none"/>
                <w:lang w:val="en-US" w:eastAsia="zh-CN" w:bidi="ar"/>
              </w:rPr>
              <w:t>万</w:t>
            </w:r>
            <w:r>
              <w:rPr>
                <w:rFonts w:hint="default" w:ascii="Times New Roman" w:hAnsi="Times New Roman" w:eastAsia="宋体" w:cs="Times New Roman"/>
                <w:snapToGrid w:val="0"/>
                <w:color w:val="auto"/>
                <w:kern w:val="21"/>
                <w:sz w:val="21"/>
                <w:szCs w:val="21"/>
                <w:highlight w:val="none"/>
                <w:lang w:val="en-US" w:eastAsia="zh-CN" w:bidi="ar-SA"/>
              </w:rPr>
              <w:t>t/a</w:t>
            </w:r>
          </w:p>
        </w:tc>
      </w:tr>
      <w:tr w14:paraId="61C7F5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104ED7E6">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47261621">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COD</w:t>
            </w:r>
            <w:r>
              <w:rPr>
                <w:rFonts w:hint="default" w:ascii="Times New Roman" w:hAnsi="Times New Roman" w:eastAsia="宋体" w:cs="Times New Roman"/>
                <w:i w:val="0"/>
                <w:iCs w:val="0"/>
                <w:color w:val="auto"/>
                <w:kern w:val="0"/>
                <w:sz w:val="21"/>
                <w:szCs w:val="21"/>
                <w:u w:val="none"/>
                <w:vertAlign w:val="subscript"/>
                <w:lang w:val="en-US" w:eastAsia="zh-CN" w:bidi="ar"/>
              </w:rPr>
              <w:t>Cr</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5257E73C">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3820A62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17C9EE9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0C6DC3D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1.499 </w:t>
            </w:r>
          </w:p>
        </w:tc>
        <w:tc>
          <w:tcPr>
            <w:tcW w:w="1620" w:type="dxa"/>
            <w:shd w:val="clear" w:color="auto" w:fill="auto"/>
            <w:noWrap w:val="0"/>
            <w:vAlign w:val="center"/>
          </w:tcPr>
          <w:p w14:paraId="1E643B4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2EAA0F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1.499 </w:t>
            </w:r>
          </w:p>
        </w:tc>
        <w:tc>
          <w:tcPr>
            <w:tcW w:w="1456" w:type="dxa"/>
            <w:shd w:val="clear" w:color="auto" w:fill="FFFFFF"/>
            <w:noWrap w:val="0"/>
            <w:vAlign w:val="center"/>
          </w:tcPr>
          <w:p w14:paraId="587353D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1.499 </w:t>
            </w:r>
          </w:p>
        </w:tc>
      </w:tr>
      <w:tr w14:paraId="67F1E0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15BADE6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1E387E25">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BOD</w:t>
            </w:r>
            <w:r>
              <w:rPr>
                <w:rFonts w:hint="default" w:ascii="Times New Roman" w:hAnsi="Times New Roman" w:eastAsia="宋体" w:cs="Times New Roman"/>
                <w:i w:val="0"/>
                <w:iCs w:val="0"/>
                <w:color w:val="auto"/>
                <w:kern w:val="0"/>
                <w:sz w:val="21"/>
                <w:szCs w:val="21"/>
                <w:u w:val="none"/>
                <w:vertAlign w:val="subscript"/>
                <w:lang w:val="en-US" w:eastAsia="zh-CN" w:bidi="ar"/>
              </w:rPr>
              <w:t>5</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1A89EB8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617EF17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779891E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1CE107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0.828 </w:t>
            </w:r>
          </w:p>
        </w:tc>
        <w:tc>
          <w:tcPr>
            <w:tcW w:w="1620" w:type="dxa"/>
            <w:shd w:val="clear" w:color="auto" w:fill="auto"/>
            <w:noWrap w:val="0"/>
            <w:vAlign w:val="center"/>
          </w:tcPr>
          <w:p w14:paraId="4C586B1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55A8BF4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0.828 </w:t>
            </w:r>
          </w:p>
        </w:tc>
        <w:tc>
          <w:tcPr>
            <w:tcW w:w="1456" w:type="dxa"/>
            <w:shd w:val="clear" w:color="auto" w:fill="FFFFFF"/>
            <w:noWrap w:val="0"/>
            <w:vAlign w:val="center"/>
          </w:tcPr>
          <w:p w14:paraId="121A9F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0.828 </w:t>
            </w:r>
          </w:p>
        </w:tc>
      </w:tr>
      <w:tr w14:paraId="7F3A05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2768DBE1">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2023885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SS</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43286FD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71BB647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125FEF6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0EB358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0.253 </w:t>
            </w:r>
          </w:p>
        </w:tc>
        <w:tc>
          <w:tcPr>
            <w:tcW w:w="1620" w:type="dxa"/>
            <w:shd w:val="clear" w:color="auto" w:fill="auto"/>
            <w:noWrap w:val="0"/>
            <w:vAlign w:val="center"/>
          </w:tcPr>
          <w:p w14:paraId="0878B87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1D104D0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0.253 </w:t>
            </w:r>
          </w:p>
        </w:tc>
        <w:tc>
          <w:tcPr>
            <w:tcW w:w="1456" w:type="dxa"/>
            <w:shd w:val="clear" w:color="auto" w:fill="FFFFFF"/>
            <w:noWrap w:val="0"/>
            <w:vAlign w:val="center"/>
          </w:tcPr>
          <w:p w14:paraId="545092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0.253 </w:t>
            </w:r>
          </w:p>
        </w:tc>
      </w:tr>
      <w:tr w14:paraId="433333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40661DA8">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4C87831F">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NH</w:t>
            </w:r>
            <w:r>
              <w:rPr>
                <w:rFonts w:hint="default" w:ascii="Times New Roman" w:hAnsi="Times New Roman" w:eastAsia="宋体" w:cs="Times New Roman"/>
                <w:i w:val="0"/>
                <w:iCs w:val="0"/>
                <w:color w:val="auto"/>
                <w:kern w:val="0"/>
                <w:sz w:val="21"/>
                <w:szCs w:val="21"/>
                <w:u w:val="none"/>
                <w:vertAlign w:val="sub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-N</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3BB3AFC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3F9997F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7973E60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286C233E">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0.188 </w:t>
            </w:r>
          </w:p>
        </w:tc>
        <w:tc>
          <w:tcPr>
            <w:tcW w:w="1620" w:type="dxa"/>
            <w:shd w:val="clear" w:color="auto" w:fill="auto"/>
            <w:noWrap w:val="0"/>
            <w:vAlign w:val="center"/>
          </w:tcPr>
          <w:p w14:paraId="636482B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6501746F">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0.188 </w:t>
            </w:r>
          </w:p>
        </w:tc>
        <w:tc>
          <w:tcPr>
            <w:tcW w:w="1456" w:type="dxa"/>
            <w:shd w:val="clear" w:color="auto" w:fill="FFFFFF"/>
            <w:noWrap w:val="0"/>
            <w:vAlign w:val="center"/>
          </w:tcPr>
          <w:p w14:paraId="78AE00F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0.188 </w:t>
            </w:r>
          </w:p>
        </w:tc>
      </w:tr>
      <w:tr w14:paraId="3DC17D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010ADE8B">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6ECE1C0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宋体" w:hAnsi="宋体" w:eastAsia="宋体" w:cs="宋体"/>
                <w:i w:val="0"/>
                <w:iCs w:val="0"/>
                <w:color w:val="auto"/>
                <w:kern w:val="0"/>
                <w:sz w:val="21"/>
                <w:szCs w:val="21"/>
                <w:u w:val="none"/>
                <w:lang w:val="en-US" w:eastAsia="zh-CN" w:bidi="ar"/>
              </w:rPr>
              <w:t>氟化物</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36F018D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5D2AAD86">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446094F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5367A72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0.098 </w:t>
            </w:r>
          </w:p>
        </w:tc>
        <w:tc>
          <w:tcPr>
            <w:tcW w:w="1620" w:type="dxa"/>
            <w:shd w:val="clear" w:color="auto" w:fill="auto"/>
            <w:noWrap w:val="0"/>
            <w:vAlign w:val="center"/>
          </w:tcPr>
          <w:p w14:paraId="2DE271F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598677B4">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0.098 </w:t>
            </w:r>
          </w:p>
        </w:tc>
        <w:tc>
          <w:tcPr>
            <w:tcW w:w="1456" w:type="dxa"/>
            <w:shd w:val="clear" w:color="auto" w:fill="FFFFFF"/>
            <w:noWrap w:val="0"/>
            <w:vAlign w:val="center"/>
          </w:tcPr>
          <w:p w14:paraId="675641C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0.098 </w:t>
            </w:r>
          </w:p>
        </w:tc>
      </w:tr>
      <w:tr w14:paraId="45F6E6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62922C1D">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07FEFD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TP</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5391AEA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5BB7D30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68AD872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6D0733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620" w:type="dxa"/>
            <w:shd w:val="clear" w:color="auto" w:fill="auto"/>
            <w:noWrap w:val="0"/>
            <w:vAlign w:val="center"/>
          </w:tcPr>
          <w:p w14:paraId="491D0476">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p>
        </w:tc>
        <w:tc>
          <w:tcPr>
            <w:tcW w:w="1932" w:type="dxa"/>
            <w:shd w:val="clear" w:color="auto" w:fill="FFFFFF"/>
            <w:noWrap w:val="0"/>
            <w:vAlign w:val="center"/>
          </w:tcPr>
          <w:p w14:paraId="4F0DB79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0.009 </w:t>
            </w:r>
          </w:p>
        </w:tc>
        <w:tc>
          <w:tcPr>
            <w:tcW w:w="1456" w:type="dxa"/>
            <w:shd w:val="clear" w:color="auto" w:fill="FFFFFF"/>
            <w:noWrap w:val="0"/>
            <w:vAlign w:val="center"/>
          </w:tcPr>
          <w:p w14:paraId="3E42FC7E">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0.009 </w:t>
            </w:r>
          </w:p>
        </w:tc>
      </w:tr>
      <w:tr w14:paraId="07342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09BC374B">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47E66A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TN</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25BEB2D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54EC837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4494804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5E9C871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0.377 </w:t>
            </w:r>
          </w:p>
        </w:tc>
        <w:tc>
          <w:tcPr>
            <w:tcW w:w="1620" w:type="dxa"/>
            <w:shd w:val="clear" w:color="auto" w:fill="auto"/>
            <w:noWrap w:val="0"/>
            <w:vAlign w:val="center"/>
          </w:tcPr>
          <w:p w14:paraId="4B3A97B8">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p>
        </w:tc>
        <w:tc>
          <w:tcPr>
            <w:tcW w:w="1932" w:type="dxa"/>
            <w:shd w:val="clear" w:color="auto" w:fill="FFFFFF"/>
            <w:noWrap w:val="0"/>
            <w:vAlign w:val="center"/>
          </w:tcPr>
          <w:p w14:paraId="2124BF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0.377 </w:t>
            </w:r>
          </w:p>
        </w:tc>
        <w:tc>
          <w:tcPr>
            <w:tcW w:w="1456" w:type="dxa"/>
            <w:shd w:val="clear" w:color="auto" w:fill="FFFFFF"/>
            <w:noWrap w:val="0"/>
            <w:vAlign w:val="center"/>
          </w:tcPr>
          <w:p w14:paraId="733B2866">
            <w:pPr>
              <w:keepNext w:val="0"/>
              <w:keepLines w:val="0"/>
              <w:widowControl/>
              <w:suppressLineNumbers w:val="0"/>
              <w:jc w:val="center"/>
              <w:textAlignment w:val="center"/>
              <w:rPr>
                <w:rFonts w:hint="eastAsia"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0.377 </w:t>
            </w:r>
          </w:p>
        </w:tc>
      </w:tr>
      <w:tr w14:paraId="079085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111D1C34">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6E36A5E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宋体" w:hAnsi="宋体" w:eastAsia="宋体" w:cs="宋体"/>
                <w:i w:val="0"/>
                <w:iCs w:val="0"/>
                <w:color w:val="auto"/>
                <w:kern w:val="0"/>
                <w:sz w:val="21"/>
                <w:szCs w:val="21"/>
                <w:u w:val="none"/>
                <w:lang w:val="en-US" w:eastAsia="zh-CN" w:bidi="ar"/>
              </w:rPr>
              <w:t>阴离子表面活性剂</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07D17A7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3FE2DD9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1EA1FEB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40BF7A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0.003 </w:t>
            </w:r>
          </w:p>
        </w:tc>
        <w:tc>
          <w:tcPr>
            <w:tcW w:w="1620" w:type="dxa"/>
            <w:shd w:val="clear" w:color="auto" w:fill="auto"/>
            <w:noWrap w:val="0"/>
            <w:vAlign w:val="center"/>
          </w:tcPr>
          <w:p w14:paraId="070289D7">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3008140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0.003 </w:t>
            </w:r>
          </w:p>
        </w:tc>
        <w:tc>
          <w:tcPr>
            <w:tcW w:w="1456" w:type="dxa"/>
            <w:shd w:val="clear" w:color="auto" w:fill="FFFFFF"/>
            <w:noWrap w:val="0"/>
            <w:vAlign w:val="center"/>
          </w:tcPr>
          <w:p w14:paraId="412855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0.003 </w:t>
            </w:r>
          </w:p>
        </w:tc>
      </w:tr>
      <w:tr w14:paraId="09400E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shd w:val="clear" w:color="auto" w:fill="auto"/>
            <w:noWrap w:val="0"/>
            <w:vAlign w:val="center"/>
          </w:tcPr>
          <w:p w14:paraId="67388763">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7E69FA5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总铝</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7E955356">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2CB7B84C">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62DD095C">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74050AC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c>
          <w:tcPr>
            <w:tcW w:w="1620" w:type="dxa"/>
            <w:shd w:val="clear" w:color="auto" w:fill="auto"/>
            <w:noWrap w:val="0"/>
            <w:vAlign w:val="center"/>
          </w:tcPr>
          <w:p w14:paraId="44F9984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5E37304C">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0.018 </w:t>
            </w:r>
          </w:p>
        </w:tc>
        <w:tc>
          <w:tcPr>
            <w:tcW w:w="1456" w:type="dxa"/>
            <w:shd w:val="clear" w:color="auto" w:fill="FFFFFF"/>
            <w:noWrap w:val="0"/>
            <w:vAlign w:val="center"/>
          </w:tcPr>
          <w:p w14:paraId="3958D47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0.018 </w:t>
            </w:r>
          </w:p>
        </w:tc>
      </w:tr>
      <w:tr w14:paraId="7603DD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962" w:type="dxa"/>
            <w:vMerge w:val="continue"/>
            <w:shd w:val="clear" w:color="auto" w:fill="auto"/>
            <w:noWrap w:val="0"/>
            <w:vAlign w:val="center"/>
          </w:tcPr>
          <w:p w14:paraId="4ADC6133">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1DA4E8D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宋体" w:hAnsi="宋体" w:eastAsia="宋体" w:cs="宋体"/>
                <w:i w:val="0"/>
                <w:iCs w:val="0"/>
                <w:color w:val="auto"/>
                <w:kern w:val="0"/>
                <w:sz w:val="21"/>
                <w:szCs w:val="21"/>
                <w:u w:val="none"/>
                <w:lang w:val="en-US" w:eastAsia="zh-CN" w:bidi="ar"/>
              </w:rPr>
              <w:t>石油类</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3F1E037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0A922E4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7172F07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553A2023">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c>
          <w:tcPr>
            <w:tcW w:w="1620" w:type="dxa"/>
            <w:shd w:val="clear" w:color="auto" w:fill="auto"/>
            <w:noWrap w:val="0"/>
            <w:vAlign w:val="center"/>
          </w:tcPr>
          <w:p w14:paraId="37ACDCE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3A92E026">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c>
          <w:tcPr>
            <w:tcW w:w="1456" w:type="dxa"/>
            <w:shd w:val="clear" w:color="auto" w:fill="FFFFFF"/>
            <w:noWrap w:val="0"/>
            <w:vAlign w:val="center"/>
          </w:tcPr>
          <w:p w14:paraId="37A6AEF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0.041 </w:t>
            </w:r>
          </w:p>
        </w:tc>
      </w:tr>
      <w:tr w14:paraId="61F3B8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3" w:hRule="exact"/>
        </w:trPr>
        <w:tc>
          <w:tcPr>
            <w:tcW w:w="962" w:type="dxa"/>
            <w:vMerge w:val="continue"/>
            <w:shd w:val="clear" w:color="auto" w:fill="auto"/>
            <w:noWrap w:val="0"/>
            <w:vAlign w:val="center"/>
          </w:tcPr>
          <w:p w14:paraId="2C788499">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shd w:val="clear" w:color="auto" w:fill="auto"/>
            <w:noWrap w:val="0"/>
            <w:vAlign w:val="center"/>
          </w:tcPr>
          <w:p w14:paraId="7637CF2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宋体" w:hAnsi="宋体" w:eastAsia="宋体" w:cs="宋体"/>
                <w:i w:val="0"/>
                <w:iCs w:val="0"/>
                <w:color w:val="auto"/>
                <w:kern w:val="0"/>
                <w:sz w:val="21"/>
                <w:szCs w:val="21"/>
                <w:u w:val="none"/>
                <w:lang w:val="en-US" w:eastAsia="zh-CN" w:bidi="ar"/>
              </w:rPr>
              <w:t>动植物油</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shd w:val="clear" w:color="auto" w:fill="auto"/>
            <w:noWrap w:val="0"/>
            <w:vAlign w:val="center"/>
          </w:tcPr>
          <w:p w14:paraId="734E3AF6">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shd w:val="clear" w:color="auto" w:fill="auto"/>
            <w:noWrap w:val="0"/>
            <w:vAlign w:val="center"/>
          </w:tcPr>
          <w:p w14:paraId="3B95330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shd w:val="clear" w:color="auto" w:fill="auto"/>
            <w:noWrap w:val="0"/>
            <w:vAlign w:val="center"/>
          </w:tcPr>
          <w:p w14:paraId="0B0D199E">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shd w:val="clear" w:color="auto" w:fill="FFFFFF"/>
            <w:noWrap w:val="0"/>
            <w:vAlign w:val="center"/>
          </w:tcPr>
          <w:p w14:paraId="4D505D8A">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c>
          <w:tcPr>
            <w:tcW w:w="1620" w:type="dxa"/>
            <w:shd w:val="clear" w:color="auto" w:fill="auto"/>
            <w:noWrap w:val="0"/>
            <w:vAlign w:val="center"/>
          </w:tcPr>
          <w:p w14:paraId="40D873D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shd w:val="clear" w:color="auto" w:fill="FFFFFF"/>
            <w:noWrap w:val="0"/>
            <w:vAlign w:val="center"/>
          </w:tcPr>
          <w:p w14:paraId="3D894299">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0.041 </w:t>
            </w:r>
          </w:p>
        </w:tc>
        <w:tc>
          <w:tcPr>
            <w:tcW w:w="1456" w:type="dxa"/>
            <w:shd w:val="clear" w:color="auto" w:fill="FFFFFF"/>
            <w:noWrap w:val="0"/>
            <w:vAlign w:val="center"/>
          </w:tcPr>
          <w:p w14:paraId="3C436655">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0.041 </w:t>
            </w:r>
          </w:p>
        </w:tc>
      </w:tr>
      <w:tr w14:paraId="5AB826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restart"/>
            <w:noWrap w:val="0"/>
            <w:vAlign w:val="center"/>
          </w:tcPr>
          <w:p w14:paraId="6CF074DC">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一般工业固体废物</w:t>
            </w:r>
          </w:p>
        </w:tc>
        <w:tc>
          <w:tcPr>
            <w:tcW w:w="1795" w:type="dxa"/>
            <w:noWrap w:val="0"/>
            <w:vAlign w:val="center"/>
          </w:tcPr>
          <w:p w14:paraId="6BF8F8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边角料</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4DBC54EE">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54CCE69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5724F5A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48BEEAF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45.478</w:t>
            </w:r>
          </w:p>
        </w:tc>
        <w:tc>
          <w:tcPr>
            <w:tcW w:w="1620" w:type="dxa"/>
            <w:noWrap w:val="0"/>
            <w:vAlign w:val="center"/>
          </w:tcPr>
          <w:p w14:paraId="045D71A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6D9B4BE3">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rPr>
            </w:pPr>
            <w:r>
              <w:rPr>
                <w:rFonts w:hint="eastAsia" w:cs="Times New Roman"/>
                <w:i w:val="0"/>
                <w:iCs w:val="0"/>
                <w:color w:val="auto"/>
                <w:kern w:val="0"/>
                <w:sz w:val="21"/>
                <w:szCs w:val="21"/>
                <w:u w:val="none"/>
                <w:lang w:val="en-US" w:eastAsia="zh-CN" w:bidi="ar"/>
              </w:rPr>
              <w:t>45.478</w:t>
            </w:r>
          </w:p>
        </w:tc>
        <w:tc>
          <w:tcPr>
            <w:tcW w:w="1456" w:type="dxa"/>
            <w:noWrap w:val="0"/>
            <w:vAlign w:val="center"/>
          </w:tcPr>
          <w:p w14:paraId="2D0D3238">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rPr>
            </w:pPr>
            <w:r>
              <w:rPr>
                <w:rFonts w:hint="eastAsia" w:cs="Times New Roman"/>
                <w:i w:val="0"/>
                <w:iCs w:val="0"/>
                <w:color w:val="auto"/>
                <w:kern w:val="0"/>
                <w:sz w:val="21"/>
                <w:szCs w:val="21"/>
                <w:u w:val="none"/>
                <w:lang w:val="en-US" w:eastAsia="zh-CN" w:bidi="ar"/>
              </w:rPr>
              <w:t>+45.478</w:t>
            </w:r>
          </w:p>
        </w:tc>
      </w:tr>
      <w:tr w14:paraId="471794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58DC6E21">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500D9F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包装废料</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314B55D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4BDA528F">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3F53396C">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16B27A3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1620" w:type="dxa"/>
            <w:noWrap w:val="0"/>
            <w:vAlign w:val="center"/>
          </w:tcPr>
          <w:p w14:paraId="1B38613C">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7E899AA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56" w:type="dxa"/>
            <w:noWrap w:val="0"/>
            <w:vAlign w:val="center"/>
          </w:tcPr>
          <w:p w14:paraId="19BEA41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2</w:t>
            </w:r>
          </w:p>
        </w:tc>
      </w:tr>
      <w:tr w14:paraId="3725E9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2724E363">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7F8864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rPr>
              <w:t>沉降金属粉尘</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7D8AE3A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7F72D4D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406C0970">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31A1FF5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11.18</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20" w:type="dxa"/>
            <w:noWrap w:val="0"/>
            <w:vAlign w:val="center"/>
          </w:tcPr>
          <w:p w14:paraId="0687728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4D6B795E">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rPr>
            </w:pPr>
            <w:r>
              <w:rPr>
                <w:rFonts w:hint="eastAsia" w:cs="Times New Roman"/>
                <w:i w:val="0"/>
                <w:iCs w:val="0"/>
                <w:color w:val="auto"/>
                <w:kern w:val="0"/>
                <w:sz w:val="21"/>
                <w:szCs w:val="21"/>
                <w:u w:val="none"/>
                <w:lang w:val="en-US" w:eastAsia="zh-CN" w:bidi="ar"/>
              </w:rPr>
              <w:t>11.18</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456" w:type="dxa"/>
            <w:noWrap w:val="0"/>
            <w:vAlign w:val="center"/>
          </w:tcPr>
          <w:p w14:paraId="3F876155">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rPr>
            </w:pPr>
            <w:r>
              <w:rPr>
                <w:rFonts w:hint="eastAsia" w:cs="Times New Roman"/>
                <w:i w:val="0"/>
                <w:iCs w:val="0"/>
                <w:color w:val="auto"/>
                <w:kern w:val="0"/>
                <w:sz w:val="21"/>
                <w:szCs w:val="21"/>
                <w:u w:val="none"/>
                <w:lang w:val="en-US" w:eastAsia="zh-CN" w:bidi="ar"/>
              </w:rPr>
              <w:t>+11.18</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4B7698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73D1DBD0">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74A582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废滤芯</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40D4A50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7CEAEA1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47EF4FF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3A7AF95E">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0.18</w:t>
            </w:r>
          </w:p>
        </w:tc>
        <w:tc>
          <w:tcPr>
            <w:tcW w:w="1620" w:type="dxa"/>
            <w:noWrap w:val="0"/>
            <w:vAlign w:val="center"/>
          </w:tcPr>
          <w:p w14:paraId="20B20BE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67FC4399">
            <w:pPr>
              <w:keepNext w:val="0"/>
              <w:keepLines w:val="0"/>
              <w:widowControl/>
              <w:suppressLineNumbers w:val="0"/>
              <w:jc w:val="center"/>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0.18</w:t>
            </w:r>
          </w:p>
        </w:tc>
        <w:tc>
          <w:tcPr>
            <w:tcW w:w="1456" w:type="dxa"/>
            <w:noWrap w:val="0"/>
            <w:vAlign w:val="center"/>
          </w:tcPr>
          <w:p w14:paraId="2BA32221">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0.18</w:t>
            </w:r>
          </w:p>
        </w:tc>
      </w:tr>
      <w:tr w14:paraId="3C0E44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restart"/>
            <w:noWrap w:val="0"/>
            <w:vAlign w:val="center"/>
          </w:tcPr>
          <w:p w14:paraId="77B6766B">
            <w:pPr>
              <w:widowControl w:val="0"/>
              <w:adjustRightInd w:val="0"/>
              <w:snapToGrid w:val="0"/>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 w:val="21"/>
                <w:szCs w:val="21"/>
                <w:highlight w:val="none"/>
                <w:lang w:val="en-US" w:eastAsia="zh-CN" w:bidi="ar-SA"/>
              </w:rPr>
              <w:t>危险废物</w:t>
            </w:r>
          </w:p>
        </w:tc>
        <w:tc>
          <w:tcPr>
            <w:tcW w:w="1795" w:type="dxa"/>
            <w:noWrap w:val="0"/>
            <w:vAlign w:val="center"/>
          </w:tcPr>
          <w:p w14:paraId="384408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废表面处理剂包装桶</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0B09A218">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61223EA1">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545FB72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7122807B">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0.63</w:t>
            </w:r>
          </w:p>
        </w:tc>
        <w:tc>
          <w:tcPr>
            <w:tcW w:w="1620" w:type="dxa"/>
            <w:noWrap w:val="0"/>
            <w:vAlign w:val="center"/>
          </w:tcPr>
          <w:p w14:paraId="1C0AF08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0FDF3014">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rPr>
            </w:pPr>
            <w:r>
              <w:rPr>
                <w:rFonts w:hint="eastAsia" w:cs="Times New Roman"/>
                <w:i w:val="0"/>
                <w:iCs w:val="0"/>
                <w:color w:val="auto"/>
                <w:kern w:val="0"/>
                <w:sz w:val="21"/>
                <w:szCs w:val="21"/>
                <w:u w:val="none"/>
                <w:lang w:val="en-US" w:eastAsia="zh-CN" w:bidi="ar"/>
              </w:rPr>
              <w:t>0.63</w:t>
            </w:r>
          </w:p>
        </w:tc>
        <w:tc>
          <w:tcPr>
            <w:tcW w:w="1456" w:type="dxa"/>
            <w:noWrap w:val="0"/>
            <w:vAlign w:val="center"/>
          </w:tcPr>
          <w:p w14:paraId="4B991170">
            <w:pPr>
              <w:keepNext w:val="0"/>
              <w:keepLines w:val="0"/>
              <w:widowControl/>
              <w:suppressLineNumbers w:val="0"/>
              <w:jc w:val="center"/>
              <w:textAlignment w:val="center"/>
              <w:rPr>
                <w:rFonts w:hint="default" w:ascii="Times New Roman" w:hAnsi="Times New Roman" w:eastAsia="宋体" w:cs="Times New Roman"/>
                <w:snapToGrid w:val="0"/>
                <w:color w:val="auto"/>
                <w:kern w:val="21"/>
                <w:sz w:val="21"/>
                <w:szCs w:val="21"/>
                <w:highlight w:val="none"/>
                <w:lang w:val="en-US"/>
              </w:rPr>
            </w:pPr>
            <w:r>
              <w:rPr>
                <w:rFonts w:hint="eastAsia" w:cs="Times New Roman"/>
                <w:i w:val="0"/>
                <w:iCs w:val="0"/>
                <w:color w:val="auto"/>
                <w:kern w:val="0"/>
                <w:sz w:val="21"/>
                <w:szCs w:val="21"/>
                <w:u w:val="none"/>
                <w:lang w:val="en-US" w:eastAsia="zh-CN" w:bidi="ar"/>
              </w:rPr>
              <w:t>+0.63</w:t>
            </w:r>
          </w:p>
        </w:tc>
      </w:tr>
      <w:tr w14:paraId="5C314C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04D0D320">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6681D8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预处理池泥渣及管道循环装置废物</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4124AE65">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0D70C071">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66977FF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7B32F800">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2</w:t>
            </w:r>
          </w:p>
        </w:tc>
        <w:tc>
          <w:tcPr>
            <w:tcW w:w="1620" w:type="dxa"/>
            <w:noWrap w:val="0"/>
            <w:vAlign w:val="center"/>
          </w:tcPr>
          <w:p w14:paraId="6C88CEA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31C03AB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eastAsia" w:cs="Times New Roman"/>
                <w:i w:val="0"/>
                <w:iCs w:val="0"/>
                <w:color w:val="auto"/>
                <w:kern w:val="0"/>
                <w:sz w:val="21"/>
                <w:szCs w:val="21"/>
                <w:u w:val="none"/>
                <w:lang w:val="en-US" w:eastAsia="zh-CN" w:bidi="ar"/>
              </w:rPr>
              <w:t>2</w:t>
            </w:r>
          </w:p>
        </w:tc>
        <w:tc>
          <w:tcPr>
            <w:tcW w:w="1456" w:type="dxa"/>
            <w:noWrap w:val="0"/>
            <w:vAlign w:val="center"/>
          </w:tcPr>
          <w:p w14:paraId="6FE0C17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+2</w:t>
            </w:r>
          </w:p>
        </w:tc>
      </w:tr>
      <w:tr w14:paraId="117A1F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1AE4D216">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1ABF51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无铬钝化池废槽液</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37485DF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3DE8F3BA">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17D2BE89">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788E177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1620" w:type="dxa"/>
            <w:noWrap w:val="0"/>
            <w:vAlign w:val="center"/>
          </w:tcPr>
          <w:p w14:paraId="2C9EA43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235DA77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44.8</w:t>
            </w:r>
          </w:p>
        </w:tc>
        <w:tc>
          <w:tcPr>
            <w:tcW w:w="1456" w:type="dxa"/>
            <w:noWrap w:val="0"/>
            <w:vAlign w:val="center"/>
          </w:tcPr>
          <w:p w14:paraId="49784DF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44.8</w:t>
            </w:r>
          </w:p>
        </w:tc>
      </w:tr>
      <w:tr w14:paraId="290481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6018132F">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045FCC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废水处理站污泥</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6CF5F4F3">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22BB219E">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7E9753DD">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243FD2B2">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i w:val="0"/>
                <w:iCs w:val="0"/>
                <w:color w:val="auto"/>
                <w:kern w:val="0"/>
                <w:sz w:val="21"/>
                <w:szCs w:val="21"/>
                <w:u w:val="none"/>
                <w:lang w:val="en-US" w:eastAsia="zh-CN" w:bidi="ar"/>
              </w:rPr>
              <w:t>11.051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20" w:type="dxa"/>
            <w:noWrap w:val="0"/>
            <w:vAlign w:val="center"/>
          </w:tcPr>
          <w:p w14:paraId="6D45E01B">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50D4178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eastAsia" w:cs="Times New Roman"/>
                <w:i w:val="0"/>
                <w:iCs w:val="0"/>
                <w:color w:val="auto"/>
                <w:kern w:val="0"/>
                <w:sz w:val="21"/>
                <w:szCs w:val="21"/>
                <w:u w:val="none"/>
                <w:lang w:val="en-US" w:eastAsia="zh-CN" w:bidi="ar"/>
              </w:rPr>
              <w:t>11.051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456" w:type="dxa"/>
            <w:noWrap w:val="0"/>
            <w:vAlign w:val="center"/>
          </w:tcPr>
          <w:p w14:paraId="7A67E9F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+11.051</w:t>
            </w:r>
            <w:r>
              <w:rPr>
                <w:rFonts w:hint="default" w:ascii="Times New Roman" w:hAnsi="Times New Roman" w:eastAsia="宋体" w:cs="Times New Roman"/>
                <w:i w:val="0"/>
                <w:iCs w:val="0"/>
                <w:color w:val="auto"/>
                <w:kern w:val="0"/>
                <w:sz w:val="21"/>
                <w:szCs w:val="21"/>
                <w:u w:val="none"/>
                <w:lang w:val="en-US" w:eastAsia="zh-CN" w:bidi="ar"/>
              </w:rPr>
              <w:t xml:space="preserve"> </w:t>
            </w:r>
          </w:p>
        </w:tc>
      </w:tr>
      <w:tr w14:paraId="0BC77D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3D0C5FF9">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1795" w:type="dxa"/>
            <w:noWrap w:val="0"/>
            <w:vAlign w:val="center"/>
          </w:tcPr>
          <w:p w14:paraId="1667A1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废pH调整剂包装桶</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snapToGrid w:val="0"/>
                <w:color w:val="auto"/>
                <w:kern w:val="21"/>
                <w:sz w:val="21"/>
                <w:szCs w:val="21"/>
                <w:highlight w:val="none"/>
                <w:lang w:val="en-US" w:eastAsia="zh-CN" w:bidi="ar-SA"/>
              </w:rPr>
              <w:t>t/a</w:t>
            </w:r>
            <w:r>
              <w:rPr>
                <w:rFonts w:hint="eastAsia" w:cs="Times New Roman"/>
                <w:i w:val="0"/>
                <w:iCs w:val="0"/>
                <w:color w:val="auto"/>
                <w:kern w:val="0"/>
                <w:sz w:val="21"/>
                <w:szCs w:val="21"/>
                <w:u w:val="none"/>
                <w:lang w:val="en-US" w:eastAsia="zh-CN" w:bidi="ar"/>
              </w:rPr>
              <w:t>）</w:t>
            </w:r>
          </w:p>
        </w:tc>
        <w:tc>
          <w:tcPr>
            <w:tcW w:w="1704" w:type="dxa"/>
            <w:noWrap w:val="0"/>
            <w:vAlign w:val="center"/>
          </w:tcPr>
          <w:p w14:paraId="32DCC067">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356" w:type="dxa"/>
            <w:noWrap w:val="0"/>
            <w:vAlign w:val="center"/>
          </w:tcPr>
          <w:p w14:paraId="76083702">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644" w:type="dxa"/>
            <w:noWrap w:val="0"/>
            <w:vAlign w:val="center"/>
          </w:tcPr>
          <w:p w14:paraId="3636B894">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488" w:type="dxa"/>
            <w:noWrap w:val="0"/>
            <w:vAlign w:val="center"/>
          </w:tcPr>
          <w:p w14:paraId="22BDD9E8">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0.008</w:t>
            </w:r>
          </w:p>
        </w:tc>
        <w:tc>
          <w:tcPr>
            <w:tcW w:w="1620" w:type="dxa"/>
            <w:noWrap w:val="0"/>
            <w:vAlign w:val="center"/>
          </w:tcPr>
          <w:p w14:paraId="60029287">
            <w:pPr>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highlight w:val="none"/>
              </w:rPr>
            </w:pPr>
            <w:r>
              <w:rPr>
                <w:rFonts w:hint="default" w:ascii="Times New Roman" w:hAnsi="Times New Roman" w:eastAsia="宋体" w:cs="Times New Roman"/>
                <w:snapToGrid w:val="0"/>
                <w:color w:val="auto"/>
                <w:kern w:val="21"/>
                <w:sz w:val="21"/>
                <w:szCs w:val="21"/>
                <w:highlight w:val="none"/>
              </w:rPr>
              <w:t>--</w:t>
            </w:r>
          </w:p>
        </w:tc>
        <w:tc>
          <w:tcPr>
            <w:tcW w:w="1932" w:type="dxa"/>
            <w:noWrap w:val="0"/>
            <w:vAlign w:val="center"/>
          </w:tcPr>
          <w:p w14:paraId="4A0D7B8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bidi="ar"/>
              </w:rPr>
            </w:pPr>
            <w:r>
              <w:rPr>
                <w:rFonts w:hint="default" w:ascii="Times New Roman" w:hAnsi="Times New Roman" w:eastAsia="宋体" w:cs="Times New Roman"/>
                <w:i w:val="0"/>
                <w:iCs w:val="0"/>
                <w:color w:val="auto"/>
                <w:kern w:val="0"/>
                <w:sz w:val="21"/>
                <w:szCs w:val="21"/>
                <w:u w:val="none"/>
                <w:lang w:val="en-US" w:eastAsia="zh-CN" w:bidi="ar"/>
              </w:rPr>
              <w:t>0.008</w:t>
            </w:r>
          </w:p>
        </w:tc>
        <w:tc>
          <w:tcPr>
            <w:tcW w:w="1456" w:type="dxa"/>
            <w:noWrap w:val="0"/>
            <w:vAlign w:val="center"/>
          </w:tcPr>
          <w:p w14:paraId="6BC1FF1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0.008</w:t>
            </w:r>
          </w:p>
        </w:tc>
      </w:tr>
      <w:tr w14:paraId="74D77C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2C177AD1">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B7DC3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废机油桶</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813940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4FA7D95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74B3A45F">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2B3DE6A6">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c>
          <w:tcPr>
            <w:tcW w:w="1620" w:type="dxa"/>
            <w:noWrap w:val="0"/>
            <w:vAlign w:val="center"/>
          </w:tcPr>
          <w:p w14:paraId="24978787">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4D3EC44F">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c>
          <w:tcPr>
            <w:tcW w:w="1456" w:type="dxa"/>
            <w:noWrap w:val="0"/>
            <w:vAlign w:val="center"/>
          </w:tcPr>
          <w:p w14:paraId="533A3C84">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0.02</w:t>
            </w:r>
          </w:p>
        </w:tc>
      </w:tr>
      <w:tr w14:paraId="5A9D76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3941189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919AF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废机油</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7990194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6C55C62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32821D6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6DC7DFEA">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1620" w:type="dxa"/>
            <w:noWrap w:val="0"/>
            <w:vAlign w:val="center"/>
          </w:tcPr>
          <w:p w14:paraId="04B82AEC">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3EAF8BD9">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c>
          <w:tcPr>
            <w:tcW w:w="1456" w:type="dxa"/>
            <w:noWrap w:val="0"/>
            <w:vAlign w:val="center"/>
          </w:tcPr>
          <w:p w14:paraId="6CDE4887">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0.8</w:t>
            </w:r>
          </w:p>
        </w:tc>
      </w:tr>
      <w:tr w14:paraId="7E5469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center"/>
          </w:tcPr>
          <w:p w14:paraId="3FD54E7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3F629C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废含油抹布手套</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61744D7C">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71F4F66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0250086E">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452F78C3">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1620" w:type="dxa"/>
            <w:noWrap w:val="0"/>
            <w:vAlign w:val="center"/>
          </w:tcPr>
          <w:p w14:paraId="49AC815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66C2F421">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c>
          <w:tcPr>
            <w:tcW w:w="1456" w:type="dxa"/>
            <w:noWrap w:val="0"/>
            <w:vAlign w:val="center"/>
          </w:tcPr>
          <w:p w14:paraId="6AADC2A1">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0.05</w:t>
            </w:r>
          </w:p>
        </w:tc>
      </w:tr>
      <w:tr w14:paraId="43EAE3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2C7DA1E2">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0F5B5B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废液压油桶</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6B8FB94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0EC9C90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7092A01">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3AD95F1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c>
          <w:tcPr>
            <w:tcW w:w="1620" w:type="dxa"/>
            <w:noWrap w:val="0"/>
            <w:vAlign w:val="center"/>
          </w:tcPr>
          <w:p w14:paraId="77AE3F0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8F6CBFF">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c>
          <w:tcPr>
            <w:tcW w:w="1456" w:type="dxa"/>
            <w:noWrap w:val="0"/>
            <w:vAlign w:val="center"/>
          </w:tcPr>
          <w:p w14:paraId="52D75D1D">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0.015</w:t>
            </w:r>
          </w:p>
        </w:tc>
      </w:tr>
      <w:tr w14:paraId="0CC296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078963E5">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D4094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废液压油</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AF9932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20592BE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0BB80BB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3943E7CD">
            <w:pPr>
              <w:keepNext w:val="0"/>
              <w:keepLines w:val="0"/>
              <w:widowControl/>
              <w:suppressLineNumbers w:val="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1620" w:type="dxa"/>
            <w:noWrap w:val="0"/>
            <w:vAlign w:val="center"/>
          </w:tcPr>
          <w:p w14:paraId="49D7115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7CE26BCA">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c>
          <w:tcPr>
            <w:tcW w:w="1456" w:type="dxa"/>
            <w:noWrap w:val="0"/>
            <w:vAlign w:val="center"/>
          </w:tcPr>
          <w:p w14:paraId="49CB5FD0">
            <w:pPr>
              <w:keepNext w:val="0"/>
              <w:keepLines w:val="0"/>
              <w:widowControl/>
              <w:suppressLineNumbers w:val="0"/>
              <w:jc w:val="center"/>
              <w:textAlignment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0.6</w:t>
            </w:r>
          </w:p>
        </w:tc>
      </w:tr>
      <w:tr w14:paraId="05DDE5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11DE84EE">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73B1B45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废原料桶</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053BC3D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42A4A40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2A6108B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426BA52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0.199</w:t>
            </w:r>
          </w:p>
        </w:tc>
        <w:tc>
          <w:tcPr>
            <w:tcW w:w="1620" w:type="dxa"/>
            <w:noWrap w:val="0"/>
            <w:vAlign w:val="center"/>
          </w:tcPr>
          <w:p w14:paraId="1EEE1B0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6458CC4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0.199</w:t>
            </w:r>
          </w:p>
        </w:tc>
        <w:tc>
          <w:tcPr>
            <w:tcW w:w="1456" w:type="dxa"/>
            <w:noWrap w:val="0"/>
            <w:vAlign w:val="center"/>
          </w:tcPr>
          <w:p w14:paraId="190CB1C3">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+0.199</w:t>
            </w:r>
          </w:p>
        </w:tc>
      </w:tr>
      <w:tr w14:paraId="46134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1AC306B0">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677726E6">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喷枪清洗液</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5AE42E6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6E2A541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50F949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60D79A12">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0.042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3F9BCF9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295314C">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0.042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08D9B42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+0.042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757C56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5F7CC80A">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79562E76">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废静电喷粉滤芯</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71FA9877">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596D6F7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1C1FA57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5DC10EE1">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0.096</w:t>
            </w:r>
          </w:p>
        </w:tc>
        <w:tc>
          <w:tcPr>
            <w:tcW w:w="1620" w:type="dxa"/>
            <w:noWrap w:val="0"/>
            <w:vAlign w:val="center"/>
          </w:tcPr>
          <w:p w14:paraId="4766498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3BACCA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0.096</w:t>
            </w:r>
          </w:p>
        </w:tc>
        <w:tc>
          <w:tcPr>
            <w:tcW w:w="1456" w:type="dxa"/>
            <w:noWrap w:val="0"/>
            <w:vAlign w:val="center"/>
          </w:tcPr>
          <w:p w14:paraId="5204CE7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0.096</w:t>
            </w:r>
          </w:p>
        </w:tc>
      </w:tr>
      <w:tr w14:paraId="3F2D76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28B29F54">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430E58FA">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废过滤棉</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0365418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7B65527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2700D67E">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3D92CE0F">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c>
          <w:tcPr>
            <w:tcW w:w="1620" w:type="dxa"/>
            <w:noWrap w:val="0"/>
            <w:vAlign w:val="center"/>
          </w:tcPr>
          <w:p w14:paraId="19FAC4E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5344361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c>
          <w:tcPr>
            <w:tcW w:w="1456" w:type="dxa"/>
            <w:noWrap w:val="0"/>
            <w:vAlign w:val="center"/>
          </w:tcPr>
          <w:p w14:paraId="7839923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0.12</w:t>
            </w:r>
          </w:p>
        </w:tc>
      </w:tr>
      <w:tr w14:paraId="167C93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0A3E0329">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55E6B8C3">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t>废活性炭</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1BBC9674">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5F92B5E9">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68BE6A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68A49A29">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29.028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648626B5">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5CE9A4DD">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29.028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03B0AC8B">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+29.028</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29A351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4F2E8770">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41CC752F">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废粉末涂料</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33650B62">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16533221">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1BA98FF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16B7333B">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3.465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4B8D6F4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05873D1B">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3.465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43EBD544">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+3.465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r w14:paraId="4D0BF8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1333C55E">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40973F91">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废催化剂</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6058BD6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4F398BF0">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0218CB5D">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2EB05A14">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0.16</w:t>
            </w:r>
          </w:p>
        </w:tc>
        <w:tc>
          <w:tcPr>
            <w:tcW w:w="1620" w:type="dxa"/>
            <w:noWrap w:val="0"/>
            <w:vAlign w:val="center"/>
          </w:tcPr>
          <w:p w14:paraId="27A77A1B">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2E295D5B">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0.16</w:t>
            </w:r>
          </w:p>
        </w:tc>
        <w:tc>
          <w:tcPr>
            <w:tcW w:w="1456" w:type="dxa"/>
            <w:noWrap w:val="0"/>
            <w:vAlign w:val="center"/>
          </w:tcPr>
          <w:p w14:paraId="6A5A0D48">
            <w:pPr>
              <w:keepNext w:val="0"/>
              <w:keepLines w:val="0"/>
              <w:widowControl/>
              <w:suppressLineNumbers w:val="0"/>
              <w:jc w:val="center"/>
              <w:textAlignment w:val="center"/>
              <w:rPr>
                <w:rFonts w:hint="eastAsia"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+0.16</w:t>
            </w:r>
          </w:p>
        </w:tc>
      </w:tr>
      <w:tr w14:paraId="743FE4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62" w:type="dxa"/>
            <w:vMerge w:val="continue"/>
            <w:noWrap w:val="0"/>
            <w:vAlign w:val="top"/>
          </w:tcPr>
          <w:p w14:paraId="4FD30D63">
            <w:pPr>
              <w:widowControl w:val="0"/>
              <w:adjustRightInd w:val="0"/>
              <w:snapToGrid w:val="0"/>
              <w:spacing w:beforeLines="0" w:afterLines="0" w:line="240" w:lineRule="auto"/>
              <w:ind w:firstLine="420" w:firstLineChars="200"/>
              <w:jc w:val="cente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pPr>
          </w:p>
        </w:tc>
        <w:tc>
          <w:tcPr>
            <w:tcW w:w="1795" w:type="dxa"/>
            <w:noWrap w:val="0"/>
            <w:vAlign w:val="center"/>
          </w:tcPr>
          <w:p w14:paraId="2D5A0595">
            <w:pPr>
              <w:pageBreakBefore w:val="0"/>
              <w:widowControl w:val="0"/>
              <w:tabs>
                <w:tab w:val="left" w:pos="-2848"/>
              </w:tabs>
              <w:wordWrap w:val="0"/>
              <w:topLinePunct/>
              <w:bidi w:val="0"/>
              <w:adjustRightInd w:val="0"/>
              <w:snapToGrid w:val="0"/>
              <w:spacing w:beforeAutospacing="0" w:afterAutospacing="0"/>
              <w:jc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t>喷淋废液及沉渣</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r>
              <w:rPr>
                <w:rFonts w:hint="default" w:ascii="Times New Roman" w:hAnsi="Times New Roman" w:eastAsia="宋体" w:cs="Times New Roman"/>
                <w:snapToGrid w:val="0"/>
                <w:color w:val="000000" w:themeColor="text1"/>
                <w:kern w:val="21"/>
                <w:sz w:val="21"/>
                <w:szCs w:val="21"/>
                <w:highlight w:val="none"/>
                <w:lang w:val="en-US" w:eastAsia="zh-CN" w:bidi="ar-SA"/>
                <w14:textFill>
                  <w14:solidFill>
                    <w14:schemeClr w14:val="tx1"/>
                  </w14:solidFill>
                </w14:textFill>
              </w:rPr>
              <w:t>t/a</w:t>
            </w:r>
            <w:r>
              <w:rPr>
                <w:rFonts w:hint="eastAsia" w:cs="Times New Roman"/>
                <w:i w:val="0"/>
                <w:iCs w:val="0"/>
                <w:color w:val="000000" w:themeColor="text1"/>
                <w:kern w:val="0"/>
                <w:sz w:val="21"/>
                <w:szCs w:val="21"/>
                <w:u w:val="none"/>
                <w:lang w:val="en-US" w:eastAsia="zh-CN" w:bidi="ar"/>
                <w14:textFill>
                  <w14:solidFill>
                    <w14:schemeClr w14:val="tx1"/>
                  </w14:solidFill>
                </w14:textFill>
              </w:rPr>
              <w:t>）</w:t>
            </w:r>
          </w:p>
        </w:tc>
        <w:tc>
          <w:tcPr>
            <w:tcW w:w="1704" w:type="dxa"/>
            <w:noWrap w:val="0"/>
            <w:vAlign w:val="center"/>
          </w:tcPr>
          <w:p w14:paraId="56D983A3">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356" w:type="dxa"/>
            <w:noWrap w:val="0"/>
            <w:vAlign w:val="center"/>
          </w:tcPr>
          <w:p w14:paraId="319C9126">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644" w:type="dxa"/>
            <w:noWrap w:val="0"/>
            <w:vAlign w:val="center"/>
          </w:tcPr>
          <w:p w14:paraId="6E1F11E8">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488" w:type="dxa"/>
            <w:noWrap w:val="0"/>
            <w:vAlign w:val="center"/>
          </w:tcPr>
          <w:p w14:paraId="71DF5AF4">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262.726</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620" w:type="dxa"/>
            <w:noWrap w:val="0"/>
            <w:vAlign w:val="center"/>
          </w:tcPr>
          <w:p w14:paraId="5778E28A">
            <w:pPr>
              <w:spacing w:beforeLines="0" w:afterLines="0" w:line="240" w:lineRule="auto"/>
              <w:ind w:firstLine="0" w:firstLineChars="0"/>
              <w:jc w:val="cente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pPr>
            <w:r>
              <w:rPr>
                <w:rFonts w:hint="default" w:ascii="Times New Roman" w:hAnsi="Times New Roman" w:eastAsia="宋体" w:cs="Times New Roman"/>
                <w:snapToGrid w:val="0"/>
                <w:color w:val="000000" w:themeColor="text1"/>
                <w:kern w:val="21"/>
                <w:sz w:val="21"/>
                <w:szCs w:val="21"/>
                <w:highlight w:val="none"/>
                <w14:textFill>
                  <w14:solidFill>
                    <w14:schemeClr w14:val="tx1"/>
                  </w14:solidFill>
                </w14:textFill>
              </w:rPr>
              <w:t>--</w:t>
            </w:r>
          </w:p>
        </w:tc>
        <w:tc>
          <w:tcPr>
            <w:tcW w:w="1932" w:type="dxa"/>
            <w:noWrap w:val="0"/>
            <w:vAlign w:val="center"/>
          </w:tcPr>
          <w:p w14:paraId="610AD5D0">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262.726</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c>
          <w:tcPr>
            <w:tcW w:w="1456" w:type="dxa"/>
            <w:noWrap w:val="0"/>
            <w:vAlign w:val="center"/>
          </w:tcPr>
          <w:p w14:paraId="42A19966">
            <w:pPr>
              <w:keepNext w:val="0"/>
              <w:keepLines w:val="0"/>
              <w:widowControl/>
              <w:suppressLineNumbers w:val="0"/>
              <w:jc w:val="center"/>
              <w:textAlignment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+262.726</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 xml:space="preserve"> </w:t>
            </w:r>
          </w:p>
        </w:tc>
      </w:tr>
    </w:tbl>
    <w:p w14:paraId="2F3DDD2C">
      <w:pPr>
        <w:widowControl w:val="0"/>
        <w:adjustRightInd w:val="0"/>
        <w:snapToGrid w:val="0"/>
        <w:spacing w:before="192" w:beforeLines="80" w:after="24" w:afterLines="10" w:line="259" w:lineRule="auto"/>
        <w:ind w:firstLine="480" w:firstLineChars="200"/>
        <w:jc w:val="left"/>
        <w:rPr>
          <w:rFonts w:hint="eastAsia" w:ascii="宋体" w:hAnsi="Times New Roman" w:eastAsia="宋体" w:cs="Times New Roman"/>
          <w:color w:val="auto"/>
          <w:kern w:val="0"/>
          <w:sz w:val="24"/>
          <w:szCs w:val="20"/>
          <w:highlight w:val="none"/>
          <w:lang w:val="en-US" w:eastAsia="zh-CN" w:bidi="ar-SA"/>
        </w:rPr>
      </w:pPr>
      <w:r>
        <w:rPr>
          <w:rFonts w:ascii="宋体" w:hAnsi="宋体" w:eastAsia="宋体" w:cs="Times New Roman"/>
          <w:snapToGrid w:val="0"/>
          <w:color w:val="auto"/>
          <w:kern w:val="21"/>
          <w:sz w:val="24"/>
          <w:szCs w:val="21"/>
          <w:highlight w:val="none"/>
          <w:lang w:val="en-US" w:eastAsia="zh-CN" w:bidi="ar-SA"/>
        </w:rPr>
        <w:t>注：</w:t>
      </w:r>
      <w:r>
        <w:rPr>
          <w:rFonts w:ascii="宋体" w:hAnsi="宋体" w:eastAsia="宋体" w:cs="Times New Roman"/>
          <w:snapToGrid w:val="0"/>
          <w:color w:val="auto"/>
          <w:spacing w:val="-16"/>
          <w:kern w:val="21"/>
          <w:sz w:val="24"/>
          <w:szCs w:val="21"/>
          <w:highlight w:val="none"/>
          <w:lang w:val="en-US" w:eastAsia="zh-CN" w:bidi="ar-SA"/>
        </w:rPr>
        <w:fldChar w:fldCharType="begin"/>
      </w:r>
      <w:r>
        <w:rPr>
          <w:rFonts w:ascii="宋体" w:hAnsi="宋体" w:eastAsia="宋体" w:cs="Times New Roman"/>
          <w:snapToGrid w:val="0"/>
          <w:color w:val="auto"/>
          <w:spacing w:val="-16"/>
          <w:kern w:val="21"/>
          <w:sz w:val="24"/>
          <w:szCs w:val="21"/>
          <w:highlight w:val="none"/>
          <w:lang w:val="en-US" w:eastAsia="zh-CN" w:bidi="ar-SA"/>
        </w:rPr>
        <w:instrText xml:space="preserve"> = 6 \* GB3 \* MERGEFORMAT </w:instrText>
      </w:r>
      <w:r>
        <w:rPr>
          <w:rFonts w:ascii="宋体" w:hAnsi="宋体" w:eastAsia="宋体" w:cs="Times New Roman"/>
          <w:snapToGrid w:val="0"/>
          <w:color w:val="auto"/>
          <w:spacing w:val="-1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⑥</w:t>
      </w:r>
      <w:r>
        <w:rPr>
          <w:rFonts w:ascii="宋体" w:hAnsi="宋体" w:eastAsia="宋体" w:cs="Times New Roman"/>
          <w:snapToGrid w:val="0"/>
          <w:color w:val="auto"/>
          <w:spacing w:val="-16"/>
          <w:kern w:val="21"/>
          <w:sz w:val="24"/>
          <w:szCs w:val="21"/>
          <w:highlight w:val="none"/>
          <w:lang w:val="en-US" w:eastAsia="zh-CN" w:bidi="ar-SA"/>
        </w:rPr>
        <w:fldChar w:fldCharType="end"/>
      </w:r>
      <w:r>
        <w:rPr>
          <w:rFonts w:ascii="宋体" w:hAnsi="宋体" w:eastAsia="宋体" w:cs="Times New Roman"/>
          <w:snapToGrid w:val="0"/>
          <w:color w:val="auto"/>
          <w:spacing w:val="-1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1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①</w:t>
      </w:r>
      <w:r>
        <w:rPr>
          <w:rFonts w:ascii="宋体" w:hAnsi="宋体" w:eastAsia="宋体" w:cs="Times New Roman"/>
          <w:snapToGrid w:val="0"/>
          <w:color w:val="auto"/>
          <w:spacing w:val="-6"/>
          <w:kern w:val="21"/>
          <w:sz w:val="24"/>
          <w:szCs w:val="21"/>
          <w:highlight w:val="none"/>
          <w:lang w:val="en-US" w:eastAsia="zh-CN" w:bidi="ar-SA"/>
        </w:rPr>
        <w:fldChar w:fldCharType="end"/>
      </w:r>
      <w:r>
        <w:rPr>
          <w:rFonts w:ascii="宋体" w:hAnsi="宋体" w:eastAsia="宋体" w:cs="Times New Roman"/>
          <w:snapToGrid w:val="0"/>
          <w:color w:val="auto"/>
          <w:spacing w:val="-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3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③</w:t>
      </w:r>
      <w:r>
        <w:rPr>
          <w:rFonts w:ascii="宋体" w:hAnsi="宋体" w:eastAsia="宋体" w:cs="Times New Roman"/>
          <w:snapToGrid w:val="0"/>
          <w:color w:val="auto"/>
          <w:spacing w:val="-6"/>
          <w:kern w:val="21"/>
          <w:sz w:val="24"/>
          <w:szCs w:val="21"/>
          <w:highlight w:val="none"/>
          <w:lang w:val="en-US" w:eastAsia="zh-CN" w:bidi="ar-SA"/>
        </w:rPr>
        <w:fldChar w:fldCharType="end"/>
      </w:r>
      <w:r>
        <w:rPr>
          <w:rFonts w:ascii="宋体" w:hAnsi="宋体" w:eastAsia="宋体" w:cs="Times New Roman"/>
          <w:snapToGrid w:val="0"/>
          <w:color w:val="auto"/>
          <w:spacing w:val="-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4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④</w:t>
      </w:r>
      <w:r>
        <w:rPr>
          <w:rFonts w:ascii="宋体" w:hAnsi="宋体" w:eastAsia="宋体" w:cs="Times New Roman"/>
          <w:snapToGrid w:val="0"/>
          <w:color w:val="auto"/>
          <w:spacing w:val="-6"/>
          <w:kern w:val="21"/>
          <w:sz w:val="24"/>
          <w:szCs w:val="21"/>
          <w:highlight w:val="none"/>
          <w:lang w:val="en-US" w:eastAsia="zh-CN" w:bidi="ar-SA"/>
        </w:rPr>
        <w:fldChar w:fldCharType="end"/>
      </w:r>
      <w:r>
        <w:rPr>
          <w:rFonts w:ascii="宋体" w:hAnsi="宋体" w:eastAsia="宋体" w:cs="Times New Roman"/>
          <w:snapToGrid w:val="0"/>
          <w:color w:val="auto"/>
          <w:spacing w:val="-6"/>
          <w:kern w:val="21"/>
          <w:sz w:val="24"/>
          <w:szCs w:val="21"/>
          <w:highlight w:val="none"/>
          <w:lang w:val="en-US" w:eastAsia="zh-CN" w:bidi="ar-SA"/>
        </w:rPr>
        <w:t>-</w:t>
      </w:r>
      <w:r>
        <w:rPr>
          <w:rFonts w:ascii="宋体" w:hAnsi="宋体" w:eastAsia="宋体" w:cs="Times New Roman"/>
          <w:snapToGrid w:val="0"/>
          <w:color w:val="auto"/>
          <w:spacing w:val="-16"/>
          <w:kern w:val="21"/>
          <w:sz w:val="24"/>
          <w:szCs w:val="21"/>
          <w:highlight w:val="none"/>
          <w:lang w:val="en-US" w:eastAsia="zh-CN" w:bidi="ar-SA"/>
        </w:rPr>
        <w:fldChar w:fldCharType="begin"/>
      </w:r>
      <w:r>
        <w:rPr>
          <w:rFonts w:ascii="宋体" w:hAnsi="宋体" w:eastAsia="宋体" w:cs="Times New Roman"/>
          <w:snapToGrid w:val="0"/>
          <w:color w:val="auto"/>
          <w:spacing w:val="-16"/>
          <w:kern w:val="21"/>
          <w:sz w:val="24"/>
          <w:szCs w:val="21"/>
          <w:highlight w:val="none"/>
          <w:lang w:val="en-US" w:eastAsia="zh-CN" w:bidi="ar-SA"/>
        </w:rPr>
        <w:instrText xml:space="preserve"> = 5 \* GB3 \* MERGEFORMAT </w:instrText>
      </w:r>
      <w:r>
        <w:rPr>
          <w:rFonts w:ascii="宋体" w:hAnsi="宋体" w:eastAsia="宋体" w:cs="Times New Roman"/>
          <w:snapToGrid w:val="0"/>
          <w:color w:val="auto"/>
          <w:spacing w:val="-1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⑤</w:t>
      </w:r>
      <w:r>
        <w:rPr>
          <w:rFonts w:ascii="宋体" w:hAnsi="宋体" w:eastAsia="宋体" w:cs="Times New Roman"/>
          <w:snapToGrid w:val="0"/>
          <w:color w:val="auto"/>
          <w:spacing w:val="-16"/>
          <w:kern w:val="21"/>
          <w:sz w:val="24"/>
          <w:szCs w:val="21"/>
          <w:highlight w:val="none"/>
          <w:lang w:val="en-US" w:eastAsia="zh-CN" w:bidi="ar-SA"/>
        </w:rPr>
        <w:fldChar w:fldCharType="end"/>
      </w:r>
      <w:r>
        <w:rPr>
          <w:rFonts w:ascii="宋体" w:hAnsi="宋体" w:eastAsia="宋体" w:cs="Times New Roman"/>
          <w:snapToGrid w:val="0"/>
          <w:color w:val="auto"/>
          <w:spacing w:val="-1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7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⑦</w:t>
      </w:r>
      <w:r>
        <w:rPr>
          <w:rFonts w:ascii="宋体" w:hAnsi="宋体" w:eastAsia="宋体" w:cs="Times New Roman"/>
          <w:snapToGrid w:val="0"/>
          <w:color w:val="auto"/>
          <w:spacing w:val="-6"/>
          <w:kern w:val="21"/>
          <w:sz w:val="24"/>
          <w:szCs w:val="21"/>
          <w:highlight w:val="none"/>
          <w:lang w:val="en-US" w:eastAsia="zh-CN" w:bidi="ar-SA"/>
        </w:rPr>
        <w:fldChar w:fldCharType="end"/>
      </w:r>
      <w:r>
        <w:rPr>
          <w:rFonts w:ascii="宋体" w:hAnsi="宋体" w:eastAsia="宋体" w:cs="Times New Roman"/>
          <w:snapToGrid w:val="0"/>
          <w:color w:val="auto"/>
          <w:spacing w:val="-6"/>
          <w:kern w:val="21"/>
          <w:sz w:val="24"/>
          <w:szCs w:val="21"/>
          <w:highlight w:val="none"/>
          <w:lang w:val="en-US" w:eastAsia="zh-CN" w:bidi="ar-SA"/>
        </w:rPr>
        <w:t>=</w:t>
      </w:r>
      <w:r>
        <w:rPr>
          <w:rFonts w:ascii="宋体" w:hAnsi="宋体" w:eastAsia="宋体" w:cs="Times New Roman"/>
          <w:snapToGrid w:val="0"/>
          <w:color w:val="auto"/>
          <w:spacing w:val="-16"/>
          <w:kern w:val="21"/>
          <w:sz w:val="24"/>
          <w:szCs w:val="21"/>
          <w:highlight w:val="none"/>
          <w:lang w:val="en-US" w:eastAsia="zh-CN" w:bidi="ar-SA"/>
        </w:rPr>
        <w:fldChar w:fldCharType="begin"/>
      </w:r>
      <w:r>
        <w:rPr>
          <w:rFonts w:ascii="宋体" w:hAnsi="宋体" w:eastAsia="宋体" w:cs="Times New Roman"/>
          <w:snapToGrid w:val="0"/>
          <w:color w:val="auto"/>
          <w:spacing w:val="-16"/>
          <w:kern w:val="21"/>
          <w:sz w:val="24"/>
          <w:szCs w:val="21"/>
          <w:highlight w:val="none"/>
          <w:lang w:val="en-US" w:eastAsia="zh-CN" w:bidi="ar-SA"/>
        </w:rPr>
        <w:instrText xml:space="preserve"> = 6 \* GB3 \* MERGEFORMAT </w:instrText>
      </w:r>
      <w:r>
        <w:rPr>
          <w:rFonts w:ascii="宋体" w:hAnsi="宋体" w:eastAsia="宋体" w:cs="Times New Roman"/>
          <w:snapToGrid w:val="0"/>
          <w:color w:val="auto"/>
          <w:spacing w:val="-1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⑥</w:t>
      </w:r>
      <w:r>
        <w:rPr>
          <w:rFonts w:ascii="宋体" w:hAnsi="宋体" w:eastAsia="宋体" w:cs="Times New Roman"/>
          <w:snapToGrid w:val="0"/>
          <w:color w:val="auto"/>
          <w:spacing w:val="-16"/>
          <w:kern w:val="21"/>
          <w:sz w:val="24"/>
          <w:szCs w:val="21"/>
          <w:highlight w:val="none"/>
          <w:lang w:val="en-US" w:eastAsia="zh-CN" w:bidi="ar-SA"/>
        </w:rPr>
        <w:fldChar w:fldCharType="end"/>
      </w:r>
      <w:r>
        <w:rPr>
          <w:rFonts w:ascii="宋体" w:hAnsi="宋体" w:eastAsia="宋体" w:cs="Times New Roman"/>
          <w:snapToGrid w:val="0"/>
          <w:color w:val="auto"/>
          <w:spacing w:val="-16"/>
          <w:kern w:val="21"/>
          <w:sz w:val="24"/>
          <w:szCs w:val="21"/>
          <w:highlight w:val="none"/>
          <w:lang w:val="en-US" w:eastAsia="zh-CN" w:bidi="ar-SA"/>
        </w:rPr>
        <w:t>-</w:t>
      </w:r>
      <w:r>
        <w:rPr>
          <w:rFonts w:ascii="宋体" w:hAnsi="宋体" w:eastAsia="宋体" w:cs="Times New Roman"/>
          <w:snapToGrid w:val="0"/>
          <w:color w:val="auto"/>
          <w:spacing w:val="-6"/>
          <w:kern w:val="21"/>
          <w:sz w:val="24"/>
          <w:szCs w:val="21"/>
          <w:highlight w:val="none"/>
          <w:lang w:val="en-US" w:eastAsia="zh-CN" w:bidi="ar-SA"/>
        </w:rPr>
        <w:fldChar w:fldCharType="begin"/>
      </w:r>
      <w:r>
        <w:rPr>
          <w:rFonts w:ascii="宋体" w:hAnsi="宋体" w:eastAsia="宋体" w:cs="Times New Roman"/>
          <w:snapToGrid w:val="0"/>
          <w:color w:val="auto"/>
          <w:spacing w:val="-6"/>
          <w:kern w:val="21"/>
          <w:sz w:val="24"/>
          <w:szCs w:val="21"/>
          <w:highlight w:val="none"/>
          <w:lang w:val="en-US" w:eastAsia="zh-CN" w:bidi="ar-SA"/>
        </w:rPr>
        <w:instrText xml:space="preserve"> = 1 \* GB3 \* MERGEFORMAT </w:instrText>
      </w:r>
      <w:r>
        <w:rPr>
          <w:rFonts w:ascii="宋体" w:hAnsi="宋体" w:eastAsia="宋体" w:cs="Times New Roman"/>
          <w:snapToGrid w:val="0"/>
          <w:color w:val="auto"/>
          <w:spacing w:val="-6"/>
          <w:kern w:val="21"/>
          <w:sz w:val="24"/>
          <w:szCs w:val="21"/>
          <w:highlight w:val="none"/>
          <w:lang w:val="en-US" w:eastAsia="zh-CN" w:bidi="ar-SA"/>
        </w:rPr>
        <w:fldChar w:fldCharType="separate"/>
      </w:r>
      <w:r>
        <w:rPr>
          <w:rFonts w:hint="eastAsia" w:ascii="宋体" w:hAnsi="宋体" w:eastAsia="宋体" w:cs="Times New Roman"/>
          <w:color w:val="auto"/>
          <w:kern w:val="0"/>
          <w:sz w:val="24"/>
          <w:szCs w:val="21"/>
          <w:highlight w:val="none"/>
          <w:lang w:val="en-US" w:eastAsia="zh-CN" w:bidi="ar-SA"/>
        </w:rPr>
        <w:t>①</w:t>
      </w:r>
      <w:r>
        <w:rPr>
          <w:rFonts w:ascii="宋体" w:hAnsi="宋体" w:eastAsia="宋体" w:cs="Times New Roman"/>
          <w:snapToGrid w:val="0"/>
          <w:color w:val="auto"/>
          <w:spacing w:val="-6"/>
          <w:kern w:val="21"/>
          <w:sz w:val="24"/>
          <w:szCs w:val="21"/>
          <w:highlight w:val="none"/>
          <w:lang w:val="en-US" w:eastAsia="zh-CN" w:bidi="ar-SA"/>
        </w:rPr>
        <w:fldChar w:fldCharType="end"/>
      </w:r>
    </w:p>
    <w:p w14:paraId="0115BCF2">
      <w:pPr>
        <w:rPr>
          <w:color w:val="auto"/>
          <w:highlight w:val="none"/>
        </w:rPr>
        <w:sectPr>
          <w:headerReference r:id="rId8" w:type="default"/>
          <w:footerReference r:id="rId9" w:type="default"/>
          <w:type w:val="continuous"/>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67C95FBF">
      <w:pPr>
        <w:widowControl/>
        <w:snapToGrid w:val="0"/>
        <w:spacing w:before="60" w:after="0" w:line="240" w:lineRule="auto"/>
        <w:ind w:right="113"/>
        <w:jc w:val="center"/>
        <w:rPr>
          <w:rFonts w:hint="eastAsia" w:ascii="Times New Roman" w:hAnsi="Times New Roman" w:eastAsia="宋体" w:cs="Times New Roman"/>
          <w:b/>
          <w:color w:val="auto"/>
          <w:kern w:val="0"/>
          <w:sz w:val="28"/>
          <w:szCs w:val="28"/>
          <w:highlight w:val="none"/>
          <w:lang w:val="en-US" w:eastAsia="zh-CN" w:bidi="ar-SA"/>
        </w:rPr>
      </w:pPr>
      <w:bookmarkStart w:id="50" w:name="_Toc32557"/>
      <w:bookmarkStart w:id="51" w:name="_Toc18569"/>
      <w:bookmarkStart w:id="52" w:name="_Toc10618"/>
      <w:bookmarkStart w:id="53" w:name="_Toc9175"/>
      <w:bookmarkStart w:id="54" w:name="_Toc29450"/>
      <w:r>
        <w:rPr>
          <w:rFonts w:ascii="Times New Roman" w:hAnsi="Times New Roman" w:eastAsia="宋体" w:cs="Times New Roman"/>
          <w:color w:val="auto"/>
          <w:kern w:val="0"/>
          <w:sz w:val="24"/>
          <w:szCs w:val="20"/>
          <w:highlight w:val="none"/>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1771650</wp:posOffset>
                </wp:positionH>
                <wp:positionV relativeFrom="paragraph">
                  <wp:posOffset>1002030</wp:posOffset>
                </wp:positionV>
                <wp:extent cx="771525" cy="336550"/>
                <wp:effectExtent l="5080" t="4445" r="423545" b="535305"/>
                <wp:wrapNone/>
                <wp:docPr id="14" name="自选图形 1026"/>
                <wp:cNvGraphicFramePr/>
                <a:graphic xmlns:a="http://schemas.openxmlformats.org/drawingml/2006/main">
                  <a:graphicData uri="http://schemas.microsoft.com/office/word/2010/wordprocessingShape">
                    <wps:wsp>
                      <wps:cNvSpPr/>
                      <wps:spPr>
                        <a:xfrm>
                          <a:off x="0" y="0"/>
                          <a:ext cx="771525" cy="336550"/>
                        </a:xfrm>
                        <a:prstGeom prst="wedgeRoundRectCallout">
                          <a:avLst>
                            <a:gd name="adj1" fmla="val 99301"/>
                            <a:gd name="adj2" fmla="val 200000"/>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20BDF635">
                            <w:pPr>
                              <w:rPr>
                                <w:b/>
                                <w:bCs/>
                                <w:color w:val="FF0000"/>
                              </w:rPr>
                            </w:pPr>
                            <w:r>
                              <w:rPr>
                                <w:rFonts w:hint="eastAsia"/>
                                <w:b/>
                                <w:bCs/>
                                <w:color w:val="FF0000"/>
                              </w:rPr>
                              <w:t>项目选址</w:t>
                            </w:r>
                          </w:p>
                        </w:txbxContent>
                      </wps:txbx>
                      <wps:bodyPr vert="horz" wrap="square" anchor="t" anchorCtr="0" upright="1"/>
                    </wps:wsp>
                  </a:graphicData>
                </a:graphic>
              </wp:anchor>
            </w:drawing>
          </mc:Choice>
          <mc:Fallback>
            <w:pict>
              <v:shape id="自选图形 1026" o:spid="_x0000_s1026" o:spt="62" type="#_x0000_t62" style="position:absolute;left:0pt;margin-left:139.5pt;margin-top:78.9pt;height:26.5pt;width:60.75pt;z-index:251671552;mso-width-relative:page;mso-height-relative:page;" fillcolor="#FFFFFF" filled="t" stroked="t" coordsize="21600,21600" o:gfxdata="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TzlBPZAAAACwEAAA8AAAAAAAAAAQAgAAAAIgAAAGRycy9kb3ducmV2LnhtbFBL&#10;AQIUABQAAAAIAIdO4kAAvj+AZwIAAOwEAAAOAAAAAAAAAAEAIAAAACgBAABkcnMvZTJvRG9jLnht&#10;bFBLBQYAAAAABgAGAFkBAAABBgAAAAA=&#10;" adj="32249,54000,14400">
                <v:fill on="t" focussize="0,0"/>
                <v:stroke color="#000000" joinstyle="miter"/>
                <v:imagedata o:title=""/>
                <o:lock v:ext="edit" aspectratio="f"/>
                <v:textbox>
                  <w:txbxContent>
                    <w:p w14:paraId="20BDF635">
                      <w:pPr>
                        <w:rPr>
                          <w:b/>
                          <w:bCs/>
                          <w:color w:val="FF0000"/>
                        </w:rPr>
                      </w:pPr>
                      <w:r>
                        <w:rPr>
                          <w:rFonts w:hint="eastAsia"/>
                          <w:b/>
                          <w:bCs/>
                          <w:color w:val="FF0000"/>
                        </w:rPr>
                        <w:t>项目选址</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2900045</wp:posOffset>
                </wp:positionH>
                <wp:positionV relativeFrom="paragraph">
                  <wp:posOffset>1793875</wp:posOffset>
                </wp:positionV>
                <wp:extent cx="76200" cy="76200"/>
                <wp:effectExtent l="4445" t="4445" r="14605" b="14605"/>
                <wp:wrapNone/>
                <wp:docPr id="13" name="自选图形 1027"/>
                <wp:cNvGraphicFramePr/>
                <a:graphic xmlns:a="http://schemas.openxmlformats.org/drawingml/2006/main">
                  <a:graphicData uri="http://schemas.microsoft.com/office/word/2010/wordprocessingShape">
                    <wps:wsp>
                      <wps:cNvSpPr/>
                      <wps:spPr>
                        <a:xfrm>
                          <a:off x="0" y="0"/>
                          <a:ext cx="76200" cy="76200"/>
                        </a:xfrm>
                        <a:prstGeom prst="flowChartSummingJunction">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自选图形 1027" o:spid="_x0000_s1026" o:spt="123" type="#_x0000_t123" style="position:absolute;left:0pt;margin-left:228.35pt;margin-top:141.25pt;height:6pt;width:6pt;z-index:251670528;mso-width-relative:page;mso-height-relative:page;" fillcolor="#FF0000" filled="t" stroked="t" coordsize="21600,21600" o:gfxdata="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8l/QR2gAAAAsBAAAPAAAAAAAAAAEAIAAAACIAAABkcnMvZG93bnJldi54bWxQ&#10;SwECFAAUAAAACACHTuJACKJ2wS4CAABiBAAADgAAAAAAAAABACAAAAApAQAAZHJzL2Uyb0RvYy54&#10;bWxQSwUGAAAAAAYABgBZAQAAyQUAAAAA&#10;">
                <v:fill on="t" focussize="0,0"/>
                <v:stroke color="#00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w:drawing>
          <wp:anchor distT="0" distB="0" distL="114300" distR="114300" simplePos="0" relativeHeight="251691008" behindDoc="0" locked="0" layoutInCell="1" allowOverlap="1">
            <wp:simplePos x="0" y="0"/>
            <wp:positionH relativeFrom="column">
              <wp:posOffset>7146290</wp:posOffset>
            </wp:positionH>
            <wp:positionV relativeFrom="paragraph">
              <wp:posOffset>304165</wp:posOffset>
            </wp:positionV>
            <wp:extent cx="1391920" cy="1304925"/>
            <wp:effectExtent l="0" t="0" r="17780" b="9525"/>
            <wp:wrapNone/>
            <wp:docPr id="35" name="图片 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885"/>
                    <pic:cNvPicPr>
                      <a:picLocks noChangeAspect="1"/>
                    </pic:cNvPicPr>
                  </pic:nvPicPr>
                  <pic:blipFill>
                    <a:blip r:embed="rId54"/>
                    <a:stretch>
                      <a:fillRect/>
                    </a:stretch>
                  </pic:blipFill>
                  <pic:spPr>
                    <a:xfrm>
                      <a:off x="0" y="0"/>
                      <a:ext cx="1391920" cy="1304925"/>
                    </a:xfrm>
                    <a:prstGeom prst="rect">
                      <a:avLst/>
                    </a:prstGeom>
                    <a:noFill/>
                    <a:ln>
                      <a:noFill/>
                    </a:ln>
                  </pic:spPr>
                </pic:pic>
              </a:graphicData>
            </a:graphic>
          </wp:anchor>
        </w:drawing>
      </w:r>
      <w:r>
        <w:rPr>
          <w:rFonts w:ascii="Times New Roman" w:hAnsi="Times New Roman" w:eastAsia="宋体" w:cs="Times New Roman"/>
          <w:color w:val="auto"/>
          <w:kern w:val="0"/>
          <w:sz w:val="24"/>
          <w:szCs w:val="20"/>
          <w:highlight w:val="none"/>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3693795</wp:posOffset>
                </wp:positionH>
                <wp:positionV relativeFrom="paragraph">
                  <wp:posOffset>2029460</wp:posOffset>
                </wp:positionV>
                <wp:extent cx="1876425" cy="1600835"/>
                <wp:effectExtent l="0" t="4445" r="9525" b="13970"/>
                <wp:wrapNone/>
                <wp:docPr id="2" name="任意多边形 1028"/>
                <wp:cNvGraphicFramePr/>
                <a:graphic xmlns:a="http://schemas.openxmlformats.org/drawingml/2006/main">
                  <a:graphicData uri="http://schemas.microsoft.com/office/word/2010/wordprocessingShape">
                    <wps:wsp>
                      <wps:cNvSpPr/>
                      <wps:spPr>
                        <a:xfrm rot="10800000">
                          <a:off x="0" y="0"/>
                          <a:ext cx="1876425" cy="1600835"/>
                        </a:xfrm>
                        <a:custGeom>
                          <a:avLst/>
                          <a:gdLst/>
                          <a:ahLst/>
                          <a:cxnLst/>
                          <a:pathLst>
                            <a:path w="2550" h="2280">
                              <a:moveTo>
                                <a:pt x="0" y="0"/>
                              </a:moveTo>
                              <a:lnTo>
                                <a:pt x="675" y="2280"/>
                              </a:lnTo>
                              <a:lnTo>
                                <a:pt x="2550" y="2280"/>
                              </a:lnTo>
                            </a:path>
                          </a:pathLst>
                        </a:custGeom>
                        <a:noFill/>
                        <a:ln w="9525"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028" o:spid="_x0000_s1026" o:spt="100" style="position:absolute;left:0pt;margin-left:290.85pt;margin-top:159.8pt;height:126.05pt;width:147.75pt;rotation:11796480f;z-index:251661312;mso-width-relative:page;mso-height-relative:page;" filled="f" stroked="t" coordsize="2550,2280" o:gfxdata="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10NG02AAAAAsBAAAPAAAAAAAAAAEAIAAAACIAAABkcnMvZG93bnJl&#10;di54bWxQSwECFAAUAAAACACHTuJA9AzZqW8CAAACBQAADgAAAAAAAAABACAAAAAnAQAAZHJzL2Uy&#10;b0RvYy54bWxQSwUGAAAAAAYABgBZAQAACAYAAAAA&#10;" path="m0,0l675,2280,2550,2280e">
                <v:fill on="f" focussize="0,0"/>
                <v:stroke color="#FF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w:drawing>
          <wp:anchor distT="0" distB="0" distL="114300" distR="114300" simplePos="0" relativeHeight="251669504" behindDoc="0" locked="0" layoutInCell="1" allowOverlap="1">
            <wp:simplePos x="0" y="0"/>
            <wp:positionH relativeFrom="column">
              <wp:posOffset>409575</wp:posOffset>
            </wp:positionH>
            <wp:positionV relativeFrom="paragraph">
              <wp:posOffset>614045</wp:posOffset>
            </wp:positionV>
            <wp:extent cx="3284855" cy="3117850"/>
            <wp:effectExtent l="9525" t="9525" r="20320" b="15875"/>
            <wp:wrapNone/>
            <wp:docPr id="12" name="图片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29"/>
                    <pic:cNvPicPr>
                      <a:picLocks noChangeAspect="1"/>
                    </pic:cNvPicPr>
                  </pic:nvPicPr>
                  <pic:blipFill>
                    <a:blip r:embed="rId55"/>
                    <a:stretch>
                      <a:fillRect/>
                    </a:stretch>
                  </pic:blipFill>
                  <pic:spPr>
                    <a:xfrm>
                      <a:off x="0" y="0"/>
                      <a:ext cx="3284855" cy="3117850"/>
                    </a:xfrm>
                    <a:prstGeom prst="rect">
                      <a:avLst/>
                    </a:prstGeom>
                    <a:noFill/>
                    <a:ln w="9525" cap="flat" cmpd="sng">
                      <a:solidFill>
                        <a:srgbClr val="FF0000"/>
                      </a:solidFill>
                      <a:prstDash val="solid"/>
                      <a:miter/>
                      <a:headEnd type="none" w="med" len="med"/>
                      <a:tailEnd type="none" w="med" len="med"/>
                    </a:ln>
                  </pic:spPr>
                </pic:pic>
              </a:graphicData>
            </a:graphic>
          </wp:anchor>
        </w:drawing>
      </w:r>
      <w:r>
        <w:rPr>
          <w:rFonts w:ascii="Times New Roman" w:hAnsi="Times New Roman" w:eastAsia="宋体" w:cs="Times New Roman"/>
          <w:color w:val="auto"/>
          <w:kern w:val="0"/>
          <w:sz w:val="24"/>
          <w:szCs w:val="20"/>
          <w:highlight w:val="none"/>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5107940</wp:posOffset>
                </wp:positionH>
                <wp:positionV relativeFrom="paragraph">
                  <wp:posOffset>3618865</wp:posOffset>
                </wp:positionV>
                <wp:extent cx="922655" cy="862965"/>
                <wp:effectExtent l="5080" t="4445" r="5715" b="8890"/>
                <wp:wrapNone/>
                <wp:docPr id="1" name="矩形 1030"/>
                <wp:cNvGraphicFramePr/>
                <a:graphic xmlns:a="http://schemas.openxmlformats.org/drawingml/2006/main">
                  <a:graphicData uri="http://schemas.microsoft.com/office/word/2010/wordprocessingShape">
                    <wps:wsp>
                      <wps:cNvSpPr/>
                      <wps:spPr>
                        <a:xfrm>
                          <a:off x="0" y="0"/>
                          <a:ext cx="922655" cy="862965"/>
                        </a:xfrm>
                        <a:prstGeom prst="rect">
                          <a:avLst/>
                        </a:prstGeom>
                        <a:noFill/>
                        <a:ln w="9525" cap="flat" cmpd="sng">
                          <a:solidFill>
                            <a:srgbClr val="FF0000"/>
                          </a:solidFill>
                          <a:prstDash val="solid"/>
                          <a:miter/>
                          <a:headEnd type="none" w="med" len="med"/>
                          <a:tailEnd type="none" w="med" len="med"/>
                        </a:ln>
                      </wps:spPr>
                      <wps:bodyPr vert="horz" wrap="square" anchor="t" anchorCtr="0" upright="1"/>
                    </wps:wsp>
                  </a:graphicData>
                </a:graphic>
              </wp:anchor>
            </w:drawing>
          </mc:Choice>
          <mc:Fallback>
            <w:pict>
              <v:rect id="矩形 1030" o:spid="_x0000_s1026" o:spt="1" style="position:absolute;left:0pt;margin-left:402.2pt;margin-top:284.95pt;height:67.95pt;width:72.65pt;z-index:251660288;mso-width-relative:page;mso-height-relative:page;" filled="f" stroked="t" coordsize="21600,21600" o:gfxdata="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ORDyF3AAAAAsBAAAP&#10;AAAAAAAAAAEAIAAAACIAAABkcnMvZG93bnJldi54bWxQSwECFAAUAAAACACHTuJAPEoYtBQCAAAq&#10;BAAADgAAAAAAAAABACAAAAArAQAAZHJzL2Uyb0RvYy54bWxQSwUGAAAAAAYABgBZAQAAsQUAAAAA&#10;">
                <v:fill on="f" focussize="0,0"/>
                <v:stroke color="#FF0000" joinstyle="miter"/>
                <v:imagedata o:title=""/>
                <o:lock v:ext="edit" aspectratio="f"/>
              </v:rect>
            </w:pict>
          </mc:Fallback>
        </mc:AlternateContent>
      </w:r>
      <w:r>
        <w:rPr>
          <w:rFonts w:hint="eastAsia" w:ascii="Times New Roman" w:hAnsi="Times New Roman" w:eastAsia="宋体" w:cs="Times New Roman"/>
          <w:b/>
          <w:color w:val="auto"/>
          <w:kern w:val="0"/>
          <w:sz w:val="28"/>
          <w:szCs w:val="28"/>
          <w:highlight w:val="none"/>
          <w:lang w:val="en-US" w:eastAsia="zh-CN" w:bidi="ar-SA"/>
        </w:rPr>
        <w:drawing>
          <wp:inline distT="0" distB="0" distL="114300" distR="114300">
            <wp:extent cx="8583930" cy="5890260"/>
            <wp:effectExtent l="0" t="0" r="7620" b="15240"/>
            <wp:docPr id="106" name="图片 395" descr="4开乐昌市地图有邻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395" descr="4开乐昌市地图有邻区"/>
                    <pic:cNvPicPr>
                      <a:picLocks noChangeAspect="1"/>
                    </pic:cNvPicPr>
                  </pic:nvPicPr>
                  <pic:blipFill>
                    <a:blip r:embed="rId56"/>
                    <a:srcRect l="2934" t="3183" r="3163" b="4150"/>
                    <a:stretch>
                      <a:fillRect/>
                    </a:stretch>
                  </pic:blipFill>
                  <pic:spPr>
                    <a:xfrm>
                      <a:off x="0" y="0"/>
                      <a:ext cx="8583930" cy="5890260"/>
                    </a:xfrm>
                    <a:prstGeom prst="rect">
                      <a:avLst/>
                    </a:prstGeom>
                    <a:noFill/>
                    <a:ln>
                      <a:noFill/>
                    </a:ln>
                  </pic:spPr>
                </pic:pic>
              </a:graphicData>
            </a:graphic>
          </wp:inline>
        </w:drawing>
      </w:r>
    </w:p>
    <w:p w14:paraId="26F464A9">
      <w:pPr>
        <w:widowControl/>
        <w:snapToGrid w:val="0"/>
        <w:spacing w:before="60" w:after="0" w:line="240" w:lineRule="auto"/>
        <w:ind w:right="113"/>
        <w:jc w:val="center"/>
        <w:outlineLvl w:val="0"/>
        <w:rPr>
          <w:rFonts w:hint="default" w:ascii="Times New Roman" w:hAnsi="Times New Roman" w:eastAsia="宋体" w:cs="Times New Roman"/>
          <w:b/>
          <w:color w:val="auto"/>
          <w:kern w:val="0"/>
          <w:sz w:val="24"/>
          <w:szCs w:val="24"/>
          <w:highlight w:val="none"/>
          <w:lang w:val="en-US" w:eastAsia="zh-CN" w:bidi="ar-SA"/>
        </w:rPr>
      </w:pPr>
      <w:bookmarkStart w:id="55" w:name="_Toc2694"/>
      <w:bookmarkStart w:id="56" w:name="_Toc19765"/>
      <w:bookmarkStart w:id="57" w:name="_Toc18338"/>
      <w:bookmarkStart w:id="58" w:name="_Toc8498"/>
      <w:r>
        <w:rPr>
          <w:rFonts w:hint="default" w:ascii="Times New Roman" w:hAnsi="Times New Roman" w:eastAsia="宋体" w:cs="Times New Roman"/>
          <w:b/>
          <w:color w:val="auto"/>
          <w:kern w:val="0"/>
          <w:sz w:val="24"/>
          <w:szCs w:val="24"/>
          <w:highlight w:val="none"/>
          <w:lang w:val="en-US" w:eastAsia="zh-CN" w:bidi="ar-SA"/>
        </w:rPr>
        <w:t>附图1 项目地理位置图</w:t>
      </w:r>
      <w:bookmarkEnd w:id="55"/>
      <w:bookmarkEnd w:id="56"/>
      <w:bookmarkEnd w:id="57"/>
      <w:bookmarkEnd w:id="58"/>
    </w:p>
    <w:p w14:paraId="277B20FC">
      <w:pPr>
        <w:rPr>
          <w:rFonts w:hint="default" w:ascii="Times New Roman" w:hAnsi="Times New Roman" w:cs="Times New Roman"/>
          <w:color w:val="auto"/>
          <w:sz w:val="24"/>
          <w:highlight w:val="none"/>
        </w:rPr>
        <w:sectPr>
          <w:pgSz w:w="16838" w:h="11906" w:orient="landscape"/>
          <w:pgMar w:top="737" w:right="1417" w:bottom="737" w:left="1417" w:header="567" w:footer="794" w:gutter="340"/>
          <w:pgBorders>
            <w:top w:val="none" w:sz="0" w:space="0"/>
            <w:left w:val="none" w:sz="0" w:space="0"/>
            <w:bottom w:val="none" w:sz="0" w:space="0"/>
            <w:right w:val="none" w:sz="0" w:space="0"/>
          </w:pgBorders>
          <w:pgNumType w:fmt="decimal"/>
          <w:cols w:space="720" w:num="1"/>
          <w:docGrid w:type="lines" w:linePitch="412" w:charSpace="0"/>
        </w:sectPr>
      </w:pPr>
    </w:p>
    <w:p w14:paraId="45F5CA67">
      <w:pPr>
        <w:widowControl/>
        <w:snapToGrid w:val="0"/>
        <w:spacing w:before="60" w:after="0" w:line="240" w:lineRule="auto"/>
        <w:ind w:right="113"/>
        <w:jc w:val="center"/>
        <w:outlineLvl w:val="9"/>
        <w:rPr>
          <w:rFonts w:ascii="宋体" w:hAnsi="Times New Roman" w:eastAsia="宋体" w:cs="Times New Roman"/>
          <w:b/>
          <w:bCs/>
          <w:color w:val="auto"/>
          <w:kern w:val="2"/>
          <w:sz w:val="32"/>
          <w:szCs w:val="32"/>
          <w:highlight w:val="none"/>
          <w:lang w:val="en-US" w:eastAsia="zh-CN" w:bidi="ar-SA"/>
        </w:rPr>
      </w:pPr>
      <w:r>
        <w:rPr>
          <w:rFonts w:ascii="Times New Roman" w:hAnsi="Times New Roman" w:eastAsia="宋体" w:cs="Times New Roman"/>
          <w:kern w:val="0"/>
          <w:sz w:val="18"/>
          <w:szCs w:val="20"/>
          <w:lang w:val="en-US" w:eastAsia="zh-CN" w:bidi="ar-SA"/>
        </w:rPr>
        <w:drawing>
          <wp:anchor distT="0" distB="0" distL="114300" distR="114300" simplePos="0" relativeHeight="251770880" behindDoc="0" locked="0" layoutInCell="1" allowOverlap="1">
            <wp:simplePos x="0" y="0"/>
            <wp:positionH relativeFrom="column">
              <wp:posOffset>27940</wp:posOffset>
            </wp:positionH>
            <wp:positionV relativeFrom="paragraph">
              <wp:posOffset>6012815</wp:posOffset>
            </wp:positionV>
            <wp:extent cx="676275" cy="533400"/>
            <wp:effectExtent l="0" t="0" r="9525" b="0"/>
            <wp:wrapNone/>
            <wp:docPr id="27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12"/>
                    <pic:cNvPicPr>
                      <a:picLocks noChangeAspect="1"/>
                    </pic:cNvPicPr>
                  </pic:nvPicPr>
                  <pic:blipFill>
                    <a:blip r:embed="rId57">
                      <a:clrChange>
                        <a:clrFrom>
                          <a:srgbClr val="506B64">
                            <a:alpha val="100000"/>
                          </a:srgbClr>
                        </a:clrFrom>
                        <a:clrTo>
                          <a:srgbClr val="506B64">
                            <a:alpha val="100000"/>
                            <a:alpha val="0"/>
                          </a:srgbClr>
                        </a:clrTo>
                      </a:clrChange>
                    </a:blip>
                    <a:stretch>
                      <a:fillRect/>
                    </a:stretch>
                  </pic:blipFill>
                  <pic:spPr>
                    <a:xfrm>
                      <a:off x="0" y="0"/>
                      <a:ext cx="676275" cy="533400"/>
                    </a:xfrm>
                    <a:prstGeom prst="rect">
                      <a:avLst/>
                    </a:prstGeom>
                    <a:noFill/>
                    <a:ln>
                      <a:noFill/>
                    </a:ln>
                  </pic:spPr>
                </pic:pic>
              </a:graphicData>
            </a:graphic>
          </wp:anchor>
        </w:drawing>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1792" behindDoc="0" locked="0" layoutInCell="1" allowOverlap="1">
                <wp:simplePos x="0" y="0"/>
                <wp:positionH relativeFrom="column">
                  <wp:posOffset>5469255</wp:posOffset>
                </wp:positionH>
                <wp:positionV relativeFrom="paragraph">
                  <wp:posOffset>2213610</wp:posOffset>
                </wp:positionV>
                <wp:extent cx="444500" cy="557530"/>
                <wp:effectExtent l="0" t="0" r="0" b="0"/>
                <wp:wrapNone/>
                <wp:docPr id="24" name="文本框 1873"/>
                <wp:cNvGraphicFramePr/>
                <a:graphic xmlns:a="http://schemas.openxmlformats.org/drawingml/2006/main">
                  <a:graphicData uri="http://schemas.microsoft.com/office/word/2010/wordprocessingShape">
                    <wps:wsp>
                      <wps:cNvSpPr txBox="1"/>
                      <wps:spPr>
                        <a:xfrm>
                          <a:off x="0" y="0"/>
                          <a:ext cx="444500" cy="557530"/>
                        </a:xfrm>
                        <a:prstGeom prst="rect">
                          <a:avLst/>
                        </a:prstGeom>
                        <a:noFill/>
                        <a:ln>
                          <a:noFill/>
                        </a:ln>
                      </wps:spPr>
                      <wps:txbx>
                        <w:txbxContent>
                          <w:p w14:paraId="30E0EB7B">
                            <w:pPr>
                              <w:rPr>
                                <w:rFonts w:hint="default" w:eastAsia="宋体"/>
                                <w:b/>
                                <w:bCs/>
                                <w:color w:val="auto"/>
                                <w:sz w:val="24"/>
                                <w:szCs w:val="24"/>
                                <w:lang w:val="en-US" w:eastAsia="zh-CN"/>
                              </w:rPr>
                            </w:pPr>
                            <w:r>
                              <w:rPr>
                                <w:rFonts w:hint="eastAsia" w:ascii="Times New Roman" w:eastAsia="宋体"/>
                                <w:b/>
                                <w:bCs/>
                                <w:color w:val="auto"/>
                                <w:sz w:val="24"/>
                                <w:szCs w:val="24"/>
                                <w:lang w:val="en-US" w:eastAsia="zh-CN"/>
                              </w:rPr>
                              <w:t>道路</w:t>
                            </w:r>
                          </w:p>
                        </w:txbxContent>
                      </wps:txbx>
                      <wps:bodyPr vert="horz" wrap="square" anchor="t" anchorCtr="0" upright="1"/>
                    </wps:wsp>
                  </a:graphicData>
                </a:graphic>
              </wp:anchor>
            </w:drawing>
          </mc:Choice>
          <mc:Fallback>
            <w:pict>
              <v:shape id="文本框 1873" o:spid="_x0000_s1026" o:spt="202" type="#_x0000_t202" style="position:absolute;left:0pt;margin-left:430.65pt;margin-top:174.3pt;height:43.9pt;width:35pt;z-index:251681792;mso-width-relative:page;mso-height-relative:page;" filled="f" stroked="f" coordsize="21600,21600" o:gfxdata="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N202SzYAAAACwEAAA8AAAAAAAAAAQAgAAAAIgAA&#10;AGRycy9kb3ducmV2LnhtbFBLAQIUABQAAAAIAIdO4kAi/mrWzwEAAIQDAAAOAAAAAAAAAAEAIAAA&#10;ACcBAABkcnMvZTJvRG9jLnhtbFBLBQYAAAAABgAGAFkBAABoBQAAAAA=&#10;">
                <v:fill on="f" focussize="0,0"/>
                <v:stroke on="f"/>
                <v:imagedata o:title=""/>
                <o:lock v:ext="edit" aspectratio="f"/>
                <v:textbox>
                  <w:txbxContent>
                    <w:p w14:paraId="30E0EB7B">
                      <w:pPr>
                        <w:rPr>
                          <w:rFonts w:hint="default" w:eastAsia="宋体"/>
                          <w:b/>
                          <w:bCs/>
                          <w:color w:val="auto"/>
                          <w:sz w:val="24"/>
                          <w:szCs w:val="24"/>
                          <w:lang w:val="en-US" w:eastAsia="zh-CN"/>
                        </w:rPr>
                      </w:pPr>
                      <w:r>
                        <w:rPr>
                          <w:rFonts w:hint="eastAsia" w:ascii="Times New Roman" w:eastAsia="宋体"/>
                          <w:b/>
                          <w:bCs/>
                          <w:color w:val="auto"/>
                          <w:sz w:val="24"/>
                          <w:szCs w:val="24"/>
                          <w:lang w:val="en-US" w:eastAsia="zh-CN"/>
                        </w:rPr>
                        <w:t>道路</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1728" behindDoc="0" locked="0" layoutInCell="1" allowOverlap="1">
                <wp:simplePos x="0" y="0"/>
                <wp:positionH relativeFrom="column">
                  <wp:posOffset>5539105</wp:posOffset>
                </wp:positionH>
                <wp:positionV relativeFrom="paragraph">
                  <wp:posOffset>2889250</wp:posOffset>
                </wp:positionV>
                <wp:extent cx="539750" cy="914400"/>
                <wp:effectExtent l="0" t="0" r="0" b="0"/>
                <wp:wrapNone/>
                <wp:docPr id="236" name="文本框 236"/>
                <wp:cNvGraphicFramePr/>
                <a:graphic xmlns:a="http://schemas.openxmlformats.org/drawingml/2006/main">
                  <a:graphicData uri="http://schemas.microsoft.com/office/word/2010/wordprocessingShape">
                    <wps:wsp>
                      <wps:cNvSpPr txBox="1"/>
                      <wps:spPr>
                        <a:xfrm>
                          <a:off x="0" y="0"/>
                          <a:ext cx="539750" cy="914400"/>
                        </a:xfrm>
                        <a:prstGeom prst="rect">
                          <a:avLst/>
                        </a:prstGeom>
                        <a:noFill/>
                        <a:ln w="6350">
                          <a:noFill/>
                        </a:ln>
                        <a:effectLst/>
                      </wps:spPr>
                      <wps:txbx>
                        <w:txbxContent>
                          <w:p w14:paraId="223064B9">
                            <w:pPr>
                              <w:keepNext w:val="0"/>
                              <w:keepLines w:val="0"/>
                              <w:pageBreakBefore w:val="0"/>
                              <w:widowControl w:val="0"/>
                              <w:kinsoku/>
                              <w:wordWrap/>
                              <w:overflowPunct/>
                              <w:topLinePunct w:val="0"/>
                              <w:bidi w:val="0"/>
                              <w:adjustRightInd/>
                              <w:snapToGrid/>
                              <w:spacing w:line="240" w:lineRule="auto"/>
                              <w:textAlignment w:val="auto"/>
                              <w:rPr>
                                <w:rFonts w:hint="default"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36.15pt;margin-top:227.5pt;height:72pt;width:42.5pt;z-index:251721728;mso-width-relative:page;mso-height-relative:page;" filled="f" stroked="f" coordsize="21600,21600" o:gfxdata="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Lwo66LXAAAACwEAAA8AAAAAAAAAAQAg&#10;AAAAIgAAAGRycy9kb3ducmV2LnhtbFBLAQIUABQAAAAIAIdO4kCeioWpSAIAAIMEAAAOAAAAAAAA&#10;AAEAIAAAACYBAABkcnMvZTJvRG9jLnhtbFBLBQYAAAAABgAGAFkBAADgBQAAAAA=&#10;">
                <v:fill on="f" focussize="0,0"/>
                <v:stroke on="f" weight="0.5pt"/>
                <v:imagedata o:title=""/>
                <o:lock v:ext="edit" aspectratio="f"/>
                <v:textbox style="mso-fit-shape-to-text:t;">
                  <w:txbxContent>
                    <w:p w14:paraId="223064B9">
                      <w:pPr>
                        <w:keepNext w:val="0"/>
                        <w:keepLines w:val="0"/>
                        <w:pageBreakBefore w:val="0"/>
                        <w:widowControl w:val="0"/>
                        <w:kinsoku/>
                        <w:wordWrap/>
                        <w:overflowPunct/>
                        <w:topLinePunct w:val="0"/>
                        <w:bidi w:val="0"/>
                        <w:adjustRightInd/>
                        <w:snapToGrid/>
                        <w:spacing w:line="240" w:lineRule="auto"/>
                        <w:textAlignment w:val="auto"/>
                        <w:rPr>
                          <w:rFonts w:hint="default"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31968" behindDoc="0" locked="0" layoutInCell="1" allowOverlap="1">
                <wp:simplePos x="0" y="0"/>
                <wp:positionH relativeFrom="column">
                  <wp:posOffset>5306695</wp:posOffset>
                </wp:positionH>
                <wp:positionV relativeFrom="paragraph">
                  <wp:posOffset>869950</wp:posOffset>
                </wp:positionV>
                <wp:extent cx="154305" cy="3429635"/>
                <wp:effectExtent l="360680" t="0" r="361315" b="0"/>
                <wp:wrapNone/>
                <wp:docPr id="63" name="矩形 1872"/>
                <wp:cNvGraphicFramePr/>
                <a:graphic xmlns:a="http://schemas.openxmlformats.org/drawingml/2006/main">
                  <a:graphicData uri="http://schemas.microsoft.com/office/word/2010/wordprocessingShape">
                    <wps:wsp>
                      <wps:cNvSpPr/>
                      <wps:spPr>
                        <a:xfrm rot="720000">
                          <a:off x="0" y="0"/>
                          <a:ext cx="154305" cy="3429635"/>
                        </a:xfrm>
                        <a:prstGeom prst="rect">
                          <a:avLst/>
                        </a:prstGeom>
                        <a:pattFill prst="openDmnd">
                          <a:fgClr>
                            <a:srgbClr val="000000"/>
                          </a:fgClr>
                          <a:bgClr>
                            <a:srgbClr val="FFFFFF"/>
                          </a:bgClr>
                        </a:patt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72" o:spid="_x0000_s1026" o:spt="1" style="position:absolute;left:0pt;margin-left:417.85pt;margin-top:68.5pt;height:270.05pt;width:12.15pt;rotation:786432f;z-index:251731968;mso-width-relative:page;mso-height-relative:page;" fillcolor="#000000" filled="t" stroked="t" coordsize="21600,21600" o:gfxdata="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PBvLgtoAAAALAQAADwAAAAAAAAABACAAAAAi&#10;AAAAZHJzL2Rvd25yZXYueG1sUEsBAhQAFAAAAAgAh07iQP8R6ZxBAgAArwQAAA4AAAAAAAAAAQAg&#10;AAAAKQEAAGRycy9lMm9Eb2MueG1sUEsFBgAAAAAGAAYAWQEAANwFAAAAAA==&#10;">
                <v:fill type="pattern" on="t" color2="#FFFFFF" o:title="轮廓式菱形" focussize="0,0" r:id="rId58"/>
                <v:stroke color="#000000" joinstyle="miter"/>
                <v:imagedata o:title=""/>
                <o:lock v:ext="edit" aspectratio="f"/>
              </v:rect>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0704" behindDoc="0" locked="0" layoutInCell="1" allowOverlap="1">
                <wp:simplePos x="0" y="0"/>
                <wp:positionH relativeFrom="column">
                  <wp:posOffset>4298315</wp:posOffset>
                </wp:positionH>
                <wp:positionV relativeFrom="paragraph">
                  <wp:posOffset>1969135</wp:posOffset>
                </wp:positionV>
                <wp:extent cx="855345" cy="914400"/>
                <wp:effectExtent l="0" t="0" r="0" b="0"/>
                <wp:wrapNone/>
                <wp:docPr id="235" name="文本框 235"/>
                <wp:cNvGraphicFramePr/>
                <a:graphic xmlns:a="http://schemas.openxmlformats.org/drawingml/2006/main">
                  <a:graphicData uri="http://schemas.microsoft.com/office/word/2010/wordprocessingShape">
                    <wps:wsp>
                      <wps:cNvSpPr txBox="1"/>
                      <wps:spPr>
                        <a:xfrm>
                          <a:off x="0" y="0"/>
                          <a:ext cx="855345" cy="914400"/>
                        </a:xfrm>
                        <a:prstGeom prst="rect">
                          <a:avLst/>
                        </a:prstGeom>
                        <a:noFill/>
                        <a:ln w="6350">
                          <a:noFill/>
                        </a:ln>
                        <a:effectLst/>
                      </wps:spPr>
                      <wps:txbx>
                        <w:txbxContent>
                          <w:p w14:paraId="32D0FF13">
                            <w:pPr>
                              <w:keepNext w:val="0"/>
                              <w:keepLines w:val="0"/>
                              <w:pageBreakBefore w:val="0"/>
                              <w:widowControl w:val="0"/>
                              <w:kinsoku/>
                              <w:wordWrap/>
                              <w:overflowPunct/>
                              <w:topLinePunct w:val="0"/>
                              <w:bidi w:val="0"/>
                              <w:adjustRightInd/>
                              <w:snapToGrid/>
                              <w:spacing w:line="240" w:lineRule="auto"/>
                              <w:textAlignment w:val="auto"/>
                              <w:rPr>
                                <w:rFonts w:hint="default" w:ascii="Times New Roman" w:hAnsi="Times New Roman" w:eastAsia="宋体" w:cs="Times New Roman"/>
                                <w:b w:val="0"/>
                                <w:bCs w:val="0"/>
                                <w:color w:val="FF0000"/>
                                <w:sz w:val="21"/>
                                <w:szCs w:val="21"/>
                                <w:highlight w:val="lightGray"/>
                                <w:lang w:val="en-US" w:eastAsia="zh-CN"/>
                              </w:rPr>
                            </w:pPr>
                            <w:r>
                              <w:rPr>
                                <w:rFonts w:hint="eastAsia" w:ascii="Times New Roman" w:hAnsi="Times New Roman" w:eastAsia="宋体" w:cs="Times New Roman"/>
                                <w:b w:val="0"/>
                                <w:bCs w:val="0"/>
                                <w:color w:val="FF0000"/>
                                <w:sz w:val="21"/>
                                <w:szCs w:val="21"/>
                                <w:highlight w:val="lightGray"/>
                                <w:lang w:val="en-US" w:eastAsia="zh-CN"/>
                              </w:rPr>
                              <w:t>建设项目</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38.45pt;margin-top:155.05pt;height:72pt;width:67.35pt;z-index:251720704;mso-width-relative:page;mso-height-relative:page;" filled="f" stroked="f" coordsize="21600,21600" o:gfxdata="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e+cE61wAAAAsBAAAPAAAAAAAAAAEA&#10;IAAAACIAAABkcnMvZG93bnJldi54bWxQSwECFAAUAAAACACHTuJAZCP6KkkCAACDBAAADgAAAAAA&#10;AAABACAAAAAmAQAAZHJzL2Uyb0RvYy54bWxQSwUGAAAAAAYABgBZAQAA4QUAAAAA&#10;">
                <v:fill on="f" focussize="0,0"/>
                <v:stroke on="f" weight="0.5pt"/>
                <v:imagedata o:title=""/>
                <o:lock v:ext="edit" aspectratio="f"/>
                <v:textbox style="mso-fit-shape-to-text:t;">
                  <w:txbxContent>
                    <w:p w14:paraId="32D0FF13">
                      <w:pPr>
                        <w:keepNext w:val="0"/>
                        <w:keepLines w:val="0"/>
                        <w:pageBreakBefore w:val="0"/>
                        <w:widowControl w:val="0"/>
                        <w:kinsoku/>
                        <w:wordWrap/>
                        <w:overflowPunct/>
                        <w:topLinePunct w:val="0"/>
                        <w:bidi w:val="0"/>
                        <w:adjustRightInd/>
                        <w:snapToGrid/>
                        <w:spacing w:line="240" w:lineRule="auto"/>
                        <w:textAlignment w:val="auto"/>
                        <w:rPr>
                          <w:rFonts w:hint="default" w:ascii="Times New Roman" w:hAnsi="Times New Roman" w:eastAsia="宋体" w:cs="Times New Roman"/>
                          <w:b w:val="0"/>
                          <w:bCs w:val="0"/>
                          <w:color w:val="FF0000"/>
                          <w:sz w:val="21"/>
                          <w:szCs w:val="21"/>
                          <w:highlight w:val="lightGray"/>
                          <w:lang w:val="en-US" w:eastAsia="zh-CN"/>
                        </w:rPr>
                      </w:pPr>
                      <w:r>
                        <w:rPr>
                          <w:rFonts w:hint="eastAsia" w:ascii="Times New Roman" w:hAnsi="Times New Roman" w:eastAsia="宋体" w:cs="Times New Roman"/>
                          <w:b w:val="0"/>
                          <w:bCs w:val="0"/>
                          <w:color w:val="FF0000"/>
                          <w:sz w:val="21"/>
                          <w:szCs w:val="21"/>
                          <w:highlight w:val="lightGray"/>
                          <w:lang w:val="en-US" w:eastAsia="zh-CN"/>
                        </w:rPr>
                        <w:t>建设项目</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30944" behindDoc="0" locked="0" layoutInCell="1" allowOverlap="1">
                <wp:simplePos x="0" y="0"/>
                <wp:positionH relativeFrom="column">
                  <wp:posOffset>3975100</wp:posOffset>
                </wp:positionH>
                <wp:positionV relativeFrom="paragraph">
                  <wp:posOffset>920115</wp:posOffset>
                </wp:positionV>
                <wp:extent cx="539750" cy="914400"/>
                <wp:effectExtent l="0" t="0" r="0" b="0"/>
                <wp:wrapNone/>
                <wp:docPr id="268" name="文本框 268"/>
                <wp:cNvGraphicFramePr/>
                <a:graphic xmlns:a="http://schemas.openxmlformats.org/drawingml/2006/main">
                  <a:graphicData uri="http://schemas.microsoft.com/office/word/2010/wordprocessingShape">
                    <wps:wsp>
                      <wps:cNvSpPr txBox="1"/>
                      <wps:spPr>
                        <a:xfrm>
                          <a:off x="0" y="0"/>
                          <a:ext cx="539750" cy="914400"/>
                        </a:xfrm>
                        <a:prstGeom prst="rect">
                          <a:avLst/>
                        </a:prstGeom>
                        <a:noFill/>
                        <a:ln w="6350">
                          <a:noFill/>
                        </a:ln>
                        <a:effectLst/>
                      </wps:spPr>
                      <wps:txbx>
                        <w:txbxContent>
                          <w:p w14:paraId="04E72E2A">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13pt;margin-top:72.45pt;height:72pt;width:42.5pt;z-index:251730944;mso-width-relative:page;mso-height-relative:page;" filled="f" stroked="f" coordsize="21600,21600" o:gfxdata="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IGaYTHXAAAACwEAAA8AAAAAAAAAAQAg&#10;AAAAIgAAAGRycy9kb3ducmV2LnhtbFBLAQIUABQAAAAIAIdO4kBrWYN8SAIAAIMEAAAOAAAAAAAA&#10;AAEAIAAAACYBAABkcnMvZTJvRG9jLnhtbFBLBQYAAAAABgAGAFkBAADgBQAAAAA=&#10;">
                <v:fill on="f" focussize="0,0"/>
                <v:stroke on="f" weight="0.5pt"/>
                <v:imagedata o:title=""/>
                <o:lock v:ext="edit" aspectratio="f"/>
                <v:textbox style="mso-fit-shape-to-text:t;">
                  <w:txbxContent>
                    <w:p w14:paraId="04E72E2A">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34016" behindDoc="0" locked="0" layoutInCell="1" allowOverlap="1">
                <wp:simplePos x="0" y="0"/>
                <wp:positionH relativeFrom="column">
                  <wp:posOffset>3254375</wp:posOffset>
                </wp:positionH>
                <wp:positionV relativeFrom="paragraph">
                  <wp:posOffset>227965</wp:posOffset>
                </wp:positionV>
                <wp:extent cx="2378710" cy="2263775"/>
                <wp:effectExtent l="4445" t="4445" r="17145" b="17780"/>
                <wp:wrapNone/>
                <wp:docPr id="66" name="任意多边形 146"/>
                <wp:cNvGraphicFramePr/>
                <a:graphic xmlns:a="http://schemas.openxmlformats.org/drawingml/2006/main">
                  <a:graphicData uri="http://schemas.microsoft.com/office/word/2010/wordprocessingShape">
                    <wps:wsp>
                      <wps:cNvSpPr/>
                      <wps:spPr>
                        <a:xfrm>
                          <a:off x="0" y="0"/>
                          <a:ext cx="2378710" cy="2263775"/>
                        </a:xfrm>
                        <a:custGeom>
                          <a:avLst/>
                          <a:gdLst/>
                          <a:ahLst/>
                          <a:cxnLst/>
                          <a:pathLst>
                            <a:path w="3854" h="3565">
                              <a:moveTo>
                                <a:pt x="0" y="33"/>
                              </a:moveTo>
                              <a:lnTo>
                                <a:pt x="2677" y="0"/>
                              </a:lnTo>
                              <a:lnTo>
                                <a:pt x="3854" y="1361"/>
                              </a:lnTo>
                              <a:lnTo>
                                <a:pt x="3497" y="2341"/>
                              </a:lnTo>
                              <a:lnTo>
                                <a:pt x="3300" y="2076"/>
                              </a:lnTo>
                              <a:lnTo>
                                <a:pt x="1177" y="2123"/>
                              </a:lnTo>
                              <a:lnTo>
                                <a:pt x="1200" y="3565"/>
                              </a:lnTo>
                              <a:lnTo>
                                <a:pt x="35" y="3368"/>
                              </a:lnTo>
                              <a:lnTo>
                                <a:pt x="0" y="33"/>
                              </a:lnTo>
                              <a:close/>
                            </a:path>
                          </a:pathLst>
                        </a:custGeom>
                        <a:no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任意多边形 146" o:spid="_x0000_s1026" o:spt="100" style="position:absolute;left:0pt;margin-left:256.25pt;margin-top:17.95pt;height:178.25pt;width:187.3pt;z-index:251734016;mso-width-relative:page;mso-height-relative:page;" filled="f" stroked="t" coordsize="3854,3565" o:gfxdata="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" path="m0,33l2677,0,3854,1361,3497,2341,3300,2076,1177,2123,1200,3565,35,3368,0,33xe">
                <v:fill on="f" focussize="0,0"/>
                <v:stroke color="#00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32992" behindDoc="0" locked="0" layoutInCell="1" allowOverlap="1">
                <wp:simplePos x="0" y="0"/>
                <wp:positionH relativeFrom="column">
                  <wp:posOffset>4082415</wp:posOffset>
                </wp:positionH>
                <wp:positionV relativeFrom="paragraph">
                  <wp:posOffset>1612900</wp:posOffset>
                </wp:positionV>
                <wp:extent cx="1311910" cy="1031875"/>
                <wp:effectExtent l="9525" t="9525" r="12065" b="25400"/>
                <wp:wrapNone/>
                <wp:docPr id="65" name="任意多边形 145"/>
                <wp:cNvGraphicFramePr/>
                <a:graphic xmlns:a="http://schemas.openxmlformats.org/drawingml/2006/main">
                  <a:graphicData uri="http://schemas.microsoft.com/office/word/2010/wordprocessingShape">
                    <wps:wsp>
                      <wps:cNvSpPr/>
                      <wps:spPr>
                        <a:xfrm>
                          <a:off x="0" y="0"/>
                          <a:ext cx="1311910" cy="1031875"/>
                        </a:xfrm>
                        <a:custGeom>
                          <a:avLst/>
                          <a:gdLst/>
                          <a:ahLst/>
                          <a:cxnLst/>
                          <a:pathLst>
                            <a:path w="2066" h="1625">
                              <a:moveTo>
                                <a:pt x="0" y="1407"/>
                              </a:moveTo>
                              <a:lnTo>
                                <a:pt x="1696" y="1625"/>
                              </a:lnTo>
                              <a:lnTo>
                                <a:pt x="2066" y="195"/>
                              </a:lnTo>
                              <a:lnTo>
                                <a:pt x="1927" y="0"/>
                              </a:lnTo>
                              <a:lnTo>
                                <a:pt x="70" y="22"/>
                              </a:lnTo>
                              <a:lnTo>
                                <a:pt x="0" y="1407"/>
                              </a:lnTo>
                              <a:close/>
                            </a:path>
                          </a:pathLst>
                        </a:custGeom>
                        <a:noFill/>
                        <a:ln w="19050"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45" o:spid="_x0000_s1026" o:spt="100" style="position:absolute;left:0pt;margin-left:321.45pt;margin-top:127pt;height:81.25pt;width:103.3pt;z-index:251732992;mso-width-relative:page;mso-height-relative:page;" filled="f" stroked="t" coordsize="2066,1625" o:gfxdata="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N004J/b&#10;AAAACwEAAA8AAAAAAAAAAQAgAAAAIgAAAGRycy9kb3ducmV2LnhtbFBLAQIUABQAAAAIAIdO4kDN&#10;FtXZjwIAAHUFAAAOAAAAAAAAAAEAIAAAACoBAABkcnMvZTJvRG9jLnhtbFBLBQYAAAAABgAGAFkB&#10;AAArBgAAAAA=&#10;" path="m0,1407l1696,1625,2066,195,1927,0,70,22,0,1407xe">
                <v:fill on="f" focussize="0,0"/>
                <v:stroke weight="1.5pt" color="#FF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w:drawing>
          <wp:anchor distT="0" distB="0" distL="114300" distR="114300" simplePos="0" relativeHeight="251692032" behindDoc="0" locked="0" layoutInCell="1" allowOverlap="1">
            <wp:simplePos x="0" y="0"/>
            <wp:positionH relativeFrom="column">
              <wp:posOffset>19685</wp:posOffset>
            </wp:positionH>
            <wp:positionV relativeFrom="paragraph">
              <wp:posOffset>117475</wp:posOffset>
            </wp:positionV>
            <wp:extent cx="1076325" cy="1009015"/>
            <wp:effectExtent l="0" t="0" r="9525" b="635"/>
            <wp:wrapNone/>
            <wp:docPr id="36" name="图片 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886"/>
                    <pic:cNvPicPr>
                      <a:picLocks noChangeAspect="1"/>
                    </pic:cNvPicPr>
                  </pic:nvPicPr>
                  <pic:blipFill>
                    <a:blip r:embed="rId59"/>
                    <a:stretch>
                      <a:fillRect/>
                    </a:stretch>
                  </pic:blipFill>
                  <pic:spPr>
                    <a:xfrm>
                      <a:off x="0" y="0"/>
                      <a:ext cx="1076325" cy="1009015"/>
                    </a:xfrm>
                    <a:prstGeom prst="rect">
                      <a:avLst/>
                    </a:prstGeom>
                    <a:noFill/>
                    <a:ln>
                      <a:noFill/>
                    </a:ln>
                  </pic:spPr>
                </pic:pic>
              </a:graphicData>
            </a:graphic>
          </wp:anchor>
        </w:drawing>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3776" behindDoc="0" locked="0" layoutInCell="1" allowOverlap="1">
                <wp:simplePos x="0" y="0"/>
                <wp:positionH relativeFrom="column">
                  <wp:posOffset>4133850</wp:posOffset>
                </wp:positionH>
                <wp:positionV relativeFrom="paragraph">
                  <wp:posOffset>5144135</wp:posOffset>
                </wp:positionV>
                <wp:extent cx="1044575" cy="527050"/>
                <wp:effectExtent l="0" t="0" r="0" b="0"/>
                <wp:wrapNone/>
                <wp:docPr id="254" name="文本框 254"/>
                <wp:cNvGraphicFramePr/>
                <a:graphic xmlns:a="http://schemas.openxmlformats.org/drawingml/2006/main">
                  <a:graphicData uri="http://schemas.microsoft.com/office/word/2010/wordprocessingShape">
                    <wps:wsp>
                      <wps:cNvSpPr txBox="1"/>
                      <wps:spPr>
                        <a:xfrm>
                          <a:off x="0" y="0"/>
                          <a:ext cx="1044575" cy="527050"/>
                        </a:xfrm>
                        <a:prstGeom prst="rect">
                          <a:avLst/>
                        </a:prstGeom>
                        <a:noFill/>
                        <a:ln w="6350">
                          <a:noFill/>
                        </a:ln>
                        <a:effectLst/>
                      </wps:spPr>
                      <wps:txbx>
                        <w:txbxContent>
                          <w:p w14:paraId="50AC1B08">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宋体" w:cs="Times New Roman"/>
                                <w:sz w:val="21"/>
                                <w:szCs w:val="21"/>
                                <w:highlight w:val="lightGray"/>
                              </w:rPr>
                            </w:pPr>
                            <w:r>
                              <w:rPr>
                                <w:rFonts w:hint="eastAsia" w:ascii="Times New Roman" w:hAnsi="Times New Roman" w:eastAsia="宋体" w:cs="Times New Roman"/>
                                <w:sz w:val="21"/>
                                <w:szCs w:val="21"/>
                                <w:highlight w:val="lightGray"/>
                              </w:rPr>
                              <w:t>冠荣科技(韶关)有限公司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25.5pt;margin-top:405.05pt;height:41.5pt;width:82.25pt;z-index:251723776;mso-width-relative:page;mso-height-relative:page;" filled="f" stroked="f" coordsize="21600,21600" o:gfxdata="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miUFKdwAAAALAQAADwAAAAAA&#10;AAABACAAAAAiAAAAZHJzL2Rvd25yZXYueG1sUEsBAhQAFAAAAAgAh07iQATh8E5IAgAAhAQAAA4A&#10;AAAAAAAAAQAgAAAAKwEAAGRycy9lMm9Eb2MueG1sUEsFBgAAAAAGAAYAWQEAAOUFAAAAAA==&#10;">
                <v:fill on="f" focussize="0,0"/>
                <v:stroke on="f" weight="0.5pt"/>
                <v:imagedata o:title=""/>
                <o:lock v:ext="edit" aspectratio="f"/>
                <v:textbox>
                  <w:txbxContent>
                    <w:p w14:paraId="50AC1B08">
                      <w:pPr>
                        <w:keepNext w:val="0"/>
                        <w:keepLines w:val="0"/>
                        <w:pageBreakBefore w:val="0"/>
                        <w:widowControl w:val="0"/>
                        <w:kinsoku/>
                        <w:wordWrap/>
                        <w:overflowPunct/>
                        <w:topLinePunct w:val="0"/>
                        <w:bidi w:val="0"/>
                        <w:adjustRightInd/>
                        <w:snapToGrid/>
                        <w:spacing w:line="240" w:lineRule="auto"/>
                        <w:textAlignment w:val="auto"/>
                        <w:rPr>
                          <w:rFonts w:hint="eastAsia" w:ascii="Times New Roman" w:hAnsi="Times New Roman" w:eastAsia="宋体" w:cs="Times New Roman"/>
                          <w:sz w:val="21"/>
                          <w:szCs w:val="21"/>
                          <w:highlight w:val="lightGray"/>
                        </w:rPr>
                      </w:pPr>
                      <w:r>
                        <w:rPr>
                          <w:rFonts w:hint="eastAsia" w:ascii="Times New Roman" w:hAnsi="Times New Roman" w:eastAsia="宋体" w:cs="Times New Roman"/>
                          <w:sz w:val="21"/>
                          <w:szCs w:val="21"/>
                          <w:highlight w:val="lightGray"/>
                        </w:rPr>
                        <w:t>冠荣科技(韶关)有限公司</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9920" behindDoc="0" locked="0" layoutInCell="1" allowOverlap="1">
                <wp:simplePos x="0" y="0"/>
                <wp:positionH relativeFrom="column">
                  <wp:posOffset>1729105</wp:posOffset>
                </wp:positionH>
                <wp:positionV relativeFrom="paragraph">
                  <wp:posOffset>3715385</wp:posOffset>
                </wp:positionV>
                <wp:extent cx="1240790" cy="633095"/>
                <wp:effectExtent l="0" t="0" r="0" b="0"/>
                <wp:wrapNone/>
                <wp:docPr id="266" name="文本框 266"/>
                <wp:cNvGraphicFramePr/>
                <a:graphic xmlns:a="http://schemas.openxmlformats.org/drawingml/2006/main">
                  <a:graphicData uri="http://schemas.microsoft.com/office/word/2010/wordprocessingShape">
                    <wps:wsp>
                      <wps:cNvSpPr txBox="1"/>
                      <wps:spPr>
                        <a:xfrm>
                          <a:off x="0" y="0"/>
                          <a:ext cx="1240790" cy="633095"/>
                        </a:xfrm>
                        <a:prstGeom prst="rect">
                          <a:avLst/>
                        </a:prstGeom>
                        <a:noFill/>
                        <a:ln w="6350">
                          <a:noFill/>
                        </a:ln>
                        <a:effectLst/>
                      </wps:spPr>
                      <wps:txbx>
                        <w:txbxContent>
                          <w:p w14:paraId="028088D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仿宋_GB2312" w:hAnsi="Times New Roman" w:eastAsia="仿宋_GB2312" w:cs="Times New Roman"/>
                                <w:b w:val="0"/>
                                <w:bCs w:val="0"/>
                                <w:color w:val="auto"/>
                                <w:sz w:val="21"/>
                                <w:szCs w:val="21"/>
                                <w:highlight w:val="lightGray"/>
                                <w:u w:val="none"/>
                                <w:lang w:val="en-US" w:eastAsia="zh-CN"/>
                              </w:rPr>
                            </w:pPr>
                            <w:r>
                              <w:rPr>
                                <w:rFonts w:hint="eastAsia" w:ascii="仿宋_GB2312" w:hAnsi="Times New Roman" w:eastAsia="仿宋_GB2312" w:cs="Times New Roman"/>
                                <w:b w:val="0"/>
                                <w:bCs w:val="0"/>
                                <w:color w:val="auto"/>
                                <w:sz w:val="21"/>
                                <w:szCs w:val="21"/>
                                <w:highlight w:val="lightGray"/>
                                <w:u w:val="none"/>
                                <w:lang w:val="en-US" w:eastAsia="zh-CN"/>
                              </w:rPr>
                              <w:t>广东骏维新材料科技有限公司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36.15pt;margin-top:292.55pt;height:49.85pt;width:97.7pt;z-index:251729920;mso-width-relative:page;mso-height-relative:page;" filled="f" stroked="f" coordsize="21600,21600" o:gfxdata="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NNxHq3QAAAAsBAAAPAAAA&#10;AAAAAAEAIAAAACIAAABkcnMvZG93bnJldi54bWxQSwECFAAUAAAACACHTuJAxY1xFEkCAACEBAAA&#10;DgAAAAAAAAABACAAAAAsAQAAZHJzL2Uyb0RvYy54bWxQSwUGAAAAAAYABgBZAQAA5wUAAAAA&#10;">
                <v:fill on="f" focussize="0,0"/>
                <v:stroke on="f" weight="0.5pt"/>
                <v:imagedata o:title=""/>
                <o:lock v:ext="edit" aspectratio="f"/>
                <v:textbox>
                  <w:txbxContent>
                    <w:p w14:paraId="028088D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仿宋_GB2312" w:hAnsi="Times New Roman" w:eastAsia="仿宋_GB2312" w:cs="Times New Roman"/>
                          <w:b w:val="0"/>
                          <w:bCs w:val="0"/>
                          <w:color w:val="auto"/>
                          <w:sz w:val="21"/>
                          <w:szCs w:val="21"/>
                          <w:highlight w:val="lightGray"/>
                          <w:u w:val="none"/>
                          <w:lang w:val="en-US" w:eastAsia="zh-CN"/>
                        </w:rPr>
                      </w:pPr>
                      <w:r>
                        <w:rPr>
                          <w:rFonts w:hint="eastAsia" w:ascii="仿宋_GB2312" w:hAnsi="Times New Roman" w:eastAsia="仿宋_GB2312" w:cs="Times New Roman"/>
                          <w:b w:val="0"/>
                          <w:bCs w:val="0"/>
                          <w:color w:val="auto"/>
                          <w:sz w:val="21"/>
                          <w:szCs w:val="21"/>
                          <w:highlight w:val="lightGray"/>
                          <w:u w:val="none"/>
                          <w:lang w:val="en-US" w:eastAsia="zh-CN"/>
                        </w:rPr>
                        <w:t>广东骏维新材料科技有限公司</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8896" behindDoc="0" locked="0" layoutInCell="1" allowOverlap="1">
                <wp:simplePos x="0" y="0"/>
                <wp:positionH relativeFrom="column">
                  <wp:posOffset>1687830</wp:posOffset>
                </wp:positionH>
                <wp:positionV relativeFrom="paragraph">
                  <wp:posOffset>3390265</wp:posOffset>
                </wp:positionV>
                <wp:extent cx="1405255" cy="1282700"/>
                <wp:effectExtent l="6350" t="6350" r="17145" b="25400"/>
                <wp:wrapNone/>
                <wp:docPr id="265" name="任意多边形 265"/>
                <wp:cNvGraphicFramePr/>
                <a:graphic xmlns:a="http://schemas.openxmlformats.org/drawingml/2006/main">
                  <a:graphicData uri="http://schemas.microsoft.com/office/word/2010/wordprocessingShape">
                    <wps:wsp>
                      <wps:cNvSpPr/>
                      <wps:spPr>
                        <a:xfrm>
                          <a:off x="2587625" y="4290060"/>
                          <a:ext cx="1405255" cy="1282700"/>
                        </a:xfrm>
                        <a:custGeom>
                          <a:avLst/>
                          <a:gdLst>
                            <a:gd name="connisteX0" fmla="*/ 37465 w 1405255"/>
                            <a:gd name="connsiteY0" fmla="*/ 1273175 h 1282700"/>
                            <a:gd name="connisteX1" fmla="*/ 1376680 w 1405255"/>
                            <a:gd name="connsiteY1" fmla="*/ 1000125 h 1282700"/>
                            <a:gd name="connisteX2" fmla="*/ 1405255 w 1405255"/>
                            <a:gd name="connsiteY2" fmla="*/ 0 h 1282700"/>
                            <a:gd name="connisteX3" fmla="*/ 9525 w 1405255"/>
                            <a:gd name="connsiteY3" fmla="*/ 9525 h 1282700"/>
                            <a:gd name="connisteX4" fmla="*/ 0 w 1405255"/>
                            <a:gd name="connsiteY4" fmla="*/ 1282700 h 1282700"/>
                            <a:gd name="connisteX5" fmla="*/ 37465 w 1405255"/>
                            <a:gd name="connsiteY5" fmla="*/ 1273175 h 12827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405255" h="1282700">
                              <a:moveTo>
                                <a:pt x="37465" y="1273175"/>
                              </a:moveTo>
                              <a:lnTo>
                                <a:pt x="1376680" y="1000125"/>
                              </a:lnTo>
                              <a:lnTo>
                                <a:pt x="1405255" y="0"/>
                              </a:lnTo>
                              <a:lnTo>
                                <a:pt x="9525" y="9525"/>
                              </a:lnTo>
                              <a:lnTo>
                                <a:pt x="0" y="1282700"/>
                              </a:lnTo>
                              <a:lnTo>
                                <a:pt x="37465" y="1273175"/>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132.9pt;margin-top:266.95pt;height:101pt;width:110.65pt;z-index:251728896;mso-width-relative:page;mso-height-relative:page;" filled="f" stroked="t" coordsize="1405255,1282700" o:gfxdata="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" path="m37465,1273175l1376680,1000125,1405255,0,9525,9525,0,1282700,37465,1273175xe">
                <v:path o:connectlocs="37465,1273175;1376680,1000125;1405255,0;9525,9525;0,1282700;37465,1273175" o:connectangles="0,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9680" behindDoc="0" locked="0" layoutInCell="1" allowOverlap="1">
                <wp:simplePos x="0" y="0"/>
                <wp:positionH relativeFrom="column">
                  <wp:posOffset>3811270</wp:posOffset>
                </wp:positionH>
                <wp:positionV relativeFrom="paragraph">
                  <wp:posOffset>3288030</wp:posOffset>
                </wp:positionV>
                <wp:extent cx="709295" cy="914400"/>
                <wp:effectExtent l="0" t="0" r="0" b="0"/>
                <wp:wrapNone/>
                <wp:docPr id="234" name="文本框 234"/>
                <wp:cNvGraphicFramePr/>
                <a:graphic xmlns:a="http://schemas.openxmlformats.org/drawingml/2006/main">
                  <a:graphicData uri="http://schemas.microsoft.com/office/word/2010/wordprocessingShape">
                    <wps:wsp>
                      <wps:cNvSpPr txBox="1"/>
                      <wps:spPr>
                        <a:xfrm>
                          <a:off x="0" y="0"/>
                          <a:ext cx="709295" cy="914400"/>
                        </a:xfrm>
                        <a:prstGeom prst="rect">
                          <a:avLst/>
                        </a:prstGeom>
                        <a:noFill/>
                        <a:ln w="6350">
                          <a:noFill/>
                        </a:ln>
                        <a:effectLst/>
                      </wps:spPr>
                      <wps:txbx>
                        <w:txbxContent>
                          <w:p w14:paraId="57501CB9">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00.1pt;margin-top:258.9pt;height:72pt;width:55.85pt;z-index:251719680;mso-width-relative:page;mso-height-relative:page;" filled="f" stroked="f" coordsize="21600,21600" o:gfxdata="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AtmZB9YAAAALAQAADwAAAAAAAAAB&#10;ACAAAAAiAAAAZHJzL2Rvd25yZXYueG1sUEsBAhQAFAAAAAgAh07iQMgqxuJLAgAAgwQAAA4AAAAA&#10;AAAAAQAgAAAAJQEAAGRycy9lMm9Eb2MueG1sUEsFBgAAAAAGAAYAWQEAAOIFAAAAAA==&#10;">
                <v:fill on="f" focussize="0,0"/>
                <v:stroke on="f" weight="0.5pt"/>
                <v:imagedata o:title=""/>
                <o:lock v:ext="edit" aspectratio="f"/>
                <v:textbox style="mso-fit-shape-to-text:t;">
                  <w:txbxContent>
                    <w:p w14:paraId="57501CB9">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b w:val="0"/>
                          <w:bCs w:val="0"/>
                          <w:sz w:val="21"/>
                          <w:szCs w:val="21"/>
                          <w:highlight w:val="lightGray"/>
                          <w:lang w:val="en-US" w:eastAsia="zh-CN"/>
                        </w:rPr>
                      </w:pPr>
                      <w:r>
                        <w:rPr>
                          <w:rFonts w:hint="eastAsia" w:ascii="Times New Roman" w:hAnsi="Times New Roman" w:eastAsia="宋体" w:cs="Times New Roman"/>
                          <w:b w:val="0"/>
                          <w:bCs w:val="0"/>
                          <w:sz w:val="21"/>
                          <w:szCs w:val="21"/>
                          <w:highlight w:val="lightGray"/>
                          <w:lang w:val="en-US" w:eastAsia="zh-CN"/>
                        </w:rPr>
                        <w:t>空地</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7872" behindDoc="0" locked="0" layoutInCell="1" allowOverlap="1">
                <wp:simplePos x="0" y="0"/>
                <wp:positionH relativeFrom="column">
                  <wp:posOffset>940435</wp:posOffset>
                </wp:positionH>
                <wp:positionV relativeFrom="paragraph">
                  <wp:posOffset>4934585</wp:posOffset>
                </wp:positionV>
                <wp:extent cx="1890395" cy="416560"/>
                <wp:effectExtent l="0" t="0" r="0" b="0"/>
                <wp:wrapNone/>
                <wp:docPr id="264" name="文本框 264"/>
                <wp:cNvGraphicFramePr/>
                <a:graphic xmlns:a="http://schemas.openxmlformats.org/drawingml/2006/main">
                  <a:graphicData uri="http://schemas.microsoft.com/office/word/2010/wordprocessingShape">
                    <wps:wsp>
                      <wps:cNvSpPr txBox="1"/>
                      <wps:spPr>
                        <a:xfrm rot="21000000">
                          <a:off x="0" y="0"/>
                          <a:ext cx="1890395" cy="416560"/>
                        </a:xfrm>
                        <a:prstGeom prst="rect">
                          <a:avLst/>
                        </a:prstGeom>
                        <a:noFill/>
                        <a:ln w="6350">
                          <a:noFill/>
                        </a:ln>
                        <a:effectLst/>
                      </wps:spPr>
                      <wps:txbx>
                        <w:txbxContent>
                          <w:p w14:paraId="3845D7CC">
                            <w:pPr>
                              <w:spacing w:line="360" w:lineRule="auto"/>
                              <w:rPr>
                                <w:rFonts w:ascii="Times New Roman" w:hAnsi="Times New Roman" w:eastAsia="宋体" w:cs="Times New Roman"/>
                                <w:sz w:val="24"/>
                              </w:rPr>
                            </w:pPr>
                            <w:r>
                              <w:rPr>
                                <w:rFonts w:hint="eastAsia" w:ascii="仿宋_GB2312" w:hAnsi="Times New Roman" w:eastAsia="仿宋_GB2312" w:cs="Times New Roman"/>
                                <w:b w:val="0"/>
                                <w:bCs w:val="0"/>
                                <w:color w:val="auto"/>
                                <w:sz w:val="21"/>
                                <w:szCs w:val="21"/>
                                <w:highlight w:val="lightGray"/>
                                <w:u w:val="none"/>
                                <w:lang w:val="en-US" w:eastAsia="zh-CN"/>
                              </w:rPr>
                              <w:t>美伦建材（韶关）有限公司</w:t>
                            </w: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74.05pt;margin-top:388.55pt;height:32.8pt;width:148.85pt;rotation:-655360f;z-index:251727872;mso-width-relative:page;mso-height-relative:page;" filled="f" stroked="f" coordsize="21600,21600" o:gfxdata="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Veke+2QAAAAsB&#10;AAAPAAAAAAAAAAEAIAAAACIAAABkcnMvZG93bnJldi54bWxQSwECFAAUAAAACACHTuJAB2h1XFMC&#10;AACTBAAADgAAAAAAAAABACAAAAAoAQAAZHJzL2Uyb0RvYy54bWxQSwUGAAAAAAYABgBZAQAA7QUA&#10;AAAA&#10;">
                <v:fill on="f" focussize="0,0"/>
                <v:stroke on="f" weight="0.5pt"/>
                <v:imagedata o:title=""/>
                <o:lock v:ext="edit" aspectratio="f"/>
                <v:textbox>
                  <w:txbxContent>
                    <w:p w14:paraId="3845D7CC">
                      <w:pPr>
                        <w:spacing w:line="360" w:lineRule="auto"/>
                        <w:rPr>
                          <w:rFonts w:ascii="Times New Roman" w:hAnsi="Times New Roman" w:eastAsia="宋体" w:cs="Times New Roman"/>
                          <w:sz w:val="24"/>
                        </w:rPr>
                      </w:pPr>
                      <w:r>
                        <w:rPr>
                          <w:rFonts w:hint="eastAsia" w:ascii="仿宋_GB2312" w:hAnsi="Times New Roman" w:eastAsia="仿宋_GB2312" w:cs="Times New Roman"/>
                          <w:b w:val="0"/>
                          <w:bCs w:val="0"/>
                          <w:color w:val="auto"/>
                          <w:sz w:val="21"/>
                          <w:szCs w:val="21"/>
                          <w:highlight w:val="lightGray"/>
                          <w:u w:val="none"/>
                          <w:lang w:val="en-US" w:eastAsia="zh-CN"/>
                        </w:rPr>
                        <w:t>美伦建材（韶关）有限公司</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6848" behindDoc="0" locked="0" layoutInCell="1" allowOverlap="1">
                <wp:simplePos x="0" y="0"/>
                <wp:positionH relativeFrom="column">
                  <wp:posOffset>636905</wp:posOffset>
                </wp:positionH>
                <wp:positionV relativeFrom="paragraph">
                  <wp:posOffset>4910455</wp:posOffset>
                </wp:positionV>
                <wp:extent cx="2411730" cy="446405"/>
                <wp:effectExtent l="27940" t="213360" r="36830" b="216535"/>
                <wp:wrapNone/>
                <wp:docPr id="263" name="矩形 263"/>
                <wp:cNvGraphicFramePr/>
                <a:graphic xmlns:a="http://schemas.openxmlformats.org/drawingml/2006/main">
                  <a:graphicData uri="http://schemas.microsoft.com/office/word/2010/wordprocessingShape">
                    <wps:wsp>
                      <wps:cNvSpPr/>
                      <wps:spPr>
                        <a:xfrm rot="21000000">
                          <a:off x="1536700" y="5810250"/>
                          <a:ext cx="2411730" cy="44640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0.15pt;margin-top:386.65pt;height:35.15pt;width:189.9pt;rotation:-655360f;z-index:251726848;v-text-anchor:middle;mso-width-relative:page;mso-height-relative:page;" filled="f" stroked="t" coordsize="21600,21600" o:gfxdata="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ScENi2QAA&#10;AAsBAAAPAAAAAAAAAAEAIAAAACIAAABkcnMvZG93bnJldi54bWxQSwECFAAUAAAACACHTuJAZ5Kz&#10;/I8CAAAMBQAADgAAAAAAAAABACAAAAAoAQAAZHJzL2Uyb0RvYy54bWxQSwUGAAAAAAYABgBZAQAA&#10;KQYAAAAA&#10;">
                <v:fill on="f" focussize="0,0"/>
                <v:stroke weight="1pt" color="#000000" miterlimit="8" joinstyle="miter"/>
                <v:imagedata o:title=""/>
                <o:lock v:ext="edit" aspectratio="f"/>
              </v:rect>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5824" behindDoc="0" locked="0" layoutInCell="1" allowOverlap="1">
                <wp:simplePos x="0" y="0"/>
                <wp:positionH relativeFrom="column">
                  <wp:posOffset>1485265</wp:posOffset>
                </wp:positionH>
                <wp:positionV relativeFrom="paragraph">
                  <wp:posOffset>5536565</wp:posOffset>
                </wp:positionV>
                <wp:extent cx="1576070" cy="401320"/>
                <wp:effectExtent l="0" t="0" r="0" b="0"/>
                <wp:wrapNone/>
                <wp:docPr id="262" name="文本框 262"/>
                <wp:cNvGraphicFramePr/>
                <a:graphic xmlns:a="http://schemas.openxmlformats.org/drawingml/2006/main">
                  <a:graphicData uri="http://schemas.microsoft.com/office/word/2010/wordprocessingShape">
                    <wps:wsp>
                      <wps:cNvSpPr txBox="1"/>
                      <wps:spPr>
                        <a:xfrm rot="21420000">
                          <a:off x="0" y="0"/>
                          <a:ext cx="1576070" cy="401320"/>
                        </a:xfrm>
                        <a:prstGeom prst="rect">
                          <a:avLst/>
                        </a:prstGeom>
                        <a:noFill/>
                        <a:ln w="6350">
                          <a:noFill/>
                        </a:ln>
                        <a:effectLst/>
                      </wps:spPr>
                      <wps:txbx>
                        <w:txbxContent>
                          <w:p w14:paraId="2008EB62">
                            <w:pPr>
                              <w:spacing w:line="360" w:lineRule="auto"/>
                              <w:rPr>
                                <w:rFonts w:hint="eastAsia" w:ascii="Times New Roman" w:hAnsi="Times New Roman" w:eastAsia="宋体" w:cs="Times New Roman"/>
                                <w:sz w:val="24"/>
                              </w:rPr>
                            </w:pPr>
                            <w:r>
                              <w:rPr>
                                <w:rFonts w:hint="eastAsia" w:ascii="Times New Roman" w:hAnsi="Times New Roman" w:eastAsia="宋体" w:cs="Times New Roman"/>
                                <w:sz w:val="21"/>
                                <w:szCs w:val="21"/>
                                <w:highlight w:val="lightGray"/>
                              </w:rPr>
                              <w:t>广东拓美产业园</w:t>
                            </w:r>
                          </w:p>
                          <w:p w14:paraId="37EAF479">
                            <w:pPr>
                              <w:spacing w:line="360" w:lineRule="auto"/>
                              <w:rPr>
                                <w:rFonts w:ascii="Times New Roman" w:hAnsi="Times New Roman" w:eastAsia="宋体" w:cs="Times New Roman"/>
                                <w:sz w:val="24"/>
                              </w:rPr>
                            </w:pPr>
                          </w:p>
                        </w:txbxContent>
                      </wps:txbx>
                      <wps:bodyPr rot="0" spcFirstLastPara="0" vertOverflow="overflow" horzOverflow="overflow" vert="horz" wrap="square" lIns="91440" tIns="45720" rIns="91440" bIns="4572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16.95pt;margin-top:435.95pt;height:31.6pt;width:124.1pt;rotation:-196608f;z-index:251725824;mso-width-relative:page;mso-height-relative:page;" filled="f" stroked="f" coordsize="21600,21600" o:gfxdata="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EpHMwjbAAAA&#10;CwEAAA8AAAAAAAAAAQAgAAAAIgAAAGRycy9kb3ducmV2LnhtbFBLAQIUABQAAAAIAIdO4kBTzMFC&#10;UwIAAJMEAAAOAAAAAAAAAAEAIAAAACoBAABkcnMvZTJvRG9jLnhtbFBLBQYAAAAABgAGAFkBAADv&#10;BQAAAAA=&#10;">
                <v:fill on="f" focussize="0,0"/>
                <v:stroke on="f" weight="0.5pt"/>
                <v:imagedata o:title=""/>
                <o:lock v:ext="edit" aspectratio="f"/>
                <v:textbox>
                  <w:txbxContent>
                    <w:p w14:paraId="2008EB62">
                      <w:pPr>
                        <w:spacing w:line="360" w:lineRule="auto"/>
                        <w:rPr>
                          <w:rFonts w:hint="eastAsia" w:ascii="Times New Roman" w:hAnsi="Times New Roman" w:eastAsia="宋体" w:cs="Times New Roman"/>
                          <w:sz w:val="24"/>
                        </w:rPr>
                      </w:pPr>
                      <w:r>
                        <w:rPr>
                          <w:rFonts w:hint="eastAsia" w:ascii="Times New Roman" w:hAnsi="Times New Roman" w:eastAsia="宋体" w:cs="Times New Roman"/>
                          <w:sz w:val="21"/>
                          <w:szCs w:val="21"/>
                          <w:highlight w:val="lightGray"/>
                        </w:rPr>
                        <w:t>广东拓美产业园</w:t>
                      </w:r>
                    </w:p>
                    <w:p w14:paraId="37EAF479">
                      <w:pPr>
                        <w:spacing w:line="360" w:lineRule="auto"/>
                        <w:rPr>
                          <w:rFonts w:ascii="Times New Roman" w:hAnsi="Times New Roman" w:eastAsia="宋体" w:cs="Times New Roman"/>
                          <w:sz w:val="24"/>
                        </w:rPr>
                      </w:pP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4800" behindDoc="0" locked="0" layoutInCell="1" allowOverlap="1">
                <wp:simplePos x="0" y="0"/>
                <wp:positionH relativeFrom="column">
                  <wp:posOffset>1005840</wp:posOffset>
                </wp:positionH>
                <wp:positionV relativeFrom="paragraph">
                  <wp:posOffset>5450840</wp:posOffset>
                </wp:positionV>
                <wp:extent cx="2051050" cy="549275"/>
                <wp:effectExtent l="6350" t="6985" r="19050" b="15240"/>
                <wp:wrapNone/>
                <wp:docPr id="261" name="任意多边形 261"/>
                <wp:cNvGraphicFramePr/>
                <a:graphic xmlns:a="http://schemas.openxmlformats.org/drawingml/2006/main">
                  <a:graphicData uri="http://schemas.microsoft.com/office/word/2010/wordprocessingShape">
                    <wps:wsp>
                      <wps:cNvSpPr/>
                      <wps:spPr>
                        <a:xfrm>
                          <a:off x="1905635" y="6350635"/>
                          <a:ext cx="2051050" cy="549275"/>
                        </a:xfrm>
                        <a:custGeom>
                          <a:avLst/>
                          <a:gdLst>
                            <a:gd name="connisteX0" fmla="*/ 8890 w 2051050"/>
                            <a:gd name="connsiteY0" fmla="*/ 179705 h 549275"/>
                            <a:gd name="connisteX1" fmla="*/ 2051050 w 2051050"/>
                            <a:gd name="connsiteY1" fmla="*/ 0 h 549275"/>
                            <a:gd name="connisteX2" fmla="*/ 2051050 w 2051050"/>
                            <a:gd name="connsiteY2" fmla="*/ 360680 h 549275"/>
                            <a:gd name="connisteX3" fmla="*/ 0 w 2051050"/>
                            <a:gd name="connsiteY3" fmla="*/ 549275 h 549275"/>
                            <a:gd name="connisteX4" fmla="*/ 8890 w 2051050"/>
                            <a:gd name="connsiteY4" fmla="*/ 179705 h 54927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2051050" h="549275">
                              <a:moveTo>
                                <a:pt x="8890" y="179705"/>
                              </a:moveTo>
                              <a:lnTo>
                                <a:pt x="2051050" y="0"/>
                              </a:lnTo>
                              <a:lnTo>
                                <a:pt x="2051050" y="360680"/>
                              </a:lnTo>
                              <a:lnTo>
                                <a:pt x="0" y="549275"/>
                              </a:lnTo>
                              <a:lnTo>
                                <a:pt x="8890" y="179705"/>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79.2pt;margin-top:429.2pt;height:43.25pt;width:161.5pt;z-index:251724800;mso-width-relative:page;mso-height-relative:page;" filled="f" stroked="t" coordsize="2051050,549275" o:gfxdata="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aT5+KtcAAAALAQAADwAAAAAAAAABACAAAAAiAAAAZHJzL2Rvd25yZXYueG1sUEsBAhQAFAAAAAgA&#10;h07iQBRw07JDAwAAsggAAA4AAAAAAAAAAQAgAAAAJgEAAGRycy9lMm9Eb2MueG1sUEsFBgAAAAAG&#10;AAYAWQEAANsGAAAAAA==&#10;" path="m8890,179705l2051050,0,2051050,360680,0,549275,8890,179705xe">
                <v:path o:connectlocs="8890,179705;2051050,0;2051050,360680;0,549275;8890,179705" o:connectangles="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8656" behindDoc="0" locked="0" layoutInCell="1" allowOverlap="1">
                <wp:simplePos x="0" y="0"/>
                <wp:positionH relativeFrom="column">
                  <wp:posOffset>3175000</wp:posOffset>
                </wp:positionH>
                <wp:positionV relativeFrom="paragraph">
                  <wp:posOffset>4781550</wp:posOffset>
                </wp:positionV>
                <wp:extent cx="1018540" cy="914400"/>
                <wp:effectExtent l="0" t="0" r="0" b="0"/>
                <wp:wrapNone/>
                <wp:docPr id="220" name="文本框 220"/>
                <wp:cNvGraphicFramePr/>
                <a:graphic xmlns:a="http://schemas.openxmlformats.org/drawingml/2006/main">
                  <a:graphicData uri="http://schemas.microsoft.com/office/word/2010/wordprocessingShape">
                    <wps:wsp>
                      <wps:cNvSpPr txBox="1"/>
                      <wps:spPr>
                        <a:xfrm>
                          <a:off x="4377055" y="5647055"/>
                          <a:ext cx="1018540" cy="914400"/>
                        </a:xfrm>
                        <a:prstGeom prst="rect">
                          <a:avLst/>
                        </a:prstGeom>
                        <a:noFill/>
                        <a:ln w="6350">
                          <a:noFill/>
                        </a:ln>
                        <a:effectLst/>
                      </wps:spPr>
                      <wps:txbx>
                        <w:txbxContent>
                          <w:p w14:paraId="73AF5D97">
                            <w:pPr>
                              <w:keepNext w:val="0"/>
                              <w:keepLines w:val="0"/>
                              <w:pageBreakBefore w:val="0"/>
                              <w:widowControl w:val="0"/>
                              <w:kinsoku/>
                              <w:wordWrap/>
                              <w:overflowPunct/>
                              <w:topLinePunct w:val="0"/>
                              <w:bidi w:val="0"/>
                              <w:adjustRightInd/>
                              <w:snapToGrid/>
                              <w:spacing w:line="240" w:lineRule="auto"/>
                              <w:textAlignment w:val="auto"/>
                              <w:rPr>
                                <w:rFonts w:ascii="Times New Roman" w:hAnsi="Times New Roman" w:eastAsia="宋体" w:cs="Times New Roman"/>
                                <w:b w:val="0"/>
                                <w:bCs w:val="0"/>
                                <w:sz w:val="21"/>
                                <w:szCs w:val="21"/>
                                <w:highlight w:val="lightGray"/>
                              </w:rPr>
                            </w:pPr>
                            <w:r>
                              <w:rPr>
                                <w:rFonts w:hint="eastAsia" w:ascii="Times New Roman" w:hAnsi="Times New Roman" w:eastAsia="宋体" w:cs="Times New Roman"/>
                                <w:b w:val="0"/>
                                <w:bCs w:val="0"/>
                                <w:sz w:val="21"/>
                                <w:szCs w:val="21"/>
                                <w:highlight w:val="lightGray"/>
                              </w:rPr>
                              <w:t>韶关博</w:t>
                            </w:r>
                            <w:r>
                              <w:rPr>
                                <w:rFonts w:hint="eastAsia" w:ascii="Times New Roman" w:hAnsi="Times New Roman" w:eastAsia="宋体" w:cs="Times New Roman"/>
                                <w:b w:val="0"/>
                                <w:bCs w:val="0"/>
                                <w:sz w:val="21"/>
                                <w:szCs w:val="21"/>
                                <w:highlight w:val="lightGray"/>
                                <w:lang w:val="en-US" w:eastAsia="zh-CN"/>
                              </w:rPr>
                              <w:t>鑫</w:t>
                            </w:r>
                            <w:r>
                              <w:rPr>
                                <w:rFonts w:hint="eastAsia" w:ascii="Times New Roman" w:hAnsi="Times New Roman" w:eastAsia="宋体" w:cs="Times New Roman"/>
                                <w:b w:val="0"/>
                                <w:bCs w:val="0"/>
                                <w:sz w:val="21"/>
                                <w:szCs w:val="21"/>
                                <w:highlight w:val="lightGray"/>
                              </w:rPr>
                              <w:t>工程服务有限公司</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50pt;margin-top:376.5pt;height:72pt;width:80.2pt;z-index:251718656;mso-width-relative:page;mso-height-relative:page;" filled="f" stroked="f" coordsize="21600,21600" o:gfxdata="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9yQKJ2AAAAAsB&#10;AAAPAAAAAAAAAAEAIAAAACIAAABkcnMvZG93bnJldi54bWxQSwECFAAUAAAACACHTuJA7xh4H1QC&#10;AACQBAAADgAAAAAAAAABACAAAAAnAQAAZHJzL2Uyb0RvYy54bWxQSwUGAAAAAAYABgBZAQAA7QUA&#10;AAAA&#10;">
                <v:fill on="f" focussize="0,0"/>
                <v:stroke on="f" weight="0.5pt"/>
                <v:imagedata o:title=""/>
                <o:lock v:ext="edit" aspectratio="f"/>
                <v:textbox style="mso-fit-shape-to-text:t;">
                  <w:txbxContent>
                    <w:p w14:paraId="73AF5D97">
                      <w:pPr>
                        <w:keepNext w:val="0"/>
                        <w:keepLines w:val="0"/>
                        <w:pageBreakBefore w:val="0"/>
                        <w:widowControl w:val="0"/>
                        <w:kinsoku/>
                        <w:wordWrap/>
                        <w:overflowPunct/>
                        <w:topLinePunct w:val="0"/>
                        <w:bidi w:val="0"/>
                        <w:adjustRightInd/>
                        <w:snapToGrid/>
                        <w:spacing w:line="240" w:lineRule="auto"/>
                        <w:textAlignment w:val="auto"/>
                        <w:rPr>
                          <w:rFonts w:ascii="Times New Roman" w:hAnsi="Times New Roman" w:eastAsia="宋体" w:cs="Times New Roman"/>
                          <w:b w:val="0"/>
                          <w:bCs w:val="0"/>
                          <w:sz w:val="21"/>
                          <w:szCs w:val="21"/>
                          <w:highlight w:val="lightGray"/>
                        </w:rPr>
                      </w:pPr>
                      <w:r>
                        <w:rPr>
                          <w:rFonts w:hint="eastAsia" w:ascii="Times New Roman" w:hAnsi="Times New Roman" w:eastAsia="宋体" w:cs="Times New Roman"/>
                          <w:b w:val="0"/>
                          <w:bCs w:val="0"/>
                          <w:sz w:val="21"/>
                          <w:szCs w:val="21"/>
                          <w:highlight w:val="lightGray"/>
                        </w:rPr>
                        <w:t>韶关博</w:t>
                      </w:r>
                      <w:r>
                        <w:rPr>
                          <w:rFonts w:hint="eastAsia" w:ascii="Times New Roman" w:hAnsi="Times New Roman" w:eastAsia="宋体" w:cs="Times New Roman"/>
                          <w:b w:val="0"/>
                          <w:bCs w:val="0"/>
                          <w:sz w:val="21"/>
                          <w:szCs w:val="21"/>
                          <w:highlight w:val="lightGray"/>
                          <w:lang w:val="en-US" w:eastAsia="zh-CN"/>
                        </w:rPr>
                        <w:t>鑫</w:t>
                      </w:r>
                      <w:r>
                        <w:rPr>
                          <w:rFonts w:hint="eastAsia" w:ascii="Times New Roman" w:hAnsi="Times New Roman" w:eastAsia="宋体" w:cs="Times New Roman"/>
                          <w:b w:val="0"/>
                          <w:bCs w:val="0"/>
                          <w:sz w:val="21"/>
                          <w:szCs w:val="21"/>
                          <w:highlight w:val="lightGray"/>
                        </w:rPr>
                        <w:t>工程服务有限公司</w:t>
                      </w:r>
                    </w:p>
                  </w:txbxContent>
                </v:textbox>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22752" behindDoc="0" locked="0" layoutInCell="1" allowOverlap="1">
                <wp:simplePos x="0" y="0"/>
                <wp:positionH relativeFrom="column">
                  <wp:posOffset>4215130</wp:posOffset>
                </wp:positionH>
                <wp:positionV relativeFrom="paragraph">
                  <wp:posOffset>5146675</wp:posOffset>
                </wp:positionV>
                <wp:extent cx="746760" cy="498475"/>
                <wp:effectExtent l="6350" t="6350" r="8890" b="9525"/>
                <wp:wrapNone/>
                <wp:docPr id="240" name="任意多边形 240"/>
                <wp:cNvGraphicFramePr/>
                <a:graphic xmlns:a="http://schemas.openxmlformats.org/drawingml/2006/main">
                  <a:graphicData uri="http://schemas.microsoft.com/office/word/2010/wordprocessingShape">
                    <wps:wsp>
                      <wps:cNvSpPr/>
                      <wps:spPr>
                        <a:xfrm>
                          <a:off x="5114925" y="6046470"/>
                          <a:ext cx="746760" cy="498475"/>
                        </a:xfrm>
                        <a:custGeom>
                          <a:avLst/>
                          <a:gdLst>
                            <a:gd name="connisteX0" fmla="*/ 0 w 746760"/>
                            <a:gd name="connsiteY0" fmla="*/ 0 h 498475"/>
                            <a:gd name="connisteX1" fmla="*/ 746760 w 746760"/>
                            <a:gd name="connsiteY1" fmla="*/ 0 h 498475"/>
                            <a:gd name="connisteX2" fmla="*/ 738505 w 746760"/>
                            <a:gd name="connsiteY2" fmla="*/ 438150 h 498475"/>
                            <a:gd name="connisteX3" fmla="*/ 0 w 746760"/>
                            <a:gd name="connsiteY3" fmla="*/ 498475 h 498475"/>
                            <a:gd name="connisteX4" fmla="*/ 0 w 746760"/>
                            <a:gd name="connsiteY4" fmla="*/ 0 h 49847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746760" h="498475">
                              <a:moveTo>
                                <a:pt x="0" y="0"/>
                              </a:moveTo>
                              <a:lnTo>
                                <a:pt x="746760" y="0"/>
                              </a:lnTo>
                              <a:lnTo>
                                <a:pt x="738505" y="438150"/>
                              </a:lnTo>
                              <a:lnTo>
                                <a:pt x="0" y="498475"/>
                              </a:lnTo>
                              <a:lnTo>
                                <a:pt x="0" y="0"/>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331.9pt;margin-top:405.25pt;height:39.25pt;width:58.8pt;z-index:251722752;mso-width-relative:page;mso-height-relative:page;" filled="f" stroked="t" coordsize="746760,498475" o:gfxdata="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ofkqSNkAAAALAQAADwAAAAAAAAABACAAAAAiAAAAZHJzL2Rvd25yZXYueG1sUEsBAhQAFAAAAAgA&#10;h07iQN1KyRdBAwAAhwgAAA4AAAAAAAAAAQAgAAAAKAEAAGRycy9lMm9Eb2MueG1sUEsFBgAAAAAG&#10;AAYAWQEAANsGAAAAAA==&#10;" path="m0,0l746760,0,738505,438150,0,498475,0,0xe">
                <v:path o:connectlocs="0,0;746760,0;738505,438150;0,498475;0,0" o:connectangles="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6608" behindDoc="0" locked="0" layoutInCell="1" allowOverlap="1">
                <wp:simplePos x="0" y="0"/>
                <wp:positionH relativeFrom="column">
                  <wp:posOffset>3211195</wp:posOffset>
                </wp:positionH>
                <wp:positionV relativeFrom="paragraph">
                  <wp:posOffset>4412615</wp:posOffset>
                </wp:positionV>
                <wp:extent cx="961390" cy="1355725"/>
                <wp:effectExtent l="6350" t="6985" r="22860" b="8890"/>
                <wp:wrapNone/>
                <wp:docPr id="214" name="任意多边形 214"/>
                <wp:cNvGraphicFramePr/>
                <a:graphic xmlns:a="http://schemas.openxmlformats.org/drawingml/2006/main">
                  <a:graphicData uri="http://schemas.microsoft.com/office/word/2010/wordprocessingShape">
                    <wps:wsp>
                      <wps:cNvSpPr/>
                      <wps:spPr>
                        <a:xfrm>
                          <a:off x="4110990" y="5312410"/>
                          <a:ext cx="961390" cy="1355725"/>
                        </a:xfrm>
                        <a:custGeom>
                          <a:avLst/>
                          <a:gdLst>
                            <a:gd name="connisteX0" fmla="*/ 17145 w 961390"/>
                            <a:gd name="connsiteY0" fmla="*/ 111125 h 1355725"/>
                            <a:gd name="connisteX1" fmla="*/ 961390 w 961390"/>
                            <a:gd name="connsiteY1" fmla="*/ 0 h 1355725"/>
                            <a:gd name="connisteX2" fmla="*/ 935355 w 961390"/>
                            <a:gd name="connsiteY2" fmla="*/ 1235710 h 1355725"/>
                            <a:gd name="connisteX3" fmla="*/ 0 w 961390"/>
                            <a:gd name="connsiteY3" fmla="*/ 1355725 h 1355725"/>
                            <a:gd name="connisteX4" fmla="*/ 17145 w 961390"/>
                            <a:gd name="connsiteY4" fmla="*/ 111125 h 135572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961390" h="1355725">
                              <a:moveTo>
                                <a:pt x="17145" y="111125"/>
                              </a:moveTo>
                              <a:lnTo>
                                <a:pt x="961390" y="0"/>
                              </a:lnTo>
                              <a:lnTo>
                                <a:pt x="935355" y="1235710"/>
                              </a:lnTo>
                              <a:lnTo>
                                <a:pt x="0" y="1355725"/>
                              </a:lnTo>
                              <a:lnTo>
                                <a:pt x="17145" y="111125"/>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252.85pt;margin-top:347.45pt;height:106.75pt;width:75.7pt;z-index:251716608;mso-width-relative:page;mso-height-relative:page;" filled="f" stroked="t" coordsize="961390,1355725" o:gfxdata="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AAAAABkcnMvUEsB&#10;AhQAFAAAAAgAh07iQBxSrCPYAAAACwEAAA8AAAAAAAAAAQAgAAAAIgAAAGRycy9kb3ducmV2Lnht&#10;bFBLAQIUABQAAAAIAIdO4kAiZsQaTwMAALYIAAAOAAAAAAAAAAEAIAAAACcBAABkcnMvZTJvRG9j&#10;LnhtbFBLBQYAAAAABgAGAFkBAADoBgAAAAA=&#10;" path="m17145,111125l961390,0,935355,1235710,0,1355725,17145,111125xe">
                <v:path o:connectlocs="17145,111125;961390,0;935355,1235710;0,1355725;17145,111125" o:connectangles="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mc:AlternateContent>
          <mc:Choice Requires="wps">
            <w:drawing>
              <wp:anchor distT="0" distB="0" distL="114300" distR="114300" simplePos="0" relativeHeight="251715584" behindDoc="0" locked="0" layoutInCell="1" allowOverlap="1">
                <wp:simplePos x="0" y="0"/>
                <wp:positionH relativeFrom="column">
                  <wp:posOffset>3270250</wp:posOffset>
                </wp:positionH>
                <wp:positionV relativeFrom="paragraph">
                  <wp:posOffset>2486025</wp:posOffset>
                </wp:positionV>
                <wp:extent cx="1913255" cy="1882140"/>
                <wp:effectExtent l="6350" t="7620" r="23495" b="15240"/>
                <wp:wrapNone/>
                <wp:docPr id="208" name="任意多边形 208"/>
                <wp:cNvGraphicFramePr/>
                <a:graphic xmlns:a="http://schemas.openxmlformats.org/drawingml/2006/main">
                  <a:graphicData uri="http://schemas.microsoft.com/office/word/2010/wordprocessingShape">
                    <wps:wsp>
                      <wps:cNvSpPr/>
                      <wps:spPr>
                        <a:xfrm>
                          <a:off x="4170045" y="3385820"/>
                          <a:ext cx="1913255" cy="1882140"/>
                        </a:xfrm>
                        <a:custGeom>
                          <a:avLst/>
                          <a:gdLst>
                            <a:gd name="connisteX0" fmla="*/ 0 w 1913255"/>
                            <a:gd name="connsiteY0" fmla="*/ 0 h 1882140"/>
                            <a:gd name="connisteX1" fmla="*/ 1913255 w 1913255"/>
                            <a:gd name="connsiteY1" fmla="*/ 331470 h 1882140"/>
                            <a:gd name="connisteX2" fmla="*/ 1677035 w 1913255"/>
                            <a:gd name="connsiteY2" fmla="*/ 1574800 h 1882140"/>
                            <a:gd name="connisteX3" fmla="*/ 0 w 1913255"/>
                            <a:gd name="connsiteY3" fmla="*/ 1882140 h 1882140"/>
                            <a:gd name="connisteX4" fmla="*/ 0 w 1913255"/>
                            <a:gd name="connsiteY4" fmla="*/ 0 h 1882140"/>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1913255" h="1882140">
                              <a:moveTo>
                                <a:pt x="0" y="0"/>
                              </a:moveTo>
                              <a:lnTo>
                                <a:pt x="1913255" y="331470"/>
                              </a:lnTo>
                              <a:lnTo>
                                <a:pt x="1677035" y="1574800"/>
                              </a:lnTo>
                              <a:lnTo>
                                <a:pt x="0" y="1882140"/>
                              </a:lnTo>
                              <a:lnTo>
                                <a:pt x="0" y="0"/>
                              </a:lnTo>
                              <a:close/>
                            </a:path>
                          </a:pathLst>
                        </a:custGeom>
                        <a:noFill/>
                        <a:ln w="12700" cap="flat" cmpd="sng" algn="ctr">
                          <a:solidFill>
                            <a:sysClr val="windowText" lastClr="000000"/>
                          </a:solidFill>
                          <a:prstDash val="solid"/>
                          <a:miter lim="800000"/>
                        </a:ln>
                        <a:effectLst/>
                      </wps:spPr>
                      <wps:bodyPr vert="horz" wrap="square" anchor="t" anchorCtr="0"/>
                    </wps:wsp>
                  </a:graphicData>
                </a:graphic>
              </wp:anchor>
            </w:drawing>
          </mc:Choice>
          <mc:Fallback>
            <w:pict>
              <v:shape id="_x0000_s1026" o:spid="_x0000_s1026" o:spt="100" style="position:absolute;left:0pt;margin-left:257.5pt;margin-top:195.75pt;height:148.2pt;width:150.65pt;z-index:251715584;mso-width-relative:page;mso-height-relative:page;" filled="f" stroked="t" coordsize="1913255,1882140" o:gfxdata="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" path="m0,0l1913255,331470,1677035,1574800,0,1882140,0,0xe">
                <v:path o:connectlocs="0,0;1913255,331470;1677035,1574800;0,1882140;0,0" o:connectangles="0,0,0,0,0"/>
                <v:fill on="f" focussize="0,0"/>
                <v:stroke weight="1pt" color="#000000" miterlimit="8" joinstyle="miter"/>
                <v:imagedata o:title=""/>
                <o:lock v:ext="edit" aspectratio="f"/>
              </v:shape>
            </w:pict>
          </mc:Fallback>
        </mc:AlternateContent>
      </w:r>
      <w:r>
        <w:rPr>
          <w:rFonts w:ascii="宋体" w:hAnsi="Times New Roman" w:eastAsia="宋体" w:cs="Times New Roman"/>
          <w:b/>
          <w:bCs/>
          <w:color w:val="auto"/>
          <w:kern w:val="2"/>
          <w:sz w:val="32"/>
          <w:szCs w:val="32"/>
          <w:highlight w:val="none"/>
          <w:lang w:val="en-US" w:eastAsia="zh-CN" w:bidi="ar-SA"/>
        </w:rPr>
        <w:drawing>
          <wp:inline distT="0" distB="0" distL="114300" distR="114300">
            <wp:extent cx="6000750" cy="6515100"/>
            <wp:effectExtent l="12700" t="12700" r="25400" b="25400"/>
            <wp:docPr id="10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577"/>
                    <pic:cNvPicPr>
                      <a:picLocks noChangeAspect="1"/>
                    </pic:cNvPicPr>
                  </pic:nvPicPr>
                  <pic:blipFill>
                    <a:blip r:embed="rId60"/>
                    <a:stretch>
                      <a:fillRect/>
                    </a:stretch>
                  </pic:blipFill>
                  <pic:spPr>
                    <a:xfrm>
                      <a:off x="0" y="0"/>
                      <a:ext cx="6000750" cy="6515100"/>
                    </a:xfrm>
                    <a:prstGeom prst="rect">
                      <a:avLst/>
                    </a:prstGeom>
                    <a:noFill/>
                    <a:ln w="12700" cap="flat" cmpd="sng">
                      <a:solidFill>
                        <a:srgbClr val="000000"/>
                      </a:solidFill>
                      <a:prstDash val="solid"/>
                      <a:round/>
                      <a:headEnd type="none" w="med" len="med"/>
                      <a:tailEnd type="none" w="med" len="med"/>
                    </a:ln>
                  </pic:spPr>
                </pic:pic>
              </a:graphicData>
            </a:graphic>
          </wp:inline>
        </w:drawing>
      </w:r>
    </w:p>
    <w:p w14:paraId="1BC40F1F">
      <w:pPr>
        <w:spacing w:after="0" w:line="240" w:lineRule="auto"/>
        <w:jc w:val="center"/>
        <w:outlineLvl w:val="0"/>
        <w:rPr>
          <w:color w:val="auto"/>
          <w:highlight w:val="none"/>
        </w:rPr>
        <w:sectPr>
          <w:pgSz w:w="11906" w:h="16838"/>
          <w:pgMar w:top="1417" w:right="1134" w:bottom="1559"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bookmarkStart w:id="59" w:name="_Toc17747"/>
      <w:r>
        <w:rPr>
          <w:rFonts w:hint="default" w:ascii="Times New Roman" w:hAnsi="Times New Roman" w:eastAsia="宋体" w:cs="Times New Roman"/>
          <w:b/>
          <w:color w:val="auto"/>
          <w:kern w:val="0"/>
          <w:sz w:val="24"/>
          <w:szCs w:val="20"/>
          <w:highlight w:val="none"/>
          <w:lang w:val="en-US" w:eastAsia="zh-CN" w:bidi="ar-SA"/>
        </w:rPr>
        <w:t>附图2 项目卫星四至及实景图</w:t>
      </w:r>
      <w:bookmarkEnd w:id="59"/>
    </w:p>
    <w:tbl>
      <w:tblPr>
        <w:tblStyle w:val="4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11"/>
        <w:gridCol w:w="6841"/>
      </w:tblGrid>
      <w:tr w14:paraId="775E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0" w:hRule="atLeast"/>
          <w:jc w:val="center"/>
        </w:trPr>
        <w:tc>
          <w:tcPr>
            <w:tcW w:w="2573" w:type="pct"/>
            <w:noWrap w:val="0"/>
            <w:vAlign w:val="center"/>
          </w:tcPr>
          <w:p w14:paraId="61CA029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bookmarkStart w:id="60" w:name="_Toc30211"/>
            <w:bookmarkStart w:id="61" w:name="_Toc25378"/>
            <w:bookmarkStart w:id="62" w:name="_Toc3905"/>
            <w:r>
              <w:rPr>
                <w:rFonts w:hint="eastAsia" w:ascii="Times New Roman" w:hAnsi="Times New Roman" w:eastAsia="宋体" w:cs="Times New Roman"/>
                <w:b/>
                <w:bCs/>
                <w:color w:val="auto"/>
                <w:kern w:val="2"/>
                <w:sz w:val="21"/>
                <w:szCs w:val="21"/>
                <w:highlight w:val="none"/>
                <w:lang w:val="en-US" w:eastAsia="zh-CN" w:bidi="ar-SA"/>
              </w:rPr>
              <w:drawing>
                <wp:inline distT="0" distB="0" distL="114300" distR="114300">
                  <wp:extent cx="3943985" cy="2567305"/>
                  <wp:effectExtent l="0" t="0" r="18415" b="4445"/>
                  <wp:docPr id="108" name="图片 570" descr="9ce7d48652ceff3ffb645e5d65948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570" descr="9ce7d48652ceff3ffb645e5d65948a78"/>
                          <pic:cNvPicPr>
                            <a:picLocks noChangeAspect="1"/>
                          </pic:cNvPicPr>
                        </pic:nvPicPr>
                        <pic:blipFill>
                          <a:blip r:embed="rId61"/>
                          <a:stretch>
                            <a:fillRect/>
                          </a:stretch>
                        </pic:blipFill>
                        <pic:spPr>
                          <a:xfrm>
                            <a:off x="0" y="0"/>
                            <a:ext cx="3943985" cy="2567305"/>
                          </a:xfrm>
                          <a:prstGeom prst="rect">
                            <a:avLst/>
                          </a:prstGeom>
                          <a:noFill/>
                          <a:ln>
                            <a:noFill/>
                          </a:ln>
                        </pic:spPr>
                      </pic:pic>
                    </a:graphicData>
                  </a:graphic>
                </wp:inline>
              </w:drawing>
            </w:r>
          </w:p>
        </w:tc>
        <w:tc>
          <w:tcPr>
            <w:tcW w:w="2426" w:type="pct"/>
            <w:noWrap w:val="0"/>
            <w:vAlign w:val="center"/>
          </w:tcPr>
          <w:p w14:paraId="3534DA1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drawing>
                <wp:inline distT="0" distB="0" distL="114300" distR="114300">
                  <wp:extent cx="4218940" cy="2463800"/>
                  <wp:effectExtent l="0" t="0" r="10160" b="12700"/>
                  <wp:docPr id="109" name="图片 574" descr="2bca4e7733fd6a417c7150c5bf4b20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574" descr="2bca4e7733fd6a417c7150c5bf4b203a"/>
                          <pic:cNvPicPr>
                            <a:picLocks noChangeAspect="1"/>
                          </pic:cNvPicPr>
                        </pic:nvPicPr>
                        <pic:blipFill>
                          <a:blip r:embed="rId62"/>
                          <a:srcRect t="28311" b="17552"/>
                          <a:stretch>
                            <a:fillRect/>
                          </a:stretch>
                        </pic:blipFill>
                        <pic:spPr>
                          <a:xfrm>
                            <a:off x="0" y="0"/>
                            <a:ext cx="4218940" cy="2463800"/>
                          </a:xfrm>
                          <a:prstGeom prst="rect">
                            <a:avLst/>
                          </a:prstGeom>
                          <a:noFill/>
                          <a:ln>
                            <a:noFill/>
                          </a:ln>
                        </pic:spPr>
                      </pic:pic>
                    </a:graphicData>
                  </a:graphic>
                </wp:inline>
              </w:drawing>
            </w:r>
          </w:p>
        </w:tc>
      </w:tr>
      <w:tr w14:paraId="116C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2573" w:type="pct"/>
            <w:noWrap w:val="0"/>
            <w:vAlign w:val="center"/>
          </w:tcPr>
          <w:p w14:paraId="52E4847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项目东面-平整空地</w:t>
            </w:r>
          </w:p>
        </w:tc>
        <w:tc>
          <w:tcPr>
            <w:tcW w:w="2426" w:type="pct"/>
            <w:noWrap w:val="0"/>
            <w:vAlign w:val="center"/>
          </w:tcPr>
          <w:p w14:paraId="6829F24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w:t>
            </w:r>
            <w:r>
              <w:rPr>
                <w:rFonts w:hint="eastAsia" w:ascii="Times New Roman" w:hAnsi="Times New Roman" w:eastAsia="宋体....." w:cs="Times New Roman"/>
                <w:b/>
                <w:bCs/>
                <w:color w:val="auto"/>
                <w:kern w:val="2"/>
                <w:sz w:val="21"/>
                <w:szCs w:val="21"/>
                <w:highlight w:val="none"/>
                <w:lang w:val="en-US" w:eastAsia="zh-CN" w:bidi="ar-SA"/>
              </w:rPr>
              <w:t>南</w:t>
            </w:r>
            <w:r>
              <w:rPr>
                <w:rFonts w:hint="eastAsia" w:ascii="Times New Roman" w:hAnsi="Times New Roman" w:eastAsia="宋体" w:cs="Times New Roman"/>
                <w:b/>
                <w:bCs/>
                <w:color w:val="auto"/>
                <w:kern w:val="2"/>
                <w:sz w:val="21"/>
                <w:szCs w:val="21"/>
                <w:highlight w:val="none"/>
                <w:lang w:val="en-US" w:eastAsia="zh-CN" w:bidi="ar-SA"/>
              </w:rPr>
              <w:t>面</w:t>
            </w:r>
            <w:r>
              <w:rPr>
                <w:rFonts w:hint="eastAsia" w:ascii="Times New Roman" w:hAnsi="Times New Roman" w:eastAsia="宋体....." w:cs="Times New Roman"/>
                <w:b/>
                <w:bCs/>
                <w:color w:val="auto"/>
                <w:kern w:val="2"/>
                <w:sz w:val="21"/>
                <w:szCs w:val="21"/>
                <w:highlight w:val="none"/>
                <w:lang w:val="en-US" w:eastAsia="zh-CN" w:bidi="ar-SA"/>
              </w:rPr>
              <w:t>-平整空地</w:t>
            </w:r>
          </w:p>
        </w:tc>
      </w:tr>
      <w:tr w14:paraId="2FE69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jc w:val="center"/>
        </w:trPr>
        <w:tc>
          <w:tcPr>
            <w:tcW w:w="2573" w:type="pct"/>
            <w:noWrap w:val="0"/>
            <w:vAlign w:val="center"/>
          </w:tcPr>
          <w:p w14:paraId="3638801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drawing>
                <wp:inline distT="0" distB="0" distL="114300" distR="114300">
                  <wp:extent cx="4206240" cy="2366010"/>
                  <wp:effectExtent l="0" t="0" r="3810" b="15240"/>
                  <wp:docPr id="110" name="图片 572" descr="f13ab5e261df47048984cbb8a9341c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572" descr="f13ab5e261df47048984cbb8a9341c00"/>
                          <pic:cNvPicPr>
                            <a:picLocks noChangeAspect="1"/>
                          </pic:cNvPicPr>
                        </pic:nvPicPr>
                        <pic:blipFill>
                          <a:blip r:embed="rId63"/>
                          <a:stretch>
                            <a:fillRect/>
                          </a:stretch>
                        </pic:blipFill>
                        <pic:spPr>
                          <a:xfrm>
                            <a:off x="0" y="0"/>
                            <a:ext cx="4206240" cy="2366010"/>
                          </a:xfrm>
                          <a:prstGeom prst="rect">
                            <a:avLst/>
                          </a:prstGeom>
                          <a:noFill/>
                          <a:ln>
                            <a:noFill/>
                          </a:ln>
                        </pic:spPr>
                      </pic:pic>
                    </a:graphicData>
                  </a:graphic>
                </wp:inline>
              </w:drawing>
            </w:r>
          </w:p>
        </w:tc>
        <w:tc>
          <w:tcPr>
            <w:tcW w:w="2426" w:type="pct"/>
            <w:noWrap w:val="0"/>
            <w:vAlign w:val="center"/>
          </w:tcPr>
          <w:p w14:paraId="593B8C38">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drawing>
                <wp:inline distT="0" distB="0" distL="114300" distR="114300">
                  <wp:extent cx="4169410" cy="2345690"/>
                  <wp:effectExtent l="0" t="0" r="2540" b="16510"/>
                  <wp:docPr id="111" name="图片 573" descr="291db2fb075068544c979d838cbe60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73" descr="291db2fb075068544c979d838cbe609c"/>
                          <pic:cNvPicPr>
                            <a:picLocks noChangeAspect="1"/>
                          </pic:cNvPicPr>
                        </pic:nvPicPr>
                        <pic:blipFill>
                          <a:blip r:embed="rId64"/>
                          <a:stretch>
                            <a:fillRect/>
                          </a:stretch>
                        </pic:blipFill>
                        <pic:spPr>
                          <a:xfrm>
                            <a:off x="0" y="0"/>
                            <a:ext cx="4169410" cy="2345690"/>
                          </a:xfrm>
                          <a:prstGeom prst="rect">
                            <a:avLst/>
                          </a:prstGeom>
                          <a:noFill/>
                          <a:ln>
                            <a:noFill/>
                          </a:ln>
                        </pic:spPr>
                      </pic:pic>
                    </a:graphicData>
                  </a:graphic>
                </wp:inline>
              </w:drawing>
            </w:r>
          </w:p>
        </w:tc>
      </w:tr>
      <w:tr w14:paraId="71D04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573" w:type="pct"/>
            <w:noWrap w:val="0"/>
            <w:vAlign w:val="center"/>
          </w:tcPr>
          <w:p w14:paraId="0306A80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项目西面-平整空地</w:t>
            </w:r>
          </w:p>
        </w:tc>
        <w:tc>
          <w:tcPr>
            <w:tcW w:w="2426" w:type="pct"/>
            <w:noWrap w:val="0"/>
            <w:vAlign w:val="center"/>
          </w:tcPr>
          <w:p w14:paraId="610F608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76" w:lineRule="auto"/>
              <w:ind w:left="0" w:right="0"/>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项目北面-平整空地</w:t>
            </w:r>
          </w:p>
        </w:tc>
      </w:tr>
    </w:tbl>
    <w:p w14:paraId="37274632">
      <w:pPr>
        <w:keepNext w:val="0"/>
        <w:keepLines w:val="0"/>
        <w:pageBreakBefore w:val="0"/>
        <w:widowControl w:val="0"/>
        <w:kinsoku w:val="0"/>
        <w:wordWrap/>
        <w:overflowPunct w:val="0"/>
        <w:topLinePunct w:val="0"/>
        <w:autoSpaceDE/>
        <w:autoSpaceDN/>
        <w:bidi w:val="0"/>
        <w:adjustRightInd w:val="0"/>
        <w:snapToGrid w:val="0"/>
        <w:spacing w:line="120" w:lineRule="exact"/>
        <w:ind w:firstLine="422" w:firstLineChars="200"/>
        <w:jc w:val="center"/>
        <w:textAlignment w:val="auto"/>
        <w:outlineLvl w:val="9"/>
        <w:rPr>
          <w:b/>
          <w:bCs/>
          <w:color w:val="auto"/>
          <w:sz w:val="21"/>
          <w:szCs w:val="21"/>
          <w:highlight w:val="none"/>
        </w:rPr>
      </w:pPr>
      <w:bookmarkStart w:id="63" w:name="_Toc20038"/>
      <w:bookmarkStart w:id="64" w:name="_Toc28856"/>
      <w:bookmarkStart w:id="65" w:name="_Toc30362"/>
      <w:bookmarkStart w:id="66" w:name="_Toc24195"/>
    </w:p>
    <w:p w14:paraId="729DE53B">
      <w:pPr>
        <w:kinsoku w:val="0"/>
        <w:overflowPunct w:val="0"/>
        <w:adjustRightInd w:val="0"/>
        <w:snapToGrid w:val="0"/>
        <w:spacing w:line="360" w:lineRule="auto"/>
        <w:ind w:firstLine="422" w:firstLineChars="200"/>
        <w:jc w:val="center"/>
        <w:outlineLvl w:val="0"/>
        <w:rPr>
          <w:b/>
          <w:bCs/>
          <w:color w:val="auto"/>
          <w:sz w:val="21"/>
          <w:szCs w:val="21"/>
          <w:highlight w:val="none"/>
        </w:rPr>
      </w:pPr>
      <w:bookmarkStart w:id="67" w:name="_Toc2303"/>
      <w:bookmarkStart w:id="68" w:name="_Toc28683"/>
      <w:bookmarkStart w:id="69" w:name="_Toc31743"/>
      <w:r>
        <w:rPr>
          <w:b/>
          <w:bCs/>
          <w:color w:val="auto"/>
          <w:sz w:val="21"/>
          <w:szCs w:val="21"/>
          <w:highlight w:val="none"/>
        </w:rPr>
        <w:t>附图</w:t>
      </w:r>
      <w:r>
        <w:rPr>
          <w:rFonts w:hint="eastAsia" w:ascii="Times New Roman" w:eastAsia="宋体"/>
          <w:b/>
          <w:bCs/>
          <w:color w:val="auto"/>
          <w:sz w:val="21"/>
          <w:szCs w:val="21"/>
          <w:highlight w:val="none"/>
          <w:lang w:val="en-US" w:eastAsia="zh-CN"/>
        </w:rPr>
        <w:t>3</w:t>
      </w:r>
      <w:r>
        <w:rPr>
          <w:b/>
          <w:bCs/>
          <w:color w:val="auto"/>
          <w:sz w:val="21"/>
          <w:szCs w:val="21"/>
          <w:highlight w:val="none"/>
        </w:rPr>
        <w:t xml:space="preserve"> </w:t>
      </w:r>
      <w:r>
        <w:rPr>
          <w:rFonts w:hint="eastAsia" w:ascii="Times New Roman" w:eastAsia="宋体"/>
          <w:b/>
          <w:bCs/>
          <w:color w:val="auto"/>
          <w:sz w:val="21"/>
          <w:szCs w:val="21"/>
          <w:highlight w:val="none"/>
          <w:lang w:val="en-US" w:eastAsia="zh-CN"/>
        </w:rPr>
        <w:t>项目</w:t>
      </w:r>
      <w:r>
        <w:rPr>
          <w:b/>
          <w:bCs/>
          <w:color w:val="auto"/>
          <w:sz w:val="21"/>
          <w:szCs w:val="21"/>
          <w:highlight w:val="none"/>
        </w:rPr>
        <w:t>周边现状</w:t>
      </w:r>
      <w:r>
        <w:rPr>
          <w:rFonts w:hint="eastAsia"/>
          <w:b/>
          <w:bCs/>
          <w:color w:val="auto"/>
          <w:sz w:val="21"/>
          <w:szCs w:val="21"/>
          <w:highlight w:val="none"/>
        </w:rPr>
        <w:t>图</w:t>
      </w:r>
      <w:bookmarkEnd w:id="63"/>
      <w:bookmarkEnd w:id="64"/>
      <w:bookmarkEnd w:id="65"/>
      <w:bookmarkEnd w:id="66"/>
      <w:bookmarkEnd w:id="67"/>
      <w:bookmarkEnd w:id="68"/>
      <w:bookmarkEnd w:id="69"/>
    </w:p>
    <w:p w14:paraId="5796AC16">
      <w:pPr>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p>
    <w:p w14:paraId="7F789645">
      <w:pPr>
        <w:jc w:val="center"/>
        <w:outlineLvl w:val="9"/>
        <w:rPr>
          <w:color w:val="auto"/>
          <w:highlight w:val="none"/>
        </w:rPr>
      </w:pPr>
      <w:bookmarkStart w:id="70" w:name="_Toc25813"/>
      <w:r>
        <mc:AlternateContent>
          <mc:Choice Requires="wps">
            <w:drawing>
              <wp:anchor distT="0" distB="0" distL="114300" distR="114300" simplePos="0" relativeHeight="251782144" behindDoc="0" locked="0" layoutInCell="1" allowOverlap="1">
                <wp:simplePos x="0" y="0"/>
                <wp:positionH relativeFrom="column">
                  <wp:posOffset>3967480</wp:posOffset>
                </wp:positionH>
                <wp:positionV relativeFrom="paragraph">
                  <wp:posOffset>1043940</wp:posOffset>
                </wp:positionV>
                <wp:extent cx="596265" cy="353060"/>
                <wp:effectExtent l="0" t="0" r="0" b="0"/>
                <wp:wrapNone/>
                <wp:docPr id="32" name="文本框 1881"/>
                <wp:cNvGraphicFramePr/>
                <a:graphic xmlns:a="http://schemas.openxmlformats.org/drawingml/2006/main">
                  <a:graphicData uri="http://schemas.microsoft.com/office/word/2010/wordprocessingShape">
                    <wps:wsp>
                      <wps:cNvSpPr txBox="1"/>
                      <wps:spPr>
                        <a:xfrm>
                          <a:off x="0" y="0"/>
                          <a:ext cx="596265" cy="353060"/>
                        </a:xfrm>
                        <a:prstGeom prst="rect">
                          <a:avLst/>
                        </a:prstGeom>
                        <a:noFill/>
                        <a:ln>
                          <a:noFill/>
                        </a:ln>
                      </wps:spPr>
                      <wps:txbx>
                        <w:txbxContent>
                          <w:p w14:paraId="5A0A00B8">
                            <w:pPr>
                              <w:rPr>
                                <w:rFonts w:hint="default" w:eastAsia="宋体"/>
                                <w:b/>
                                <w:bCs/>
                                <w:highlight w:val="yellow"/>
                                <w:lang w:val="en-US" w:eastAsia="zh-CN"/>
                              </w:rPr>
                            </w:pPr>
                            <w:r>
                              <w:rPr>
                                <w:rFonts w:hint="eastAsia"/>
                                <w:b/>
                                <w:bCs/>
                                <w:highlight w:val="yellow"/>
                                <w:lang w:val="en-US" w:eastAsia="zh-CN"/>
                              </w:rPr>
                              <w:t>DA003</w:t>
                            </w:r>
                          </w:p>
                        </w:txbxContent>
                      </wps:txbx>
                      <wps:bodyPr upright="1"/>
                    </wps:wsp>
                  </a:graphicData>
                </a:graphic>
              </wp:anchor>
            </w:drawing>
          </mc:Choice>
          <mc:Fallback>
            <w:pict>
              <v:shape id="文本框 1881" o:spid="_x0000_s1026" o:spt="202" type="#_x0000_t202" style="position:absolute;left:0pt;margin-left:312.4pt;margin-top:82.2pt;height:27.8pt;width:46.95pt;z-index:251782144;mso-width-relative:page;mso-height-relative:page;" filled="f" stroked="f" coordsize="21600,21600" o:gfxdata="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ekbt9&#10;1wAAAAsBAAAPAAAAAAAAAAEAIAAAACIAAABkcnMvZG93bnJldi54bWxQSwECFAAUAAAACACHTuJA&#10;I4fCYLABAABRAwAADgAAAAAAAAABACAAAAAmAQAAZHJzL2Uyb0RvYy54bWxQSwUGAAAAAAYABgBZ&#10;AQAASAUAAAAA&#10;">
                <v:fill on="f" focussize="0,0"/>
                <v:stroke on="f"/>
                <v:imagedata o:title=""/>
                <o:lock v:ext="edit" aspectratio="f"/>
                <v:textbox>
                  <w:txbxContent>
                    <w:p w14:paraId="5A0A00B8">
                      <w:pPr>
                        <w:rPr>
                          <w:rFonts w:hint="default" w:eastAsia="宋体"/>
                          <w:b/>
                          <w:bCs/>
                          <w:highlight w:val="yellow"/>
                          <w:lang w:val="en-US" w:eastAsia="zh-CN"/>
                        </w:rPr>
                      </w:pPr>
                      <w:r>
                        <w:rPr>
                          <w:rFonts w:hint="eastAsia"/>
                          <w:b/>
                          <w:bCs/>
                          <w:highlight w:val="yellow"/>
                          <w:lang w:val="en-US" w:eastAsia="zh-CN"/>
                        </w:rPr>
                        <w:t>DA003</w:t>
                      </w:r>
                    </w:p>
                  </w:txbxContent>
                </v:textbox>
              </v:shape>
            </w:pict>
          </mc:Fallback>
        </mc:AlternateContent>
      </w:r>
      <w:r>
        <w:rPr>
          <w:sz w:val="18"/>
        </w:rPr>
        <mc:AlternateContent>
          <mc:Choice Requires="wps">
            <w:drawing>
              <wp:anchor distT="0" distB="0" distL="114300" distR="114300" simplePos="0" relativeHeight="251688960" behindDoc="0" locked="0" layoutInCell="1" allowOverlap="1">
                <wp:simplePos x="0" y="0"/>
                <wp:positionH relativeFrom="column">
                  <wp:posOffset>4048760</wp:posOffset>
                </wp:positionH>
                <wp:positionV relativeFrom="paragraph">
                  <wp:posOffset>3050540</wp:posOffset>
                </wp:positionV>
                <wp:extent cx="114300" cy="121920"/>
                <wp:effectExtent l="4445" t="4445" r="14605" b="6985"/>
                <wp:wrapNone/>
                <wp:docPr id="31" name="椭圆 1879"/>
                <wp:cNvGraphicFramePr/>
                <a:graphic xmlns:a="http://schemas.openxmlformats.org/drawingml/2006/main">
                  <a:graphicData uri="http://schemas.microsoft.com/office/word/2010/wordprocessingShape">
                    <wps:wsp>
                      <wps:cNvSpPr/>
                      <wps:spPr>
                        <a:xfrm>
                          <a:off x="5128895" y="3842385"/>
                          <a:ext cx="114300" cy="121920"/>
                        </a:xfrm>
                        <a:prstGeom prst="ellipse">
                          <a:avLst/>
                        </a:prstGeom>
                        <a:solidFill>
                          <a:srgbClr val="00B0F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1879" o:spid="_x0000_s1026" o:spt="3" type="#_x0000_t3" style="position:absolute;left:0pt;margin-left:318.8pt;margin-top:240.2pt;height:9.6pt;width:9pt;z-index:251688960;mso-width-relative:page;mso-height-relative:page;" fillcolor="#00B0F0" filled="t" stroked="t" coordsize="21600,21600" o:gfxdata="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qotTLcAAAACwEAAA8AAAAAAAAAAQAgAAAAIgAAAGRycy9kb3ducmV2LnhtbFBL&#10;AQIUABQAAAAIAIdO4kAmQ7J0KwIAAFkEAAAOAAAAAAAAAAEAIAAAACsBAABkcnMvZTJvRG9jLnht&#10;bFBLBQYAAAAABgAGAFkBAADIBQ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773952" behindDoc="0" locked="0" layoutInCell="1" allowOverlap="1">
                <wp:simplePos x="0" y="0"/>
                <wp:positionH relativeFrom="column">
                  <wp:posOffset>1189990</wp:posOffset>
                </wp:positionH>
                <wp:positionV relativeFrom="paragraph">
                  <wp:posOffset>2759075</wp:posOffset>
                </wp:positionV>
                <wp:extent cx="710565" cy="353060"/>
                <wp:effectExtent l="0" t="0" r="0" b="0"/>
                <wp:wrapNone/>
                <wp:docPr id="276" name="文本框 4"/>
                <wp:cNvGraphicFramePr/>
                <a:graphic xmlns:a="http://schemas.openxmlformats.org/drawingml/2006/main">
                  <a:graphicData uri="http://schemas.microsoft.com/office/word/2010/wordprocessingShape">
                    <wps:wsp>
                      <wps:cNvSpPr txBox="1"/>
                      <wps:spPr>
                        <a:xfrm>
                          <a:off x="0" y="0"/>
                          <a:ext cx="710565" cy="353060"/>
                        </a:xfrm>
                        <a:prstGeom prst="rect">
                          <a:avLst/>
                        </a:prstGeom>
                        <a:noFill/>
                        <a:ln>
                          <a:noFill/>
                        </a:ln>
                      </wps:spPr>
                      <wps:txbx>
                        <w:txbxContent>
                          <w:p w14:paraId="3A3C4EE0">
                            <w:pPr>
                              <w:rPr>
                                <w:rFonts w:hint="default" w:eastAsia="宋体"/>
                                <w:b/>
                                <w:bCs/>
                                <w:highlight w:val="yellow"/>
                                <w:lang w:val="en-US" w:eastAsia="zh-CN"/>
                              </w:rPr>
                            </w:pPr>
                            <w:r>
                              <w:rPr>
                                <w:rFonts w:hint="eastAsia" w:ascii="Times New Roman" w:eastAsia="宋体"/>
                                <w:b/>
                                <w:bCs/>
                                <w:highlight w:val="yellow"/>
                                <w:lang w:val="en-US" w:eastAsia="zh-CN"/>
                              </w:rPr>
                              <w:t>YS001</w:t>
                            </w:r>
                          </w:p>
                        </w:txbxContent>
                      </wps:txbx>
                      <wps:bodyPr vert="horz" wrap="square" anchor="t" anchorCtr="0" upright="1"/>
                    </wps:wsp>
                  </a:graphicData>
                </a:graphic>
              </wp:anchor>
            </w:drawing>
          </mc:Choice>
          <mc:Fallback>
            <w:pict>
              <v:shape id="文本框 4" o:spid="_x0000_s1026" o:spt="202" type="#_x0000_t202" style="position:absolute;left:0pt;margin-left:93.7pt;margin-top:217.25pt;height:27.8pt;width:55.95pt;z-index:251773952;mso-width-relative:page;mso-height-relative:page;" filled="f" stroked="f" coordsize="21600,21600" o:gfxdata="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GgPY+2AAAAAsBAAAPAAAAAAAAAAEAIAAAACIAAABk&#10;cnMvZG93bnJldi54bWxQSwECFAAUAAAACACHTuJAoEw8cs0BAACCAwAADgAAAAAAAAABACAAAAAn&#10;AQAAZHJzL2Uyb0RvYy54bWxQSwUGAAAAAAYABgBZAQAAZgUAAAAA&#10;">
                <v:fill on="f" focussize="0,0"/>
                <v:stroke on="f"/>
                <v:imagedata o:title=""/>
                <o:lock v:ext="edit" aspectratio="f"/>
                <v:textbox>
                  <w:txbxContent>
                    <w:p w14:paraId="3A3C4EE0">
                      <w:pPr>
                        <w:rPr>
                          <w:rFonts w:hint="default" w:eastAsia="宋体"/>
                          <w:b/>
                          <w:bCs/>
                          <w:highlight w:val="yellow"/>
                          <w:lang w:val="en-US" w:eastAsia="zh-CN"/>
                        </w:rPr>
                      </w:pPr>
                      <w:r>
                        <w:rPr>
                          <w:rFonts w:hint="eastAsia" w:ascii="Times New Roman" w:eastAsia="宋体"/>
                          <w:b/>
                          <w:bCs/>
                          <w:highlight w:val="yellow"/>
                          <w:lang w:val="en-US" w:eastAsia="zh-CN"/>
                        </w:rPr>
                        <w:t>YS001</w:t>
                      </w:r>
                    </w:p>
                  </w:txbxContent>
                </v:textbox>
              </v:shape>
            </w:pict>
          </mc:Fallback>
        </mc:AlternateContent>
      </w:r>
      <w:r>
        <w:rPr>
          <w:color w:val="auto"/>
          <w:sz w:val="18"/>
          <w:highlight w:val="none"/>
        </w:rPr>
        <mc:AlternateContent>
          <mc:Choice Requires="wps">
            <w:drawing>
              <wp:anchor distT="0" distB="0" distL="114300" distR="114300" simplePos="0" relativeHeight="251772928" behindDoc="0" locked="0" layoutInCell="1" allowOverlap="1">
                <wp:simplePos x="0" y="0"/>
                <wp:positionH relativeFrom="column">
                  <wp:posOffset>1751965</wp:posOffset>
                </wp:positionH>
                <wp:positionV relativeFrom="paragraph">
                  <wp:posOffset>2978150</wp:posOffset>
                </wp:positionV>
                <wp:extent cx="114300" cy="121920"/>
                <wp:effectExtent l="4445" t="4445" r="14605" b="6985"/>
                <wp:wrapNone/>
                <wp:docPr id="275" name="椭圆 2"/>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00B05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2" o:spid="_x0000_s1026" o:spt="3" type="#_x0000_t3" style="position:absolute;left:0pt;margin-left:137.95pt;margin-top:234.5pt;height:9.6pt;width:9pt;z-index:251772928;mso-width-relative:page;mso-height-relative:page;" fillcolor="#00B050" filled="t" stroked="t" coordsize="21600,21600" o:gfxdata="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I27KTZAAAA&#10;CwEAAA8AAAAAAAAAAQAgAAAAIgAAAGRycy9kb3ducmV2LnhtbFBLAQIUABQAAAAIAIdO4kC/DR1Z&#10;HAIAAEsEAAAOAAAAAAAAAAEAIAAAACgBAABkcnMvZTJvRG9jLnhtbFBLBQYAAAAABgAGAFkBAAC2&#10;BQAAAAA=&#10;">
                <v:fill on="t" focussize="0,0"/>
                <v:stroke color="#000000" joinstyle="round"/>
                <v:imagedata o:title=""/>
                <o:lock v:ext="edit" aspectratio="f"/>
              </v:shape>
            </w:pict>
          </mc:Fallback>
        </mc:AlternateContent>
      </w:r>
      <w:r>
        <w:rPr>
          <w:sz w:val="18"/>
        </w:rPr>
        <mc:AlternateContent>
          <mc:Choice Requires="wps">
            <w:drawing>
              <wp:anchor distT="0" distB="0" distL="114300" distR="114300" simplePos="0" relativeHeight="251771904" behindDoc="0" locked="0" layoutInCell="1" allowOverlap="1">
                <wp:simplePos x="0" y="0"/>
                <wp:positionH relativeFrom="column">
                  <wp:posOffset>1764030</wp:posOffset>
                </wp:positionH>
                <wp:positionV relativeFrom="paragraph">
                  <wp:posOffset>1757680</wp:posOffset>
                </wp:positionV>
                <wp:extent cx="925830" cy="2164080"/>
                <wp:effectExtent l="0" t="12700" r="7620" b="13970"/>
                <wp:wrapNone/>
                <wp:docPr id="274" name="任意多边形 274"/>
                <wp:cNvGraphicFramePr/>
                <a:graphic xmlns:a="http://schemas.openxmlformats.org/drawingml/2006/main">
                  <a:graphicData uri="http://schemas.microsoft.com/office/word/2010/wordprocessingShape">
                    <wps:wsp>
                      <wps:cNvSpPr/>
                      <wps:spPr>
                        <a:xfrm>
                          <a:off x="2895600" y="2549525"/>
                          <a:ext cx="925830" cy="2164080"/>
                        </a:xfrm>
                        <a:custGeom>
                          <a:avLst/>
                          <a:gdLst>
                            <a:gd name="connisteX0" fmla="*/ 0 w 519430"/>
                            <a:gd name="connsiteY0" fmla="*/ 0 h 2120900"/>
                            <a:gd name="connisteX1" fmla="*/ 95250 w 519430"/>
                            <a:gd name="connsiteY1" fmla="*/ 0 h 2120900"/>
                            <a:gd name="connisteX2" fmla="*/ 95250 w 519430"/>
                            <a:gd name="connsiteY2" fmla="*/ 2025650 h 2120900"/>
                            <a:gd name="connisteX3" fmla="*/ 519430 w 519430"/>
                            <a:gd name="connsiteY3" fmla="*/ 2120900 h 2120900"/>
                          </a:gdLst>
                          <a:ahLst/>
                          <a:cxnLst>
                            <a:cxn ang="0">
                              <a:pos x="connisteX0" y="connsiteY0"/>
                            </a:cxn>
                            <a:cxn ang="0">
                              <a:pos x="connisteX1" y="connsiteY1"/>
                            </a:cxn>
                            <a:cxn ang="0">
                              <a:pos x="connisteX2" y="connsiteY2"/>
                            </a:cxn>
                            <a:cxn ang="0">
                              <a:pos x="connisteX3" y="connsiteY3"/>
                            </a:cxn>
                          </a:cxnLst>
                          <a:rect l="l" t="t" r="r" b="b"/>
                          <a:pathLst>
                            <a:path w="519430" h="2120900">
                              <a:moveTo>
                                <a:pt x="0" y="0"/>
                              </a:moveTo>
                              <a:lnTo>
                                <a:pt x="95250" y="0"/>
                              </a:lnTo>
                              <a:lnTo>
                                <a:pt x="95250" y="2025650"/>
                              </a:lnTo>
                              <a:lnTo>
                                <a:pt x="519430" y="2120900"/>
                              </a:lnTo>
                            </a:path>
                          </a:pathLst>
                        </a:custGeom>
                        <a:noFill/>
                        <a:ln w="25400" cap="flat" cmpd="sng" algn="ctr">
                          <a:solidFill>
                            <a:srgbClr val="1005F9"/>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38.9pt;margin-top:138.4pt;height:170.4pt;width:72.9pt;z-index:251771904;mso-width-relative:page;mso-height-relative:page;" filled="f" stroked="t" coordsize="519430,2120900" o:gfxdata="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" path="m0,0l95250,0,95250,2025650,519430,2120900e">
                <v:path o:connectlocs="0,0;169773,0;169773,2066890;925830,2164080" o:connectangles="0,0,0,0"/>
                <v:fill on="f" focussize="0,0"/>
                <v:stroke weight="2pt" color="#1005F9 [2404]"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705344" behindDoc="0" locked="0" layoutInCell="1" allowOverlap="1">
                <wp:simplePos x="0" y="0"/>
                <wp:positionH relativeFrom="column">
                  <wp:posOffset>1989455</wp:posOffset>
                </wp:positionH>
                <wp:positionV relativeFrom="paragraph">
                  <wp:posOffset>616585</wp:posOffset>
                </wp:positionV>
                <wp:extent cx="886460" cy="338455"/>
                <wp:effectExtent l="4445" t="4445" r="23495" b="19050"/>
                <wp:wrapNone/>
                <wp:docPr id="51" name="文本框 1860"/>
                <wp:cNvGraphicFramePr/>
                <a:graphic xmlns:a="http://schemas.openxmlformats.org/drawingml/2006/main">
                  <a:graphicData uri="http://schemas.microsoft.com/office/word/2010/wordprocessingShape">
                    <wps:wsp>
                      <wps:cNvSpPr txBox="1"/>
                      <wps:spPr>
                        <a:xfrm>
                          <a:off x="0" y="0"/>
                          <a:ext cx="886460" cy="33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6F2A18">
                            <w:pPr>
                              <w:rPr>
                                <w:rFonts w:hint="default" w:eastAsia="宋体"/>
                                <w:b/>
                                <w:bCs/>
                                <w:highlight w:val="yellow"/>
                                <w:lang w:val="en-US" w:eastAsia="zh-CN"/>
                              </w:rPr>
                            </w:pPr>
                            <w:r>
                              <w:rPr>
                                <w:rFonts w:hint="eastAsia" w:ascii="Times New Roman" w:eastAsia="宋体"/>
                                <w:b/>
                                <w:bCs/>
                                <w:highlight w:val="yellow"/>
                                <w:lang w:val="en-US" w:eastAsia="zh-CN"/>
                              </w:rPr>
                              <w:t>事故应急池</w:t>
                            </w:r>
                          </w:p>
                        </w:txbxContent>
                      </wps:txbx>
                      <wps:bodyPr vert="horz" wrap="square" anchor="t" anchorCtr="0" upright="1"/>
                    </wps:wsp>
                  </a:graphicData>
                </a:graphic>
              </wp:anchor>
            </w:drawing>
          </mc:Choice>
          <mc:Fallback>
            <w:pict>
              <v:shape id="文本框 1860" o:spid="_x0000_s1026" o:spt="202" type="#_x0000_t202" style="position:absolute;left:0pt;margin-left:156.65pt;margin-top:48.55pt;height:26.65pt;width:69.8pt;z-index:251705344;mso-width-relative:page;mso-height-relative:page;" fillcolor="#FFFFFF" filled="t" stroked="t" coordsize="21600,21600" o:gfxdata="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d6d/Z2gAAAAoBAAAPAAAAAAAAAAEAIAAAACIAAABkcnMvZG93bnJldi54bWxQSwEC&#10;FAAUAAAACACHTuJAEDTrcSsCAABsBAAADgAAAAAAAAABACAAAAApAQAAZHJzL2Uyb0RvYy54bWxQ&#10;SwUGAAAAAAYABgBZAQAAxgUAAAAA&#10;">
                <v:fill on="t" focussize="0,0"/>
                <v:stroke color="#000000" joinstyle="miter"/>
                <v:imagedata o:title=""/>
                <o:lock v:ext="edit" aspectratio="f"/>
                <v:textbox>
                  <w:txbxContent>
                    <w:p w14:paraId="5A6F2A18">
                      <w:pPr>
                        <w:rPr>
                          <w:rFonts w:hint="default" w:eastAsia="宋体"/>
                          <w:b/>
                          <w:bCs/>
                          <w:highlight w:val="yellow"/>
                          <w:lang w:val="en-US" w:eastAsia="zh-CN"/>
                        </w:rPr>
                      </w:pPr>
                      <w:r>
                        <w:rPr>
                          <w:rFonts w:hint="eastAsia" w:ascii="Times New Roman" w:eastAsia="宋体"/>
                          <w:b/>
                          <w:bCs/>
                          <w:highlight w:val="yellow"/>
                          <w:lang w:val="en-US" w:eastAsia="zh-CN"/>
                        </w:rPr>
                        <w:t>事故应急池</w:t>
                      </w:r>
                    </w:p>
                  </w:txbxContent>
                </v:textbox>
              </v:shape>
            </w:pict>
          </mc:Fallback>
        </mc:AlternateContent>
      </w:r>
      <w:r>
        <w:rPr>
          <w:color w:val="auto"/>
          <w:highlight w:val="none"/>
        </w:rPr>
        <w:drawing>
          <wp:anchor distT="0" distB="0" distL="114300" distR="114300" simplePos="0" relativeHeight="251769856" behindDoc="0" locked="0" layoutInCell="1" allowOverlap="1">
            <wp:simplePos x="0" y="0"/>
            <wp:positionH relativeFrom="column">
              <wp:posOffset>523240</wp:posOffset>
            </wp:positionH>
            <wp:positionV relativeFrom="paragraph">
              <wp:posOffset>121920</wp:posOffset>
            </wp:positionV>
            <wp:extent cx="1076325" cy="1009015"/>
            <wp:effectExtent l="0" t="0" r="9525" b="635"/>
            <wp:wrapNone/>
            <wp:docPr id="272" name="图片 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1886"/>
                    <pic:cNvPicPr>
                      <a:picLocks noChangeAspect="1"/>
                    </pic:cNvPicPr>
                  </pic:nvPicPr>
                  <pic:blipFill>
                    <a:blip r:embed="rId59"/>
                    <a:stretch>
                      <a:fillRect/>
                    </a:stretch>
                  </pic:blipFill>
                  <pic:spPr>
                    <a:xfrm>
                      <a:off x="0" y="0"/>
                      <a:ext cx="1076325" cy="1009015"/>
                    </a:xfrm>
                    <a:prstGeom prst="rect">
                      <a:avLst/>
                    </a:prstGeom>
                    <a:noFill/>
                    <a:ln>
                      <a:noFill/>
                    </a:ln>
                  </pic:spPr>
                </pic:pic>
              </a:graphicData>
            </a:graphic>
          </wp:anchor>
        </w:drawing>
      </w:r>
      <w:r>
        <w:rPr>
          <w:sz w:val="18"/>
        </w:rPr>
        <mc:AlternateContent>
          <mc:Choice Requires="wps">
            <w:drawing>
              <wp:anchor distT="0" distB="0" distL="114300" distR="114300" simplePos="0" relativeHeight="251765760" behindDoc="0" locked="0" layoutInCell="1" allowOverlap="1">
                <wp:simplePos x="0" y="0"/>
                <wp:positionH relativeFrom="column">
                  <wp:posOffset>3035300</wp:posOffset>
                </wp:positionH>
                <wp:positionV relativeFrom="paragraph">
                  <wp:posOffset>348615</wp:posOffset>
                </wp:positionV>
                <wp:extent cx="3940810" cy="311785"/>
                <wp:effectExtent l="4445" t="4445" r="17145" b="7620"/>
                <wp:wrapNone/>
                <wp:docPr id="267" name="文本框 267"/>
                <wp:cNvGraphicFramePr/>
                <a:graphic xmlns:a="http://schemas.openxmlformats.org/drawingml/2006/main">
                  <a:graphicData uri="http://schemas.microsoft.com/office/word/2010/wordprocessingShape">
                    <wps:wsp>
                      <wps:cNvSpPr txBox="1"/>
                      <wps:spPr>
                        <a:xfrm>
                          <a:off x="6125210" y="1140460"/>
                          <a:ext cx="3940810" cy="311785"/>
                        </a:xfrm>
                        <a:prstGeom prst="rect">
                          <a:avLst/>
                        </a:prstGeom>
                        <a:solidFill>
                          <a:srgbClr val="FFFFF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9BD39B6">
                            <w:pPr>
                              <w:rPr>
                                <w:rFonts w:hint="default" w:eastAsia="宋体"/>
                                <w:lang w:val="en-US" w:eastAsia="zh-CN"/>
                              </w:rPr>
                            </w:pPr>
                            <w:r>
                              <w:rPr>
                                <w:rFonts w:hint="eastAsia" w:ascii="Times New Roman" w:eastAsia="宋体"/>
                                <w:lang w:val="en-US" w:eastAsia="zh-CN"/>
                              </w:rPr>
                              <w:t>图例：项目红线          雨水管网       污水管网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9pt;margin-top:27.45pt;height:24.55pt;width:310.3pt;z-index:251765760;mso-width-relative:page;mso-height-relative:page;" fillcolor="#FFFFFF" filled="t" stroked="t" coordsize="21600,21600" o:gfxdata="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PJ+7e7YAAAACwEAAA8AAAAAAAAAAQAgAAAAIgAAAGRycy9kb3ducmV2Lnht&#10;bFBLAQIUABQAAAAIAIdO4kAI233fawIAANUEAAAOAAAAAAAAAAEAIAAAACcBAABkcnMvZTJvRG9j&#10;LnhtbFBLBQYAAAAABgAGAFkBAAAEBgAAAAA=&#10;">
                <v:fill on="t" focussize="0,0"/>
                <v:stroke weight="0.5pt" color="#000000 [3204]" joinstyle="round"/>
                <v:imagedata o:title=""/>
                <o:lock v:ext="edit" aspectratio="f"/>
                <v:textbox>
                  <w:txbxContent>
                    <w:p w14:paraId="49BD39B6">
                      <w:pPr>
                        <w:rPr>
                          <w:rFonts w:hint="default" w:eastAsia="宋体"/>
                          <w:lang w:val="en-US" w:eastAsia="zh-CN"/>
                        </w:rPr>
                      </w:pPr>
                      <w:r>
                        <w:rPr>
                          <w:rFonts w:hint="eastAsia" w:ascii="Times New Roman" w:eastAsia="宋体"/>
                          <w:lang w:val="en-US" w:eastAsia="zh-CN"/>
                        </w:rPr>
                        <w:t>图例：项目红线          雨水管网       污水管网</w:t>
                      </w:r>
                    </w:p>
                  </w:txbxContent>
                </v:textbox>
              </v:shape>
            </w:pict>
          </mc:Fallback>
        </mc:AlternateContent>
      </w:r>
      <w:r>
        <w:rPr>
          <w:sz w:val="18"/>
        </w:rPr>
        <mc:AlternateContent>
          <mc:Choice Requires="wps">
            <w:drawing>
              <wp:anchor distT="0" distB="0" distL="114300" distR="114300" simplePos="0" relativeHeight="251768832" behindDoc="0" locked="0" layoutInCell="1" allowOverlap="1">
                <wp:simplePos x="0" y="0"/>
                <wp:positionH relativeFrom="column">
                  <wp:posOffset>4126865</wp:posOffset>
                </wp:positionH>
                <wp:positionV relativeFrom="paragraph">
                  <wp:posOffset>521970</wp:posOffset>
                </wp:positionV>
                <wp:extent cx="303530" cy="635"/>
                <wp:effectExtent l="0" t="12700" r="1270" b="15240"/>
                <wp:wrapNone/>
                <wp:docPr id="271" name="直接连接符 271"/>
                <wp:cNvGraphicFramePr/>
                <a:graphic xmlns:a="http://schemas.openxmlformats.org/drawingml/2006/main">
                  <a:graphicData uri="http://schemas.microsoft.com/office/word/2010/wordprocessingShape">
                    <wps:wsp>
                      <wps:cNvCnPr/>
                      <wps:spPr>
                        <a:xfrm flipV="1">
                          <a:off x="0" y="0"/>
                          <a:ext cx="303530" cy="635"/>
                        </a:xfrm>
                        <a:prstGeom prst="line">
                          <a:avLst/>
                        </a:prstGeom>
                        <a:noFill/>
                        <a:ln w="25400" cap="flat" cmpd="sng" algn="ctr">
                          <a:solidFill>
                            <a:srgbClr val="C00000"/>
                          </a:solidFill>
                          <a:prstDash val="solid"/>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324.95pt;margin-top:41.1pt;height:0.05pt;width:23.9pt;z-index:251768832;mso-width-relative:page;mso-height-relative:page;" filled="f" stroked="t" coordsize="21600,21600" o:gfxdata="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5ufy9sAAAAJAQAADwAAAAAAAAABACAAAAAiAAAAZHJzL2Rvd25yZXYueG1sUEsBAhQAFAAAAAgA&#10;h07iQNj0U07pAQAAuAMAAA4AAAAAAAAAAQAgAAAAKgEAAGRycy9lMm9Eb2MueG1sUEsFBgAAAAAG&#10;AAYAWQEAAIUFAAAAAA==&#10;">
                <v:fill on="f" focussize="0,0"/>
                <v:stroke weight="2pt" color="#C00000 [3204]" joinstyle="round"/>
                <v:imagedata o:title=""/>
                <o:lock v:ext="edit" aspectratio="f"/>
              </v:line>
            </w:pict>
          </mc:Fallback>
        </mc:AlternateContent>
      </w:r>
      <w:r>
        <w:rPr>
          <w:sz w:val="18"/>
        </w:rPr>
        <mc:AlternateContent>
          <mc:Choice Requires="wps">
            <w:drawing>
              <wp:anchor distT="0" distB="0" distL="114300" distR="114300" simplePos="0" relativeHeight="251766784" behindDoc="0" locked="0" layoutInCell="1" allowOverlap="1">
                <wp:simplePos x="0" y="0"/>
                <wp:positionH relativeFrom="column">
                  <wp:posOffset>5348605</wp:posOffset>
                </wp:positionH>
                <wp:positionV relativeFrom="paragraph">
                  <wp:posOffset>539115</wp:posOffset>
                </wp:positionV>
                <wp:extent cx="303530" cy="635"/>
                <wp:effectExtent l="0" t="12700" r="1270" b="15240"/>
                <wp:wrapNone/>
                <wp:docPr id="269" name="直接连接符 269"/>
                <wp:cNvGraphicFramePr/>
                <a:graphic xmlns:a="http://schemas.openxmlformats.org/drawingml/2006/main">
                  <a:graphicData uri="http://schemas.microsoft.com/office/word/2010/wordprocessingShape">
                    <wps:wsp>
                      <wps:cNvCnPr/>
                      <wps:spPr>
                        <a:xfrm flipV="1">
                          <a:off x="5415280" y="1313815"/>
                          <a:ext cx="303530" cy="635"/>
                        </a:xfrm>
                        <a:prstGeom prst="line">
                          <a:avLst/>
                        </a:prstGeom>
                        <a:noFill/>
                        <a:ln w="25400" cap="flat" cmpd="sng" algn="ctr">
                          <a:solidFill>
                            <a:srgbClr val="00B050"/>
                          </a:solidFill>
                          <a:prstDash val="solid"/>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21.15pt;margin-top:42.45pt;height:0.05pt;width:23.9pt;z-index:251766784;mso-width-relative:page;mso-height-relative:page;" filled="f" stroked="t" coordsize="21600,21600" o:gfxdata="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f90h21gAAAAkBAAAPAAAAAAAAAAEAIAAAACIAAABkcnMvZG93bnJldi54bWxQ&#10;SwECFAAUAAAACACHTuJA6KRWvPkBAADEAwAADgAAAAAAAAABACAAAAAlAQAAZHJzL2Uyb0RvYy54&#10;bWxQSwUGAAAAAAYABgBZAQAAkAUAAAAA&#10;">
                <v:fill on="f" focussize="0,0"/>
                <v:stroke weight="2pt" color="#00B050 [3204]" joinstyle="round"/>
                <v:imagedata o:title=""/>
                <o:lock v:ext="edit" aspectratio="f"/>
              </v:line>
            </w:pict>
          </mc:Fallback>
        </mc:AlternateContent>
      </w:r>
      <w:r>
        <w:rPr>
          <w:sz w:val="18"/>
        </w:rPr>
        <mc:AlternateContent>
          <mc:Choice Requires="wps">
            <w:drawing>
              <wp:anchor distT="0" distB="0" distL="114300" distR="114300" simplePos="0" relativeHeight="251767808" behindDoc="0" locked="0" layoutInCell="1" allowOverlap="1">
                <wp:simplePos x="0" y="0"/>
                <wp:positionH relativeFrom="column">
                  <wp:posOffset>6452870</wp:posOffset>
                </wp:positionH>
                <wp:positionV relativeFrom="paragraph">
                  <wp:posOffset>527050</wp:posOffset>
                </wp:positionV>
                <wp:extent cx="303530" cy="635"/>
                <wp:effectExtent l="0" t="12700" r="1270" b="15240"/>
                <wp:wrapNone/>
                <wp:docPr id="270" name="直接连接符 270"/>
                <wp:cNvGraphicFramePr/>
                <a:graphic xmlns:a="http://schemas.openxmlformats.org/drawingml/2006/main">
                  <a:graphicData uri="http://schemas.microsoft.com/office/word/2010/wordprocessingShape">
                    <wps:wsp>
                      <wps:cNvCnPr/>
                      <wps:spPr>
                        <a:xfrm flipV="1">
                          <a:off x="0" y="0"/>
                          <a:ext cx="303530" cy="635"/>
                        </a:xfrm>
                        <a:prstGeom prst="line">
                          <a:avLst/>
                        </a:prstGeom>
                        <a:noFill/>
                        <a:ln w="25400" cap="flat" cmpd="sng" algn="ctr">
                          <a:solidFill>
                            <a:srgbClr val="FFFF00"/>
                          </a:solidFill>
                          <a:prstDash val="solid"/>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508.1pt;margin-top:41.5pt;height:0.05pt;width:23.9pt;z-index:251767808;mso-width-relative:page;mso-height-relative:page;" filled="f" stroked="t" coordsize="21600,21600" o:gfxdata="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Dwnw1XX&#10;AAAACwEAAA8AAAAAAAAAAQAgAAAAIgAAAGRycy9kb3ducmV2LnhtbFBLAQIUABQAAAAIAIdO4kDr&#10;3fRz6AEAALgDAAAOAAAAAAAAAAEAIAAAACYBAABkcnMvZTJvRG9jLnhtbFBLBQYAAAAABgAGAFkB&#10;AACABQAAAAA=&#10;">
                <v:fill on="f" focussize="0,0"/>
                <v:stroke weight="2pt" color="#FFFF00 [3204]" joinstyle="round"/>
                <v:imagedata o:title=""/>
                <o:lock v:ext="edit" aspectratio="f"/>
              </v:line>
            </w:pict>
          </mc:Fallback>
        </mc:AlternateContent>
      </w:r>
      <w:r>
        <w:rPr>
          <w:sz w:val="18"/>
        </w:rPr>
        <mc:AlternateContent>
          <mc:Choice Requires="wps">
            <w:drawing>
              <wp:anchor distT="0" distB="0" distL="114300" distR="114300" simplePos="0" relativeHeight="251761664" behindDoc="0" locked="0" layoutInCell="1" allowOverlap="1">
                <wp:simplePos x="0" y="0"/>
                <wp:positionH relativeFrom="column">
                  <wp:posOffset>1824990</wp:posOffset>
                </wp:positionH>
                <wp:positionV relativeFrom="paragraph">
                  <wp:posOffset>1656080</wp:posOffset>
                </wp:positionV>
                <wp:extent cx="2631440" cy="181610"/>
                <wp:effectExtent l="0" t="12700" r="16510" b="15240"/>
                <wp:wrapNone/>
                <wp:docPr id="257" name="任意多边形 257"/>
                <wp:cNvGraphicFramePr/>
                <a:graphic xmlns:a="http://schemas.openxmlformats.org/drawingml/2006/main">
                  <a:graphicData uri="http://schemas.microsoft.com/office/word/2010/wordprocessingShape">
                    <wps:wsp>
                      <wps:cNvSpPr/>
                      <wps:spPr>
                        <a:xfrm flipH="1" flipV="1">
                          <a:off x="4982210" y="2153920"/>
                          <a:ext cx="2631440" cy="181610"/>
                        </a:xfrm>
                        <a:custGeom>
                          <a:avLst/>
                          <a:gdLst>
                            <a:gd name="connisteX0" fmla="*/ 1264285 w 1264285"/>
                            <a:gd name="connsiteY0" fmla="*/ 155575 h 155575"/>
                            <a:gd name="connisteX1" fmla="*/ 0 w 1264285"/>
                            <a:gd name="connsiteY1" fmla="*/ 138430 h 155575"/>
                            <a:gd name="connisteX2" fmla="*/ 0 w 1264285"/>
                            <a:gd name="connsiteY2" fmla="*/ 0 h 155575"/>
                          </a:gdLst>
                          <a:ahLst/>
                          <a:cxnLst>
                            <a:cxn ang="0">
                              <a:pos x="connisteX0" y="connsiteY0"/>
                            </a:cxn>
                            <a:cxn ang="0">
                              <a:pos x="connisteX1" y="connsiteY1"/>
                            </a:cxn>
                            <a:cxn ang="0">
                              <a:pos x="connisteX2" y="connsiteY2"/>
                            </a:cxn>
                          </a:cxnLst>
                          <a:rect l="l" t="t" r="r" b="b"/>
                          <a:pathLst>
                            <a:path w="1264285" h="155575">
                              <a:moveTo>
                                <a:pt x="1264285" y="155575"/>
                              </a:moveTo>
                              <a:lnTo>
                                <a:pt x="0" y="138430"/>
                              </a:lnTo>
                              <a:lnTo>
                                <a:pt x="0" y="0"/>
                              </a:lnTo>
                            </a:path>
                          </a:pathLst>
                        </a:custGeom>
                        <a:noFill/>
                        <a:ln w="25400" cap="flat" cmpd="sng" algn="ctr">
                          <a:solidFill>
                            <a:srgbClr val="1005F9"/>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flip:x y;margin-left:143.7pt;margin-top:130.4pt;height:14.3pt;width:207.2pt;z-index:251761664;mso-width-relative:page;mso-height-relative:page;" filled="f" stroked="t" coordsize="1264285,155575" o:gfxdata="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IHUNRtgAAAALAQAADwAAAAAAAAABACAAAAAiAAAAZHJzL2Rvd25yZXYu&#10;eG1sUEsBAhQAFAAAAAgAh07iQJMSnvHfAgAAtgYAAA4AAAAAAAAAAQAgAAAAJwEAAGRycy9lMm9E&#10;b2MueG1sUEsFBgAAAAAGAAYAWQEAAHgGAAAAAA==&#10;" path="m1264285,155575l0,138430,0,0e">
                <v:path o:connectlocs="2631440,181610;0,161595;0,0" o:connectangles="0,0,0"/>
                <v:fill on="f" focussize="0,0"/>
                <v:stroke weight="2pt" color="#1005F9 [2404]" joinstyle="round"/>
                <v:imagedata o:title=""/>
                <o:lock v:ext="edit" aspectratio="f"/>
              </v:shape>
            </w:pict>
          </mc:Fallback>
        </mc:AlternateContent>
      </w:r>
      <w:r>
        <w:rPr>
          <w:sz w:val="18"/>
        </w:rPr>
        <mc:AlternateContent>
          <mc:Choice Requires="wps">
            <w:drawing>
              <wp:anchor distT="0" distB="0" distL="114300" distR="114300" simplePos="0" relativeHeight="251764736" behindDoc="0" locked="0" layoutInCell="1" allowOverlap="1">
                <wp:simplePos x="0" y="0"/>
                <wp:positionH relativeFrom="column">
                  <wp:posOffset>5711825</wp:posOffset>
                </wp:positionH>
                <wp:positionV relativeFrom="paragraph">
                  <wp:posOffset>1292860</wp:posOffset>
                </wp:positionV>
                <wp:extent cx="26035" cy="2779395"/>
                <wp:effectExtent l="12700" t="0" r="18415" b="1905"/>
                <wp:wrapNone/>
                <wp:docPr id="260" name="任意多边形 260"/>
                <wp:cNvGraphicFramePr/>
                <a:graphic xmlns:a="http://schemas.openxmlformats.org/drawingml/2006/main">
                  <a:graphicData uri="http://schemas.microsoft.com/office/word/2010/wordprocessingShape">
                    <wps:wsp>
                      <wps:cNvSpPr/>
                      <wps:spPr>
                        <a:xfrm>
                          <a:off x="6791960" y="2084705"/>
                          <a:ext cx="26035" cy="2779395"/>
                        </a:xfrm>
                        <a:custGeom>
                          <a:avLst/>
                          <a:gdLst>
                            <a:gd name="connisteX0" fmla="*/ 0 w 26035"/>
                            <a:gd name="connsiteY0" fmla="*/ 2779395 h 2779395"/>
                            <a:gd name="connisteX1" fmla="*/ 26035 w 26035"/>
                            <a:gd name="connsiteY1" fmla="*/ 0 h 2779395"/>
                          </a:gdLst>
                          <a:ahLst/>
                          <a:cxnLst>
                            <a:cxn ang="0">
                              <a:pos x="connisteX0" y="connsiteY0"/>
                            </a:cxn>
                            <a:cxn ang="0">
                              <a:pos x="connisteX1" y="connsiteY1"/>
                            </a:cxn>
                          </a:cxnLst>
                          <a:rect l="l" t="t" r="r" b="b"/>
                          <a:pathLst>
                            <a:path w="26035" h="2779395">
                              <a:moveTo>
                                <a:pt x="0" y="2779395"/>
                              </a:moveTo>
                              <a:lnTo>
                                <a:pt x="26035" y="0"/>
                              </a:lnTo>
                            </a:path>
                          </a:pathLst>
                        </a:custGeom>
                        <a:noFill/>
                        <a:ln w="25400" cap="flat" cmpd="sng" algn="ctr">
                          <a:solidFill>
                            <a:srgbClr val="00B05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49.75pt;margin-top:101.8pt;height:218.85pt;width:2.05pt;z-index:251764736;mso-width-relative:page;mso-height-relative:page;" filled="f" stroked="t" coordsize="26035,2779395" o:gfxdata="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CySIl32AAAAAsBAAAPAAAAAAAAAAEAIAAAACIAAABkcnMvZG93bnJldi54bWxQ&#10;SwECFAAUAAAACACHTuJAuY93saICAADUBQAADgAAAAAAAAABACAAAAAnAQAAZHJzL2Uyb0RvYy54&#10;bWxQSwUGAAAAAAYABgBZAQAAOwYAAAAA&#10;" path="m0,2779395l26035,0e">
                <v:path o:connectlocs="0,2779395;26035,0" o:connectangles="0,0"/>
                <v:fill on="f" focussize="0,0"/>
                <v:stroke weight="2pt" color="#00B050 [2404]" joinstyle="round"/>
                <v:imagedata o:title=""/>
                <o:lock v:ext="edit" aspectratio="f"/>
              </v:shape>
            </w:pict>
          </mc:Fallback>
        </mc:AlternateContent>
      </w:r>
      <w:r>
        <w:rPr>
          <w:sz w:val="18"/>
        </w:rPr>
        <mc:AlternateContent>
          <mc:Choice Requires="wps">
            <w:drawing>
              <wp:anchor distT="0" distB="0" distL="114300" distR="114300" simplePos="0" relativeHeight="251763712" behindDoc="0" locked="0" layoutInCell="1" allowOverlap="1">
                <wp:simplePos x="0" y="0"/>
                <wp:positionH relativeFrom="column">
                  <wp:posOffset>1893570</wp:posOffset>
                </wp:positionH>
                <wp:positionV relativeFrom="paragraph">
                  <wp:posOffset>3032760</wp:posOffset>
                </wp:positionV>
                <wp:extent cx="4805680" cy="17145"/>
                <wp:effectExtent l="0" t="0" r="0" b="0"/>
                <wp:wrapNone/>
                <wp:docPr id="259" name="任意多边形 259"/>
                <wp:cNvGraphicFramePr/>
                <a:graphic xmlns:a="http://schemas.openxmlformats.org/drawingml/2006/main">
                  <a:graphicData uri="http://schemas.microsoft.com/office/word/2010/wordprocessingShape">
                    <wps:wsp>
                      <wps:cNvSpPr/>
                      <wps:spPr>
                        <a:xfrm>
                          <a:off x="2973705" y="3824605"/>
                          <a:ext cx="4805680" cy="17145"/>
                        </a:xfrm>
                        <a:custGeom>
                          <a:avLst/>
                          <a:gdLst>
                            <a:gd name="connisteX0" fmla="*/ 4805680 w 4805680"/>
                            <a:gd name="connsiteY0" fmla="*/ 0 h 17145"/>
                            <a:gd name="connisteX1" fmla="*/ 0 w 4805680"/>
                            <a:gd name="connsiteY1" fmla="*/ 17145 h 17145"/>
                          </a:gdLst>
                          <a:ahLst/>
                          <a:cxnLst>
                            <a:cxn ang="0">
                              <a:pos x="connisteX0" y="connsiteY0"/>
                            </a:cxn>
                            <a:cxn ang="0">
                              <a:pos x="connisteX1" y="connsiteY1"/>
                            </a:cxn>
                          </a:cxnLst>
                          <a:rect l="l" t="t" r="r" b="b"/>
                          <a:pathLst>
                            <a:path w="4805680" h="17145">
                              <a:moveTo>
                                <a:pt x="4805680" y="0"/>
                              </a:moveTo>
                              <a:lnTo>
                                <a:pt x="0" y="17145"/>
                              </a:lnTo>
                            </a:path>
                          </a:pathLst>
                        </a:custGeom>
                        <a:noFill/>
                        <a:ln w="25400" cap="flat" cmpd="sng" algn="ctr">
                          <a:solidFill>
                            <a:srgbClr val="00B05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49.1pt;margin-top:238.8pt;height:1.35pt;width:378.4pt;z-index:251763712;mso-width-relative:page;mso-height-relative:page;" filled="f" stroked="t" coordsize="4805680,17145" o:gfxdata="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Fug6+PaAAAADAEAAA8AAAAAAAAAAQAgAAAAIgAAAGRycy9kb3ducmV2&#10;LnhtbFBLAQIUABQAAAAIAIdO4kBcXXRVpQIAANQFAAAOAAAAAAAAAAEAIAAAACkBAABkcnMvZTJv&#10;RG9jLnhtbFBLBQYAAAAABgAGAFkBAABABgAAAAA=&#10;" path="m4805680,0l0,17145e">
                <v:path o:connectlocs="4805680,0;0,17145" o:connectangles="0,0"/>
                <v:fill on="f" focussize="0,0"/>
                <v:stroke weight="2pt" color="#00B050 [2404]" joinstyle="round"/>
                <v:imagedata o:title=""/>
                <o:lock v:ext="edit" aspectratio="f"/>
              </v:shape>
            </w:pict>
          </mc:Fallback>
        </mc:AlternateContent>
      </w:r>
      <w:r>
        <w:rPr>
          <w:sz w:val="18"/>
        </w:rPr>
        <mc:AlternateContent>
          <mc:Choice Requires="wps">
            <w:drawing>
              <wp:anchor distT="0" distB="0" distL="114300" distR="114300" simplePos="0" relativeHeight="251762688" behindDoc="0" locked="0" layoutInCell="1" allowOverlap="1">
                <wp:simplePos x="0" y="0"/>
                <wp:positionH relativeFrom="column">
                  <wp:posOffset>3729355</wp:posOffset>
                </wp:positionH>
                <wp:positionV relativeFrom="paragraph">
                  <wp:posOffset>1924685</wp:posOffset>
                </wp:positionV>
                <wp:extent cx="34290" cy="2251075"/>
                <wp:effectExtent l="12700" t="635" r="29210" b="15240"/>
                <wp:wrapNone/>
                <wp:docPr id="258" name="任意多边形 258"/>
                <wp:cNvGraphicFramePr/>
                <a:graphic xmlns:a="http://schemas.openxmlformats.org/drawingml/2006/main">
                  <a:graphicData uri="http://schemas.microsoft.com/office/word/2010/wordprocessingShape">
                    <wps:wsp>
                      <wps:cNvSpPr/>
                      <wps:spPr>
                        <a:xfrm>
                          <a:off x="4809490" y="2716530"/>
                          <a:ext cx="34290" cy="2251075"/>
                        </a:xfrm>
                        <a:custGeom>
                          <a:avLst/>
                          <a:gdLst>
                            <a:gd name="connisteX0" fmla="*/ 0 w 34290"/>
                            <a:gd name="connsiteY0" fmla="*/ 0 h 2251075"/>
                            <a:gd name="connisteX1" fmla="*/ 34290 w 34290"/>
                            <a:gd name="connsiteY1" fmla="*/ 1108075 h 2251075"/>
                            <a:gd name="connisteX2" fmla="*/ 8255 w 34290"/>
                            <a:gd name="connsiteY2" fmla="*/ 2025650 h 2251075"/>
                            <a:gd name="connisteX3" fmla="*/ 34290 w 34290"/>
                            <a:gd name="connsiteY3" fmla="*/ 2251075 h 2251075"/>
                          </a:gdLst>
                          <a:ahLst/>
                          <a:cxnLst>
                            <a:cxn ang="0">
                              <a:pos x="connisteX0" y="connsiteY0"/>
                            </a:cxn>
                            <a:cxn ang="0">
                              <a:pos x="connisteX1" y="connsiteY1"/>
                            </a:cxn>
                            <a:cxn ang="0">
                              <a:pos x="connisteX2" y="connsiteY2"/>
                            </a:cxn>
                            <a:cxn ang="0">
                              <a:pos x="connisteX3" y="connsiteY3"/>
                            </a:cxn>
                          </a:cxnLst>
                          <a:rect l="l" t="t" r="r" b="b"/>
                          <a:pathLst>
                            <a:path w="34290" h="2251075">
                              <a:moveTo>
                                <a:pt x="0" y="0"/>
                              </a:moveTo>
                              <a:lnTo>
                                <a:pt x="34290" y="1108075"/>
                              </a:lnTo>
                              <a:lnTo>
                                <a:pt x="8255" y="2025650"/>
                              </a:lnTo>
                              <a:lnTo>
                                <a:pt x="34290" y="2251075"/>
                              </a:lnTo>
                            </a:path>
                          </a:pathLst>
                        </a:custGeom>
                        <a:noFill/>
                        <a:ln w="25400" cap="flat" cmpd="sng" algn="ctr">
                          <a:solidFill>
                            <a:srgbClr val="00B05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93.65pt;margin-top:151.55pt;height:177.25pt;width:2.7pt;z-index:251762688;mso-width-relative:page;mso-height-relative:page;" filled="f" stroked="t" coordsize="34290,2251075" o:gfxdata="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" path="m0,0l34290,1108075,8255,2025650,34290,2251075e">
                <v:path o:connectlocs="0,0;34290,1108075;8255,2025650;34290,2251075" o:connectangles="0,0,0,0"/>
                <v:fill on="f" focussize="0,0"/>
                <v:stroke weight="2pt" color="#00B050 [2404]" joinstyle="round"/>
                <v:imagedata o:title=""/>
                <o:lock v:ext="edit" aspectratio="f"/>
              </v:shape>
            </w:pict>
          </mc:Fallback>
        </mc:AlternateContent>
      </w:r>
      <w:r>
        <w:rPr>
          <w:sz w:val="18"/>
        </w:rPr>
        <mc:AlternateContent>
          <mc:Choice Requires="wps">
            <w:drawing>
              <wp:anchor distT="0" distB="0" distL="114300" distR="114300" simplePos="0" relativeHeight="251760640" behindDoc="0" locked="0" layoutInCell="1" allowOverlap="1">
                <wp:simplePos x="0" y="0"/>
                <wp:positionH relativeFrom="column">
                  <wp:posOffset>5850890</wp:posOffset>
                </wp:positionH>
                <wp:positionV relativeFrom="paragraph">
                  <wp:posOffset>1795145</wp:posOffset>
                </wp:positionV>
                <wp:extent cx="207645" cy="2380615"/>
                <wp:effectExtent l="19050" t="0" r="1905" b="19685"/>
                <wp:wrapNone/>
                <wp:docPr id="256" name="任意多边形 256"/>
                <wp:cNvGraphicFramePr/>
                <a:graphic xmlns:a="http://schemas.openxmlformats.org/drawingml/2006/main">
                  <a:graphicData uri="http://schemas.microsoft.com/office/word/2010/wordprocessingShape">
                    <wps:wsp>
                      <wps:cNvSpPr/>
                      <wps:spPr>
                        <a:xfrm>
                          <a:off x="6931025" y="4154170"/>
                          <a:ext cx="207645" cy="2380615"/>
                        </a:xfrm>
                        <a:custGeom>
                          <a:avLst/>
                          <a:gdLst>
                            <a:gd name="connisteX0" fmla="*/ 0 w 207645"/>
                            <a:gd name="connsiteY0" fmla="*/ 0 h 813435"/>
                            <a:gd name="connisteX1" fmla="*/ 8255 w 207645"/>
                            <a:gd name="connsiteY1" fmla="*/ 813435 h 813435"/>
                            <a:gd name="connisteX2" fmla="*/ 207645 w 207645"/>
                            <a:gd name="connsiteY2" fmla="*/ 813435 h 813435"/>
                          </a:gdLst>
                          <a:ahLst/>
                          <a:cxnLst>
                            <a:cxn ang="0">
                              <a:pos x="connisteX0" y="connsiteY0"/>
                            </a:cxn>
                            <a:cxn ang="0">
                              <a:pos x="connisteX1" y="connsiteY1"/>
                            </a:cxn>
                            <a:cxn ang="0">
                              <a:pos x="connisteX2" y="connsiteY2"/>
                            </a:cxn>
                          </a:cxnLst>
                          <a:rect l="l" t="t" r="r" b="b"/>
                          <a:pathLst>
                            <a:path w="207645" h="813435">
                              <a:moveTo>
                                <a:pt x="0" y="0"/>
                              </a:moveTo>
                              <a:lnTo>
                                <a:pt x="8255" y="813435"/>
                              </a:lnTo>
                              <a:lnTo>
                                <a:pt x="207645" y="813435"/>
                              </a:lnTo>
                            </a:path>
                          </a:pathLst>
                        </a:custGeom>
                        <a:noFill/>
                        <a:ln w="38100" cap="flat" cmpd="sng" algn="ctr">
                          <a:solidFill>
                            <a:srgbClr val="1005F9"/>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60.7pt;margin-top:141.35pt;height:187.45pt;width:16.35pt;z-index:251760640;mso-width-relative:page;mso-height-relative:page;" filled="f" stroked="t" coordsize="207645,813435" o:gfxdata="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MtfX3DYAAAACwEAAA8AAAAAAAAAAQAgAAAAIgAAAGRycy9kb3ducmV2LnhtbFBLAQIUABQAAAAI&#10;AIdO4kBwBVS90QIAAKIGAAAOAAAAAAAAAAEAIAAAACcBAABkcnMvZTJvRG9jLnhtbFBLBQYAAAAA&#10;BgAGAFkBAABqBgAAAAA=&#10;" path="m0,0l8255,813435,207645,813435e">
                <v:path o:connectlocs="0,0;8255,2380615;207645,2380615" o:connectangles="0,0,0"/>
                <v:fill on="f" focussize="0,0"/>
                <v:stroke weight="3pt" color="#1005F9 [2404]" joinstyle="round"/>
                <v:imagedata o:title=""/>
                <o:lock v:ext="edit" aspectratio="f"/>
              </v:shape>
            </w:pict>
          </mc:Fallback>
        </mc:AlternateContent>
      </w:r>
      <w:r>
        <w:rPr>
          <w:sz w:val="18"/>
        </w:rPr>
        <mc:AlternateContent>
          <mc:Choice Requires="wpg">
            <w:drawing>
              <wp:anchor distT="0" distB="0" distL="114300" distR="114300" simplePos="0" relativeHeight="251752448" behindDoc="0" locked="0" layoutInCell="1" allowOverlap="1">
                <wp:simplePos x="0" y="0"/>
                <wp:positionH relativeFrom="column">
                  <wp:posOffset>3788410</wp:posOffset>
                </wp:positionH>
                <wp:positionV relativeFrom="paragraph">
                  <wp:posOffset>2146935</wp:posOffset>
                </wp:positionV>
                <wp:extent cx="751840" cy="353060"/>
                <wp:effectExtent l="4445" t="0" r="0" b="0"/>
                <wp:wrapNone/>
                <wp:docPr id="3" name="组合 20"/>
                <wp:cNvGraphicFramePr/>
                <a:graphic xmlns:a="http://schemas.openxmlformats.org/drawingml/2006/main">
                  <a:graphicData uri="http://schemas.microsoft.com/office/word/2010/wordprocessingGroup">
                    <wpg:wgp>
                      <wpg:cNvGrpSpPr/>
                      <wpg:grpSpPr>
                        <a:xfrm>
                          <a:off x="0" y="0"/>
                          <a:ext cx="751840" cy="353060"/>
                          <a:chOff x="8678" y="1984447"/>
                          <a:chExt cx="1184" cy="556"/>
                        </a:xfrm>
                      </wpg:grpSpPr>
                      <wps:wsp>
                        <wps:cNvPr id="88" name="椭圆 1879"/>
                        <wps:cNvSpPr/>
                        <wps:spPr>
                          <a:xfrm>
                            <a:off x="8678" y="1984667"/>
                            <a:ext cx="180" cy="192"/>
                          </a:xfrm>
                          <a:prstGeom prst="ellipse">
                            <a:avLst/>
                          </a:prstGeom>
                          <a:solidFill>
                            <a:srgbClr val="00B0F0"/>
                          </a:solidFill>
                          <a:ln w="9525" cap="flat" cmpd="sng">
                            <a:solidFill>
                              <a:srgbClr val="000000"/>
                            </a:solidFill>
                            <a:prstDash val="solid"/>
                            <a:headEnd type="none" w="med" len="med"/>
                            <a:tailEnd type="none" w="med" len="med"/>
                          </a:ln>
                        </wps:spPr>
                        <wps:bodyPr upright="1"/>
                      </wps:wsp>
                      <wps:wsp>
                        <wps:cNvPr id="89" name="文本框 1881"/>
                        <wps:cNvSpPr txBox="1"/>
                        <wps:spPr>
                          <a:xfrm>
                            <a:off x="8924" y="1984447"/>
                            <a:ext cx="939" cy="556"/>
                          </a:xfrm>
                          <a:prstGeom prst="rect">
                            <a:avLst/>
                          </a:prstGeom>
                          <a:noFill/>
                          <a:ln>
                            <a:noFill/>
                          </a:ln>
                        </wps:spPr>
                        <wps:txbx>
                          <w:txbxContent>
                            <w:p w14:paraId="20879805">
                              <w:pPr>
                                <w:rPr>
                                  <w:rFonts w:hint="default" w:eastAsia="宋体"/>
                                  <w:b/>
                                  <w:bCs/>
                                  <w:highlight w:val="yellow"/>
                                  <w:lang w:val="en-US" w:eastAsia="zh-CN"/>
                                </w:rPr>
                              </w:pPr>
                              <w:r>
                                <w:rPr>
                                  <w:rFonts w:hint="eastAsia"/>
                                  <w:b/>
                                  <w:bCs/>
                                  <w:highlight w:val="yellow"/>
                                  <w:lang w:val="en-US" w:eastAsia="zh-CN"/>
                                </w:rPr>
                                <w:t>DA001</w:t>
                              </w:r>
                            </w:p>
                          </w:txbxContent>
                        </wps:txbx>
                        <wps:bodyPr upright="1"/>
                      </wps:wsp>
                    </wpg:wgp>
                  </a:graphicData>
                </a:graphic>
              </wp:anchor>
            </w:drawing>
          </mc:Choice>
          <mc:Fallback>
            <w:pict>
              <v:group id="组合 20" o:spid="_x0000_s1026" o:spt="203" style="position:absolute;left:0pt;margin-left:298.3pt;margin-top:169.05pt;height:27.8pt;width:59.2pt;z-index:251752448;mso-width-relative:page;mso-height-relative:page;" coordorigin="8678,1984447" coordsize="1184,556" o:gfxdata="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By&#10;b0+e2wAAAAsBAAAPAAAAAAAAAAEAIAAAACIAAABkcnMvZG93bnJldi54bWxQSwECFAAUAAAACACH&#10;TuJA2sABE8wCAADFBgAADgAAAAAAAAABACAAAAAqAQAAZHJzL2Uyb0RvYy54bWxQSwUGAAAAAAYA&#10;BgBZAQAAaAYAAAAA&#10;">
                <o:lock v:ext="edit" aspectratio="f"/>
                <v:shape id="椭圆 1879" o:spid="_x0000_s1026" o:spt="3" type="#_x0000_t3" style="position:absolute;left:8678;top:1984667;height:192;width:180;" fillcolor="#00B0F0" filled="t" stroked="t" coordsize="21600,21600" o:gfxdata="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AoN3W8AAAA&#10;2wAAAA8AAAAAAAAAAQAgAAAAIgAAAGRycy9kb3ducmV2LnhtbFBLAQIUABQAAAAIAIdO4kAzLwWe&#10;OwAAADkAAAAQAAAAAAAAAAEAIAAAAAsBAABkcnMvc2hhcGV4bWwueG1sUEsFBgAAAAAGAAYAWwEA&#10;ALUDAAAAAA==&#10;">
                  <v:fill on="t" focussize="0,0"/>
                  <v:stroke color="#000000" joinstyle="round"/>
                  <v:imagedata o:title=""/>
                  <o:lock v:ext="edit" aspectratio="f"/>
                </v:shape>
                <v:shape id="文本框 1881" o:spid="_x0000_s1026" o:spt="202" type="#_x0000_t202" style="position:absolute;left:8924;top:1984447;height:556;width:939;" filled="f" stroked="f" coordsize="21600,21600" o:gfxdata="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O67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0879805">
                        <w:pPr>
                          <w:rPr>
                            <w:rFonts w:hint="default" w:eastAsia="宋体"/>
                            <w:b/>
                            <w:bCs/>
                            <w:highlight w:val="yellow"/>
                            <w:lang w:val="en-US" w:eastAsia="zh-CN"/>
                          </w:rPr>
                        </w:pPr>
                        <w:r>
                          <w:rPr>
                            <w:rFonts w:hint="eastAsia"/>
                            <w:b/>
                            <w:bCs/>
                            <w:highlight w:val="yellow"/>
                            <w:lang w:val="en-US" w:eastAsia="zh-CN"/>
                          </w:rPr>
                          <w:t>DA001</w:t>
                        </w:r>
                      </w:p>
                    </w:txbxContent>
                  </v:textbox>
                </v:shape>
              </v:group>
            </w:pict>
          </mc:Fallback>
        </mc:AlternateContent>
      </w:r>
      <w:r>
        <w:rPr>
          <w:sz w:val="18"/>
        </w:rPr>
        <mc:AlternateContent>
          <mc:Choice Requires="wpg">
            <w:drawing>
              <wp:anchor distT="0" distB="0" distL="114300" distR="114300" simplePos="0" relativeHeight="251751424" behindDoc="0" locked="0" layoutInCell="1" allowOverlap="1">
                <wp:simplePos x="0" y="0"/>
                <wp:positionH relativeFrom="column">
                  <wp:posOffset>3788410</wp:posOffset>
                </wp:positionH>
                <wp:positionV relativeFrom="paragraph">
                  <wp:posOffset>2650490</wp:posOffset>
                </wp:positionV>
                <wp:extent cx="751840" cy="353060"/>
                <wp:effectExtent l="4445" t="0" r="0" b="0"/>
                <wp:wrapNone/>
                <wp:docPr id="4" name="组合 12"/>
                <wp:cNvGraphicFramePr/>
                <a:graphic xmlns:a="http://schemas.openxmlformats.org/drawingml/2006/main">
                  <a:graphicData uri="http://schemas.microsoft.com/office/word/2010/wordprocessingGroup">
                    <wpg:wgp>
                      <wpg:cNvGrpSpPr/>
                      <wpg:grpSpPr>
                        <a:xfrm>
                          <a:off x="0" y="0"/>
                          <a:ext cx="751840" cy="353060"/>
                          <a:chOff x="8678" y="1984447"/>
                          <a:chExt cx="1184" cy="556"/>
                        </a:xfrm>
                      </wpg:grpSpPr>
                      <wps:wsp>
                        <wps:cNvPr id="85" name="椭圆 1879"/>
                        <wps:cNvSpPr/>
                        <wps:spPr>
                          <a:xfrm>
                            <a:off x="8678" y="1984667"/>
                            <a:ext cx="180" cy="192"/>
                          </a:xfrm>
                          <a:prstGeom prst="ellipse">
                            <a:avLst/>
                          </a:prstGeom>
                          <a:solidFill>
                            <a:srgbClr val="00B0F0"/>
                          </a:solidFill>
                          <a:ln w="9525" cap="flat" cmpd="sng">
                            <a:solidFill>
                              <a:srgbClr val="000000"/>
                            </a:solidFill>
                            <a:prstDash val="solid"/>
                            <a:headEnd type="none" w="med" len="med"/>
                            <a:tailEnd type="none" w="med" len="med"/>
                          </a:ln>
                        </wps:spPr>
                        <wps:bodyPr upright="1"/>
                      </wps:wsp>
                      <wps:wsp>
                        <wps:cNvPr id="86" name="文本框 1881"/>
                        <wps:cNvSpPr txBox="1"/>
                        <wps:spPr>
                          <a:xfrm>
                            <a:off x="8924" y="1984447"/>
                            <a:ext cx="939" cy="556"/>
                          </a:xfrm>
                          <a:prstGeom prst="rect">
                            <a:avLst/>
                          </a:prstGeom>
                          <a:noFill/>
                          <a:ln>
                            <a:noFill/>
                          </a:ln>
                        </wps:spPr>
                        <wps:txbx>
                          <w:txbxContent>
                            <w:p w14:paraId="01FAB9B3">
                              <w:pPr>
                                <w:rPr>
                                  <w:rFonts w:hint="default" w:eastAsia="宋体"/>
                                  <w:b/>
                                  <w:bCs/>
                                  <w:highlight w:val="yellow"/>
                                  <w:lang w:val="en-US" w:eastAsia="zh-CN"/>
                                </w:rPr>
                              </w:pPr>
                              <w:r>
                                <w:rPr>
                                  <w:rFonts w:hint="eastAsia"/>
                                  <w:b/>
                                  <w:bCs/>
                                  <w:highlight w:val="yellow"/>
                                  <w:lang w:val="en-US" w:eastAsia="zh-CN"/>
                                </w:rPr>
                                <w:t>DA002</w:t>
                              </w:r>
                            </w:p>
                          </w:txbxContent>
                        </wps:txbx>
                        <wps:bodyPr upright="1"/>
                      </wps:wsp>
                    </wpg:wgp>
                  </a:graphicData>
                </a:graphic>
              </wp:anchor>
            </w:drawing>
          </mc:Choice>
          <mc:Fallback>
            <w:pict>
              <v:group id="组合 12" o:spid="_x0000_s1026" o:spt="203" style="position:absolute;left:0pt;margin-left:298.3pt;margin-top:208.7pt;height:27.8pt;width:59.2pt;z-index:251751424;mso-width-relative:page;mso-height-relative:page;" coordorigin="8678,1984447" coordsize="1184,556" o:gfxdata="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DW&#10;dNJK2wAAAAsBAAAPAAAAAAAAAAEAIAAAACIAAABkcnMvZG93bnJldi54bWxQSwECFAAUAAAACACH&#10;TuJACxQI6MwCAADFBgAADgAAAAAAAAABACAAAAAqAQAAZHJzL2Uyb0RvYy54bWxQSwUGAAAAAAYA&#10;BgBZAQAAaAYAAAAA&#10;">
                <o:lock v:ext="edit" aspectratio="f"/>
                <v:shape id="椭圆 1879" o:spid="_x0000_s1026" o:spt="3" type="#_x0000_t3" style="position:absolute;left:8678;top:1984667;height:192;width:180;" fillcolor="#00B0F0" filled="t" stroked="t" coordsize="21600,21600" o:gfxdata="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4pmOu/&#10;AAAA2wAAAA8AAAAAAAAAAQAgAAAAIgAAAGRycy9kb3ducmV2LnhtbFBLAQIUABQAAAAIAIdO4kAz&#10;LwWeOwAAADkAAAAQAAAAAAAAAAEAIAAAAA4BAABkcnMvc2hhcGV4bWwueG1sUEsFBgAAAAAGAAYA&#10;WwEAALgDAAAAAA==&#10;">
                  <v:fill on="t" focussize="0,0"/>
                  <v:stroke color="#000000" joinstyle="round"/>
                  <v:imagedata o:title=""/>
                  <o:lock v:ext="edit" aspectratio="f"/>
                </v:shape>
                <v:shape id="文本框 1881" o:spid="_x0000_s1026" o:spt="202" type="#_x0000_t202" style="position:absolute;left:8924;top:1984447;height:556;width:939;" filled="f" stroked="f" coordsize="21600,21600" o:gfxdata="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HC6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01FAB9B3">
                        <w:pPr>
                          <w:rPr>
                            <w:rFonts w:hint="default" w:eastAsia="宋体"/>
                            <w:b/>
                            <w:bCs/>
                            <w:highlight w:val="yellow"/>
                            <w:lang w:val="en-US" w:eastAsia="zh-CN"/>
                          </w:rPr>
                        </w:pPr>
                        <w:r>
                          <w:rPr>
                            <w:rFonts w:hint="eastAsia"/>
                            <w:b/>
                            <w:bCs/>
                            <w:highlight w:val="yellow"/>
                            <w:lang w:val="en-US" w:eastAsia="zh-CN"/>
                          </w:rPr>
                          <w:t>DA002</w:t>
                        </w:r>
                      </w:p>
                    </w:txbxContent>
                  </v:textbox>
                </v:shape>
              </v:group>
            </w:pict>
          </mc:Fallback>
        </mc:AlternateContent>
      </w:r>
      <w:r>
        <w:rPr>
          <w:sz w:val="21"/>
        </w:rPr>
        <mc:AlternateContent>
          <mc:Choice Requires="wpg">
            <w:drawing>
              <wp:anchor distT="0" distB="0" distL="114300" distR="114300" simplePos="0" relativeHeight="251750400" behindDoc="0" locked="0" layoutInCell="1" allowOverlap="1">
                <wp:simplePos x="0" y="0"/>
                <wp:positionH relativeFrom="column">
                  <wp:posOffset>4274820</wp:posOffset>
                </wp:positionH>
                <wp:positionV relativeFrom="paragraph">
                  <wp:posOffset>2148840</wp:posOffset>
                </wp:positionV>
                <wp:extent cx="974090" cy="464820"/>
                <wp:effectExtent l="0" t="0" r="16510" b="11430"/>
                <wp:wrapNone/>
                <wp:docPr id="5" name="组合 10"/>
                <wp:cNvGraphicFramePr/>
                <a:graphic xmlns:a="http://schemas.openxmlformats.org/drawingml/2006/main">
                  <a:graphicData uri="http://schemas.microsoft.com/office/word/2010/wordprocessingGroup">
                    <wpg:wgp>
                      <wpg:cNvGrpSpPr/>
                      <wpg:grpSpPr>
                        <a:xfrm>
                          <a:off x="0" y="0"/>
                          <a:ext cx="974090" cy="464820"/>
                          <a:chOff x="9034" y="1983295"/>
                          <a:chExt cx="1534" cy="744"/>
                        </a:xfrm>
                      </wpg:grpSpPr>
                      <wps:wsp>
                        <wps:cNvPr id="82" name="文本框 7"/>
                        <wps:cNvSpPr txBox="1"/>
                        <wps:spPr>
                          <a:xfrm>
                            <a:off x="9054" y="1983295"/>
                            <a:ext cx="1514" cy="709"/>
                          </a:xfrm>
                          <a:prstGeom prst="rect">
                            <a:avLst/>
                          </a:prstGeom>
                          <a:solidFill>
                            <a:srgbClr val="FFFFFF"/>
                          </a:solidFill>
                          <a:ln w="9525">
                            <a:noFill/>
                          </a:ln>
                        </wps:spPr>
                        <wps:txbx>
                          <w:txbxContent>
                            <w:p w14:paraId="4CA49501">
                              <w:pPr>
                                <w:keepNext w:val="0"/>
                                <w:keepLines w:val="0"/>
                                <w:pageBreakBefore w:val="0"/>
                                <w:widowControl w:val="0"/>
                                <w:kinsoku/>
                                <w:wordWrap/>
                                <w:overflowPunct/>
                                <w:topLinePunct w:val="0"/>
                                <w:bidi w:val="0"/>
                                <w:snapToGrid/>
                                <w:spacing w:line="240" w:lineRule="atLeast"/>
                                <w:textAlignment w:val="auto"/>
                                <w:rPr>
                                  <w:rFonts w:hint="default"/>
                                  <w:b/>
                                  <w:bCs/>
                                  <w:color w:val="C00000"/>
                                  <w:sz w:val="15"/>
                                  <w:szCs w:val="15"/>
                                  <w:lang w:val="en-US" w:eastAsia="zh-CN"/>
                                </w:rPr>
                              </w:pPr>
                              <w:r>
                                <w:rPr>
                                  <w:rFonts w:hint="eastAsia" w:ascii="Times New Roman" w:eastAsia="宋体"/>
                                  <w:b/>
                                  <w:bCs/>
                                  <w:color w:val="C00000"/>
                                  <w:sz w:val="15"/>
                                  <w:szCs w:val="15"/>
                                  <w:lang w:val="en-US" w:eastAsia="zh-CN"/>
                                </w:rPr>
                                <w:t>四号车间</w:t>
                              </w:r>
                            </w:p>
                          </w:txbxContent>
                        </wps:txbx>
                        <wps:bodyPr vert="horz" anchor="t" anchorCtr="0" upright="1"/>
                      </wps:wsp>
                      <wps:wsp>
                        <wps:cNvPr id="83" name="文本框 9"/>
                        <wps:cNvSpPr txBox="1"/>
                        <wps:spPr>
                          <a:xfrm>
                            <a:off x="9034" y="1983561"/>
                            <a:ext cx="1514" cy="478"/>
                          </a:xfrm>
                          <a:prstGeom prst="rect">
                            <a:avLst/>
                          </a:prstGeom>
                          <a:noFill/>
                          <a:ln w="9525">
                            <a:noFill/>
                          </a:ln>
                        </wps:spPr>
                        <wps:txbx>
                          <w:txbxContent>
                            <w:p w14:paraId="4FE95A7B">
                              <w:pPr>
                                <w:keepNext w:val="0"/>
                                <w:keepLines w:val="0"/>
                                <w:pageBreakBefore w:val="0"/>
                                <w:widowControl w:val="0"/>
                                <w:kinsoku/>
                                <w:wordWrap/>
                                <w:overflowPunct/>
                                <w:topLinePunct w:val="0"/>
                                <w:autoSpaceDE w:val="0"/>
                                <w:autoSpaceDN w:val="0"/>
                                <w:bidi w:val="0"/>
                                <w:adjustRightInd w:val="0"/>
                                <w:snapToGrid/>
                                <w:spacing w:line="240" w:lineRule="atLeast"/>
                                <w:jc w:val="both"/>
                                <w:textAlignment w:val="auto"/>
                                <w:rPr>
                                  <w:rFonts w:hint="default" w:ascii="宋体....." w:hAnsi="Times New Roman" w:eastAsia="宋体....." w:cs="宋体....."/>
                                  <w:b/>
                                  <w:bCs/>
                                  <w:color w:val="C00000"/>
                                  <w:kern w:val="2"/>
                                  <w:sz w:val="15"/>
                                  <w:szCs w:val="15"/>
                                  <w:lang w:val="en-US" w:eastAsia="zh-CN" w:bidi="ar-SA"/>
                                </w:rPr>
                              </w:pPr>
                              <w:r>
                                <w:rPr>
                                  <w:rFonts w:hint="eastAsia" w:ascii="宋体....." w:hAnsi="Times New Roman" w:eastAsia="宋体....." w:cs="宋体....."/>
                                  <w:b/>
                                  <w:bCs/>
                                  <w:color w:val="C00000"/>
                                  <w:kern w:val="2"/>
                                  <w:sz w:val="15"/>
                                  <w:szCs w:val="15"/>
                                  <w:lang w:val="en-US" w:eastAsia="zh-CN" w:bidi="ar-SA"/>
                                </w:rPr>
                                <w:t>漆粉涂装车间</w:t>
                              </w:r>
                            </w:p>
                          </w:txbxContent>
                        </wps:txbx>
                        <wps:bodyPr vert="horz" anchor="t" anchorCtr="0" upright="1"/>
                      </wps:wsp>
                    </wpg:wgp>
                  </a:graphicData>
                </a:graphic>
              </wp:anchor>
            </w:drawing>
          </mc:Choice>
          <mc:Fallback>
            <w:pict>
              <v:group id="组合 10" o:spid="_x0000_s1026" o:spt="203" style="position:absolute;left:0pt;margin-left:336.6pt;margin-top:169.2pt;height:36.6pt;width:76.7pt;z-index:251750400;mso-width-relative:page;mso-height-relative:page;" coordorigin="9034,1983295" coordsize="1534,744" o:gfxdata="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BVGDlTbAAAACwEAAA8AAAAAAAAAAQAgAAAAIgAA&#10;AGRycy9kb3ducmV2LnhtbFBLAQIUABQAAAAIAIdO4kCM115KdwIAAH0GAAAOAAAAAAAAAAEAIAAA&#10;ACoBAABkcnMvZTJvRG9jLnhtbFBLBQYAAAAABgAGAFkBAAATBgAAAAA=&#10;">
                <o:lock v:ext="edit" aspectratio="f"/>
                <v:shape id="文本框 7" o:spid="_x0000_s1026" o:spt="202" type="#_x0000_t202" style="position:absolute;left:9054;top:1983295;height:709;width:1514;" fillcolor="#FFFFFF" filled="t" stroked="f" coordsize="21600,21600" o:gfxdata="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cYGGb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4CA49501">
                        <w:pPr>
                          <w:keepNext w:val="0"/>
                          <w:keepLines w:val="0"/>
                          <w:pageBreakBefore w:val="0"/>
                          <w:widowControl w:val="0"/>
                          <w:kinsoku/>
                          <w:wordWrap/>
                          <w:overflowPunct/>
                          <w:topLinePunct w:val="0"/>
                          <w:bidi w:val="0"/>
                          <w:snapToGrid/>
                          <w:spacing w:line="240" w:lineRule="atLeast"/>
                          <w:textAlignment w:val="auto"/>
                          <w:rPr>
                            <w:rFonts w:hint="default"/>
                            <w:b/>
                            <w:bCs/>
                            <w:color w:val="C00000"/>
                            <w:sz w:val="15"/>
                            <w:szCs w:val="15"/>
                            <w:lang w:val="en-US" w:eastAsia="zh-CN"/>
                          </w:rPr>
                        </w:pPr>
                        <w:r>
                          <w:rPr>
                            <w:rFonts w:hint="eastAsia" w:ascii="Times New Roman" w:eastAsia="宋体"/>
                            <w:b/>
                            <w:bCs/>
                            <w:color w:val="C00000"/>
                            <w:sz w:val="15"/>
                            <w:szCs w:val="15"/>
                            <w:lang w:val="en-US" w:eastAsia="zh-CN"/>
                          </w:rPr>
                          <w:t>四号车间</w:t>
                        </w:r>
                      </w:p>
                    </w:txbxContent>
                  </v:textbox>
                </v:shape>
                <v:shape id="文本框 9" o:spid="_x0000_s1026" o:spt="202" type="#_x0000_t202" style="position:absolute;left:9034;top:1983561;height:478;width:1514;" filled="f" stroked="f" coordsize="21600,21600" o:gfxdata="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trjQa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4FE95A7B">
                        <w:pPr>
                          <w:keepNext w:val="0"/>
                          <w:keepLines w:val="0"/>
                          <w:pageBreakBefore w:val="0"/>
                          <w:widowControl w:val="0"/>
                          <w:kinsoku/>
                          <w:wordWrap/>
                          <w:overflowPunct/>
                          <w:topLinePunct w:val="0"/>
                          <w:autoSpaceDE w:val="0"/>
                          <w:autoSpaceDN w:val="0"/>
                          <w:bidi w:val="0"/>
                          <w:adjustRightInd w:val="0"/>
                          <w:snapToGrid/>
                          <w:spacing w:line="240" w:lineRule="atLeast"/>
                          <w:jc w:val="both"/>
                          <w:textAlignment w:val="auto"/>
                          <w:rPr>
                            <w:rFonts w:hint="default" w:ascii="宋体....." w:hAnsi="Times New Roman" w:eastAsia="宋体....." w:cs="宋体....."/>
                            <w:b/>
                            <w:bCs/>
                            <w:color w:val="C00000"/>
                            <w:kern w:val="2"/>
                            <w:sz w:val="15"/>
                            <w:szCs w:val="15"/>
                            <w:lang w:val="en-US" w:eastAsia="zh-CN" w:bidi="ar-SA"/>
                          </w:rPr>
                        </w:pPr>
                        <w:r>
                          <w:rPr>
                            <w:rFonts w:hint="eastAsia" w:ascii="宋体....." w:hAnsi="Times New Roman" w:eastAsia="宋体....." w:cs="宋体....."/>
                            <w:b/>
                            <w:bCs/>
                            <w:color w:val="C00000"/>
                            <w:kern w:val="2"/>
                            <w:sz w:val="15"/>
                            <w:szCs w:val="15"/>
                            <w:lang w:val="en-US" w:eastAsia="zh-CN" w:bidi="ar-SA"/>
                          </w:rPr>
                          <w:t>漆粉涂装车间</w:t>
                        </w:r>
                      </w:p>
                    </w:txbxContent>
                  </v:textbox>
                </v:shape>
              </v:group>
            </w:pict>
          </mc:Fallback>
        </mc:AlternateContent>
      </w:r>
      <w:r>
        <w:rPr>
          <w:color w:val="auto"/>
          <w:sz w:val="21"/>
          <w:highlight w:val="none"/>
        </w:rPr>
        <mc:AlternateContent>
          <mc:Choice Requires="wps">
            <w:drawing>
              <wp:anchor distT="0" distB="0" distL="114300" distR="114300" simplePos="0" relativeHeight="251749376" behindDoc="0" locked="0" layoutInCell="1" allowOverlap="1">
                <wp:simplePos x="0" y="0"/>
                <wp:positionH relativeFrom="column">
                  <wp:posOffset>2929255</wp:posOffset>
                </wp:positionH>
                <wp:positionV relativeFrom="paragraph">
                  <wp:posOffset>3103245</wp:posOffset>
                </wp:positionV>
                <wp:extent cx="1087755" cy="316230"/>
                <wp:effectExtent l="0" t="0" r="0" b="0"/>
                <wp:wrapNone/>
                <wp:docPr id="81" name="文本框 176"/>
                <wp:cNvGraphicFramePr/>
                <a:graphic xmlns:a="http://schemas.openxmlformats.org/drawingml/2006/main">
                  <a:graphicData uri="http://schemas.microsoft.com/office/word/2010/wordprocessingShape">
                    <wps:wsp>
                      <wps:cNvSpPr txBox="1"/>
                      <wps:spPr>
                        <a:xfrm>
                          <a:off x="0" y="0"/>
                          <a:ext cx="1087755" cy="316230"/>
                        </a:xfrm>
                        <a:prstGeom prst="rect">
                          <a:avLst/>
                        </a:prstGeom>
                        <a:noFill/>
                        <a:ln w="12700">
                          <a:noFill/>
                        </a:ln>
                      </wps:spPr>
                      <wps:txbx>
                        <w:txbxContent>
                          <w:p w14:paraId="62C3292C">
                            <w:pPr>
                              <w:rPr>
                                <w:rFonts w:hint="default" w:ascii="Times New Roman" w:hAnsi="Times New Roman" w:eastAsia="宋体" w:cs="Times New Roman"/>
                                <w:b/>
                                <w:bCs/>
                                <w:color w:val="FF0000"/>
                                <w:sz w:val="11"/>
                                <w:szCs w:val="11"/>
                                <w:highlight w:val="lightGray"/>
                                <w:lang w:val="en-US" w:eastAsia="zh-CN"/>
                              </w:rPr>
                            </w:pPr>
                            <w:r>
                              <w:rPr>
                                <w:rFonts w:hint="eastAsia" w:ascii="Times New Roman" w:hAnsi="Times New Roman" w:eastAsia="宋体" w:cs="Times New Roman"/>
                                <w:b/>
                                <w:bCs/>
                                <w:color w:val="FF0000"/>
                                <w:sz w:val="11"/>
                                <w:szCs w:val="11"/>
                                <w:highlight w:val="none"/>
                                <w:lang w:val="en-US" w:eastAsia="zh-CN"/>
                              </w:rPr>
                              <w:t>（开料、冲压车间）</w:t>
                            </w:r>
                          </w:p>
                        </w:txbxContent>
                      </wps:txbx>
                      <wps:bodyPr vert="horz" wrap="square" anchor="t" anchorCtr="0" upright="0"/>
                    </wps:wsp>
                  </a:graphicData>
                </a:graphic>
              </wp:anchor>
            </w:drawing>
          </mc:Choice>
          <mc:Fallback>
            <w:pict>
              <v:shape id="文本框 176" o:spid="_x0000_s1026" o:spt="202" type="#_x0000_t202" style="position:absolute;left:0pt;margin-left:230.65pt;margin-top:244.35pt;height:24.9pt;width:85.65pt;z-index:251749376;mso-width-relative:page;mso-height-relative:page;" filled="f" stroked="f" coordsize="21600,21600" o:gfxdata="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U5Jsw2gAAAAsBAAAPAAAAAAAA&#10;AAEAIAAAACIAAABkcnMvZG93bnJldi54bWxQSwECFAAUAAAACACHTuJAVOrfkNcBAACOAwAADgAA&#10;AAAAAAABACAAAAApAQAAZHJzL2Uyb0RvYy54bWxQSwUGAAAAAAYABgBZAQAAcgUAAAAA&#10;">
                <v:fill on="f" focussize="0,0"/>
                <v:stroke on="f" weight="1pt"/>
                <v:imagedata o:title=""/>
                <o:lock v:ext="edit" aspectratio="f"/>
                <v:textbox>
                  <w:txbxContent>
                    <w:p w14:paraId="62C3292C">
                      <w:pPr>
                        <w:rPr>
                          <w:rFonts w:hint="default" w:ascii="Times New Roman" w:hAnsi="Times New Roman" w:eastAsia="宋体" w:cs="Times New Roman"/>
                          <w:b/>
                          <w:bCs/>
                          <w:color w:val="FF0000"/>
                          <w:sz w:val="11"/>
                          <w:szCs w:val="11"/>
                          <w:highlight w:val="lightGray"/>
                          <w:lang w:val="en-US" w:eastAsia="zh-CN"/>
                        </w:rPr>
                      </w:pPr>
                      <w:r>
                        <w:rPr>
                          <w:rFonts w:hint="eastAsia" w:ascii="Times New Roman" w:hAnsi="Times New Roman" w:eastAsia="宋体" w:cs="Times New Roman"/>
                          <w:b/>
                          <w:bCs/>
                          <w:color w:val="FF0000"/>
                          <w:sz w:val="11"/>
                          <w:szCs w:val="11"/>
                          <w:highlight w:val="none"/>
                          <w:lang w:val="en-US" w:eastAsia="zh-CN"/>
                        </w:rPr>
                        <w:t>（开料、冲压车间）</w:t>
                      </w:r>
                    </w:p>
                  </w:txbxContent>
                </v:textbox>
              </v:shape>
            </w:pict>
          </mc:Fallback>
        </mc:AlternateContent>
      </w:r>
      <w:r>
        <w:rPr>
          <w:color w:val="auto"/>
          <w:sz w:val="21"/>
          <w:highlight w:val="none"/>
        </w:rPr>
        <mc:AlternateContent>
          <mc:Choice Requires="wps">
            <w:drawing>
              <wp:anchor distT="0" distB="0" distL="114300" distR="114300" simplePos="0" relativeHeight="251735040" behindDoc="0" locked="0" layoutInCell="1" allowOverlap="1">
                <wp:simplePos x="0" y="0"/>
                <wp:positionH relativeFrom="column">
                  <wp:posOffset>4454525</wp:posOffset>
                </wp:positionH>
                <wp:positionV relativeFrom="paragraph">
                  <wp:posOffset>1600835</wp:posOffset>
                </wp:positionV>
                <wp:extent cx="1688465" cy="316230"/>
                <wp:effectExtent l="0" t="0" r="0" b="0"/>
                <wp:wrapNone/>
                <wp:docPr id="67" name="文本框 149"/>
                <wp:cNvGraphicFramePr/>
                <a:graphic xmlns:a="http://schemas.openxmlformats.org/drawingml/2006/main">
                  <a:graphicData uri="http://schemas.microsoft.com/office/word/2010/wordprocessingShape">
                    <wps:wsp>
                      <wps:cNvSpPr txBox="1"/>
                      <wps:spPr>
                        <a:xfrm>
                          <a:off x="0" y="0"/>
                          <a:ext cx="1688465" cy="316230"/>
                        </a:xfrm>
                        <a:prstGeom prst="rect">
                          <a:avLst/>
                        </a:prstGeom>
                        <a:noFill/>
                        <a:ln w="12700">
                          <a:noFill/>
                        </a:ln>
                      </wps:spPr>
                      <wps:txbx>
                        <w:txbxContent>
                          <w:p w14:paraId="63B04C96">
                            <w:pPr>
                              <w:rPr>
                                <w:rFonts w:hint="default" w:ascii="Times New Roman" w:hAnsi="Times New Roman" w:eastAsia="宋体" w:cs="Times New Roman"/>
                                <w:b/>
                                <w:bCs/>
                                <w:color w:val="FF0000"/>
                                <w:sz w:val="15"/>
                                <w:szCs w:val="15"/>
                                <w:lang w:val="en-US" w:eastAsia="zh-CN"/>
                              </w:rPr>
                            </w:pPr>
                            <w:r>
                              <w:rPr>
                                <w:rFonts w:hint="eastAsia" w:ascii="Times New Roman" w:eastAsia="宋体"/>
                                <w:b/>
                                <w:bCs/>
                                <w:color w:val="FF0000"/>
                                <w:sz w:val="15"/>
                                <w:szCs w:val="15"/>
                                <w:lang w:val="en-US" w:eastAsia="zh-CN"/>
                              </w:rPr>
                              <w:t>五号车间</w:t>
                            </w:r>
                            <w:r>
                              <w:rPr>
                                <w:rFonts w:hint="default" w:ascii="Times New Roman" w:hAnsi="Times New Roman" w:eastAsia="宋体" w:cs="Times New Roman"/>
                                <w:b/>
                                <w:bCs/>
                                <w:color w:val="FF0000"/>
                                <w:sz w:val="15"/>
                                <w:szCs w:val="15"/>
                                <w:lang w:val="en-US" w:eastAsia="zh-CN"/>
                              </w:rPr>
                              <w:t>表面预处理车</w:t>
                            </w:r>
                            <w:r>
                              <w:rPr>
                                <w:rFonts w:hint="eastAsia" w:ascii="Times New Roman" w:hAnsi="Times New Roman" w:eastAsia="宋体" w:cs="Times New Roman"/>
                                <w:b/>
                                <w:bCs/>
                                <w:color w:val="FF0000"/>
                                <w:sz w:val="15"/>
                                <w:szCs w:val="15"/>
                                <w:lang w:val="en-US" w:eastAsia="zh-CN"/>
                              </w:rPr>
                              <w:t>间</w:t>
                            </w:r>
                          </w:p>
                        </w:txbxContent>
                      </wps:txbx>
                      <wps:bodyPr vert="horz" wrap="square" anchor="t" anchorCtr="0" upright="0"/>
                    </wps:wsp>
                  </a:graphicData>
                </a:graphic>
              </wp:anchor>
            </w:drawing>
          </mc:Choice>
          <mc:Fallback>
            <w:pict>
              <v:shape id="文本框 149" o:spid="_x0000_s1026" o:spt="202" type="#_x0000_t202" style="position:absolute;left:0pt;margin-left:350.75pt;margin-top:126.05pt;height:24.9pt;width:132.95pt;z-index:251735040;mso-width-relative:page;mso-height-relative:page;" filled="f" stroked="f" coordsize="21600,21600" o:gfxdata="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Lx0suNoAAAALAQAADwAAAAAA&#10;AAABACAAAAAiAAAAZHJzL2Rvd25yZXYueG1sUEsBAhQAFAAAAAgAh07iQOzTFRzYAQAAjgMAAA4A&#10;AAAAAAAAAQAgAAAAKQEAAGRycy9lMm9Eb2MueG1sUEsFBgAAAAAGAAYAWQEAAHMFAAAAAA==&#10;">
                <v:fill on="f" focussize="0,0"/>
                <v:stroke on="f" weight="1pt"/>
                <v:imagedata o:title=""/>
                <o:lock v:ext="edit" aspectratio="f"/>
                <v:textbox>
                  <w:txbxContent>
                    <w:p w14:paraId="63B04C96">
                      <w:pPr>
                        <w:rPr>
                          <w:rFonts w:hint="default" w:ascii="Times New Roman" w:hAnsi="Times New Roman" w:eastAsia="宋体" w:cs="Times New Roman"/>
                          <w:b/>
                          <w:bCs/>
                          <w:color w:val="FF0000"/>
                          <w:sz w:val="15"/>
                          <w:szCs w:val="15"/>
                          <w:lang w:val="en-US" w:eastAsia="zh-CN"/>
                        </w:rPr>
                      </w:pPr>
                      <w:r>
                        <w:rPr>
                          <w:rFonts w:hint="eastAsia" w:ascii="Times New Roman" w:eastAsia="宋体"/>
                          <w:b/>
                          <w:bCs/>
                          <w:color w:val="FF0000"/>
                          <w:sz w:val="15"/>
                          <w:szCs w:val="15"/>
                          <w:lang w:val="en-US" w:eastAsia="zh-CN"/>
                        </w:rPr>
                        <w:t>五号车间</w:t>
                      </w:r>
                      <w:r>
                        <w:rPr>
                          <w:rFonts w:hint="default" w:ascii="Times New Roman" w:hAnsi="Times New Roman" w:eastAsia="宋体" w:cs="Times New Roman"/>
                          <w:b/>
                          <w:bCs/>
                          <w:color w:val="FF0000"/>
                          <w:sz w:val="15"/>
                          <w:szCs w:val="15"/>
                          <w:lang w:val="en-US" w:eastAsia="zh-CN"/>
                        </w:rPr>
                        <w:t>表面预处理车</w:t>
                      </w:r>
                      <w:r>
                        <w:rPr>
                          <w:rFonts w:hint="eastAsia" w:ascii="Times New Roman" w:hAnsi="Times New Roman" w:eastAsia="宋体" w:cs="Times New Roman"/>
                          <w:b/>
                          <w:bCs/>
                          <w:color w:val="FF0000"/>
                          <w:sz w:val="15"/>
                          <w:szCs w:val="15"/>
                          <w:lang w:val="en-US" w:eastAsia="zh-CN"/>
                        </w:rPr>
                        <w:t>间</w:t>
                      </w:r>
                    </w:p>
                  </w:txbxContent>
                </v:textbox>
              </v:shape>
            </w:pict>
          </mc:Fallback>
        </mc:AlternateContent>
      </w:r>
      <w:r>
        <w:rPr>
          <w:color w:val="auto"/>
          <w:sz w:val="18"/>
          <w:highlight w:val="none"/>
        </w:rPr>
        <mc:AlternateContent>
          <mc:Choice Requires="wps">
            <w:drawing>
              <wp:anchor distT="0" distB="0" distL="114300" distR="114300" simplePos="0" relativeHeight="251707392" behindDoc="0" locked="0" layoutInCell="1" allowOverlap="1">
                <wp:simplePos x="0" y="0"/>
                <wp:positionH relativeFrom="column">
                  <wp:posOffset>4060190</wp:posOffset>
                </wp:positionH>
                <wp:positionV relativeFrom="paragraph">
                  <wp:posOffset>4524375</wp:posOffset>
                </wp:positionV>
                <wp:extent cx="920115" cy="345440"/>
                <wp:effectExtent l="4445" t="4445" r="8890" b="12065"/>
                <wp:wrapNone/>
                <wp:docPr id="53" name="文本框 1862"/>
                <wp:cNvGraphicFramePr/>
                <a:graphic xmlns:a="http://schemas.openxmlformats.org/drawingml/2006/main">
                  <a:graphicData uri="http://schemas.microsoft.com/office/word/2010/wordprocessingShape">
                    <wps:wsp>
                      <wps:cNvSpPr txBox="1"/>
                      <wps:spPr>
                        <a:xfrm>
                          <a:off x="0" y="0"/>
                          <a:ext cx="920115" cy="3454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D3143E">
                            <w:pPr>
                              <w:rPr>
                                <w:rFonts w:hint="default" w:eastAsia="宋体"/>
                                <w:b/>
                                <w:bCs/>
                                <w:highlight w:val="yellow"/>
                                <w:lang w:val="en-US" w:eastAsia="zh-CN"/>
                              </w:rPr>
                            </w:pPr>
                            <w:r>
                              <w:rPr>
                                <w:rFonts w:hint="eastAsia" w:eastAsia="宋体"/>
                                <w:b/>
                                <w:bCs/>
                                <w:highlight w:val="yellow"/>
                                <w:lang w:val="en-US" w:eastAsia="zh-CN"/>
                              </w:rPr>
                              <w:t>接市政管网</w:t>
                            </w:r>
                          </w:p>
                        </w:txbxContent>
                      </wps:txbx>
                      <wps:bodyPr vert="horz" wrap="square" anchor="t" anchorCtr="0" upright="1"/>
                    </wps:wsp>
                  </a:graphicData>
                </a:graphic>
              </wp:anchor>
            </w:drawing>
          </mc:Choice>
          <mc:Fallback>
            <w:pict>
              <v:shape id="文本框 1862" o:spid="_x0000_s1026" o:spt="202" type="#_x0000_t202" style="position:absolute;left:0pt;margin-left:319.7pt;margin-top:356.25pt;height:27.2pt;width:72.45pt;z-index:251707392;mso-width-relative:page;mso-height-relative:page;" fillcolor="#FFFFFF" filled="t" stroked="t" coordsize="21600,21600" o:gfxdata="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500N02wAAAAsBAAAPAAAAAAAAAAEAIAAAACIAAABkcnMvZG93bnJldi54bWxQ&#10;SwECFAAUAAAACACHTuJAXVVrXS0CAABsBAAADgAAAAAAAAABACAAAAAqAQAAZHJzL2Uyb0RvYy54&#10;bWxQSwUGAAAAAAYABgBZAQAAyQUAAAAA&#10;">
                <v:fill on="t" focussize="0,0"/>
                <v:stroke color="#000000" joinstyle="miter"/>
                <v:imagedata o:title=""/>
                <o:lock v:ext="edit" aspectratio="f"/>
                <v:textbox>
                  <w:txbxContent>
                    <w:p w14:paraId="79D3143E">
                      <w:pPr>
                        <w:rPr>
                          <w:rFonts w:hint="default" w:eastAsia="宋体"/>
                          <w:b/>
                          <w:bCs/>
                          <w:highlight w:val="yellow"/>
                          <w:lang w:val="en-US" w:eastAsia="zh-CN"/>
                        </w:rPr>
                      </w:pPr>
                      <w:r>
                        <w:rPr>
                          <w:rFonts w:hint="eastAsia" w:eastAsia="宋体"/>
                          <w:b/>
                          <w:bCs/>
                          <w:highlight w:val="yellow"/>
                          <w:lang w:val="en-US" w:eastAsia="zh-CN"/>
                        </w:rPr>
                        <w:t>接市政管网</w:t>
                      </w:r>
                    </w:p>
                  </w:txbxContent>
                </v:textbox>
              </v:shape>
            </w:pict>
          </mc:Fallback>
        </mc:AlternateContent>
      </w:r>
      <w:r>
        <w:rPr>
          <w:color w:val="auto"/>
          <w:sz w:val="18"/>
          <w:highlight w:val="none"/>
        </w:rPr>
        <mc:AlternateContent>
          <mc:Choice Requires="wps">
            <w:drawing>
              <wp:anchor distT="0" distB="0" distL="114300" distR="114300" simplePos="0" relativeHeight="251706368" behindDoc="0" locked="0" layoutInCell="1" allowOverlap="1">
                <wp:simplePos x="0" y="0"/>
                <wp:positionH relativeFrom="column">
                  <wp:posOffset>3898900</wp:posOffset>
                </wp:positionH>
                <wp:positionV relativeFrom="paragraph">
                  <wp:posOffset>4587240</wp:posOffset>
                </wp:positionV>
                <wp:extent cx="180975" cy="190500"/>
                <wp:effectExtent l="4445" t="4445" r="5080" b="14605"/>
                <wp:wrapNone/>
                <wp:docPr id="52" name="自选图形 8"/>
                <wp:cNvGraphicFramePr/>
                <a:graphic xmlns:a="http://schemas.openxmlformats.org/drawingml/2006/main">
                  <a:graphicData uri="http://schemas.microsoft.com/office/word/2010/wordprocessingShape">
                    <wps:wsp>
                      <wps:cNvSpPr/>
                      <wps:spPr>
                        <a:xfrm>
                          <a:off x="0" y="0"/>
                          <a:ext cx="180975" cy="190500"/>
                        </a:xfrm>
                        <a:custGeom>
                          <a:avLst/>
                          <a:gdLst>
                            <a:gd name="txL" fmla="*/ 3163 w 21600"/>
                            <a:gd name="txT" fmla="*/ 3163 h 21600"/>
                            <a:gd name="txR" fmla="*/ 18437 w 21600"/>
                            <a:gd name="txB" fmla="*/ 18437 h 21600"/>
                          </a:gdLst>
                          <a:ahLst/>
                          <a:cxnLst>
                            <a:cxn ang="270">
                              <a:pos x="10800" y="0"/>
                            </a:cxn>
                            <a:cxn ang="270">
                              <a:pos x="3163" y="3163"/>
                            </a:cxn>
                            <a:cxn ang="180">
                              <a:pos x="0" y="10800"/>
                            </a:cxn>
                            <a:cxn ang="90">
                              <a:pos x="3163" y="18437"/>
                            </a:cxn>
                            <a:cxn ang="90">
                              <a:pos x="10800" y="21600"/>
                            </a:cxn>
                            <a:cxn ang="90">
                              <a:pos x="18437" y="18437"/>
                            </a:cxn>
                            <a:cxn ang="0">
                              <a:pos x="21600" y="10800"/>
                            </a:cxn>
                            <a:cxn ang="270">
                              <a:pos x="18437" y="3163"/>
                            </a:cxn>
                          </a:cxnLst>
                          <a:rect l="txL" t="txT" r="txR" b="txB"/>
                          <a:pathLst>
                            <a:path w="21600" h="21600">
                              <a:moveTo>
                                <a:pt x="0" y="10800"/>
                              </a:moveTo>
                              <a:arcTo wR="10800" hR="10800" stAng="10800000" swAng="5400000"/>
                              <a:arcTo wR="10800" hR="10800" stAng="-5400000" swAng="5400000"/>
                              <a:arcTo wR="10800" hR="10800" stAng="0" swAng="5400000"/>
                              <a:arcTo wR="10800" hR="10800" stAng="5400000" swAng="5400000"/>
                              <a:close/>
                              <a:moveTo>
                                <a:pt x="5400" y="10800"/>
                              </a:moveTo>
                              <a:arcTo wR="5400" hR="5400" stAng="10800000" swAng="-5400000"/>
                              <a:arcTo wR="5400" hR="5400" stAng="5400000" swAng="-5400000"/>
                              <a:arcTo wR="5400" hR="5400" stAng="0" swAng="-5400000"/>
                              <a:arcTo wR="5400" hR="5400" stAng="-5400000" swAng="-5400000"/>
                              <a:close/>
                            </a:path>
                          </a:pathLst>
                        </a:cu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自选图形 8" o:spid="_x0000_s1026" o:spt="100" style="position:absolute;left:0pt;margin-left:307pt;margin-top:361.2pt;height:15pt;width:14.25pt;z-index:251706368;mso-width-relative:page;mso-height-relative:page;" fillcolor="#FF0000" filled="t" stroked="t" coordsize="21600,21600" o:gfxdata="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" path="m0,10800c0,4835,4835,0,10800,0c16765,0,21600,4835,21600,10800c21600,16765,16765,21600,10800,21600c4835,21600,0,16765,0,10800xm5400,10800c5400,13782,7818,16200,10800,16200c13782,16200,16200,13782,16200,10800c16200,7818,13782,5400,10800,5400c7818,5400,5400,7818,5400,10800xe">
                <v:path o:connectlocs="10800,0;3163,3163;0,10800;3163,18437;10800,21600;18437,18437;21600,10800;18437,3163" o:connectangles="0,0,0,0,0,0,0,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740160" behindDoc="0" locked="0" layoutInCell="1" allowOverlap="1">
                <wp:simplePos x="0" y="0"/>
                <wp:positionH relativeFrom="column">
                  <wp:posOffset>5069205</wp:posOffset>
                </wp:positionH>
                <wp:positionV relativeFrom="paragraph">
                  <wp:posOffset>1155065</wp:posOffset>
                </wp:positionV>
                <wp:extent cx="190500" cy="180975"/>
                <wp:effectExtent l="3175" t="3175" r="15875" b="6350"/>
                <wp:wrapNone/>
                <wp:docPr id="72" name="直线 155"/>
                <wp:cNvGraphicFramePr/>
                <a:graphic xmlns:a="http://schemas.openxmlformats.org/drawingml/2006/main">
                  <a:graphicData uri="http://schemas.microsoft.com/office/word/2010/wordprocessingShape">
                    <wps:wsp>
                      <wps:cNvCnPr/>
                      <wps:spPr>
                        <a:xfrm>
                          <a:off x="0" y="0"/>
                          <a:ext cx="190500" cy="1809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5" o:spid="_x0000_s1026" o:spt="20" style="position:absolute;left:0pt;margin-left:399.15pt;margin-top:90.95pt;height:14.25pt;width:15pt;z-index:251740160;mso-width-relative:page;mso-height-relative:page;" filled="f" stroked="t" coordsize="21600,21600" o:gfxdata="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geLs9gAAAALAQAADwAAAAAAAAABACAAAAAiAAAAZHJzL2Rvd25yZXYueG1sUEsBAhQAFAAA&#10;AAgAh07iQFnMrSnvAQAA4gMAAA4AAAAAAAAAAQAgAAAAJwEAAGRycy9lMm9Eb2MueG1sUEsFBgAA&#10;AAAGAAYAWQEAAIgFAAAAAA==&#10;">
                <v:fill on="f" focussize="0,0"/>
                <v:stroke color="#000000" joinstyle="round"/>
                <v:imagedata o:title=""/>
                <o:lock v:ext="edit" aspectratio="f"/>
              </v:line>
            </w:pict>
          </mc:Fallback>
        </mc:AlternateContent>
      </w:r>
      <w:r>
        <w:rPr>
          <w:color w:val="auto"/>
          <w:sz w:val="18"/>
          <w:highlight w:val="none"/>
        </w:rPr>
        <mc:AlternateContent>
          <mc:Choice Requires="wps">
            <w:drawing>
              <wp:anchor distT="0" distB="0" distL="114300" distR="114300" simplePos="0" relativeHeight="251700224" behindDoc="0" locked="0" layoutInCell="1" allowOverlap="1">
                <wp:simplePos x="0" y="0"/>
                <wp:positionH relativeFrom="column">
                  <wp:posOffset>4645025</wp:posOffset>
                </wp:positionH>
                <wp:positionV relativeFrom="paragraph">
                  <wp:posOffset>847090</wp:posOffset>
                </wp:positionV>
                <wp:extent cx="596265" cy="307975"/>
                <wp:effectExtent l="4445" t="4445" r="8890" b="11430"/>
                <wp:wrapNone/>
                <wp:docPr id="46" name="文本框 1862"/>
                <wp:cNvGraphicFramePr/>
                <a:graphic xmlns:a="http://schemas.openxmlformats.org/drawingml/2006/main">
                  <a:graphicData uri="http://schemas.microsoft.com/office/word/2010/wordprocessingShape">
                    <wps:wsp>
                      <wps:cNvSpPr txBox="1"/>
                      <wps:spPr>
                        <a:xfrm>
                          <a:off x="0" y="0"/>
                          <a:ext cx="596265" cy="3079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B5CF8C">
                            <w:pPr>
                              <w:rPr>
                                <w:rFonts w:hint="default" w:eastAsia="宋体"/>
                                <w:b/>
                                <w:bCs/>
                                <w:highlight w:val="yellow"/>
                                <w:lang w:val="en-US" w:eastAsia="zh-CN"/>
                              </w:rPr>
                            </w:pPr>
                            <w:r>
                              <w:rPr>
                                <w:rFonts w:hint="eastAsia" w:ascii="Times New Roman" w:eastAsia="宋体"/>
                                <w:b/>
                                <w:bCs/>
                                <w:highlight w:val="yellow"/>
                                <w:lang w:val="en-US" w:eastAsia="zh-CN"/>
                              </w:rPr>
                              <w:t>固废仓</w:t>
                            </w:r>
                          </w:p>
                        </w:txbxContent>
                      </wps:txbx>
                      <wps:bodyPr wrap="square" upright="1"/>
                    </wps:wsp>
                  </a:graphicData>
                </a:graphic>
              </wp:anchor>
            </w:drawing>
          </mc:Choice>
          <mc:Fallback>
            <w:pict>
              <v:shape id="文本框 1862" o:spid="_x0000_s1026" o:spt="202" type="#_x0000_t202" style="position:absolute;left:0pt;margin-left:365.75pt;margin-top:66.7pt;height:24.25pt;width:46.95pt;z-index:251700224;mso-width-relative:page;mso-height-relative:page;" fillcolor="#FFFFFF" filled="t" stroked="t" coordsize="21600,21600" o:gfxdata="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ZyoITaAAAACwEA&#10;AA8AAAAAAAAAAQAgAAAAIgAAAGRycy9kb3ducmV2LnhtbFBLAQIUABQAAAAIAIdO4kDUdYm4GAIA&#10;AEcEAAAOAAAAAAAAAAEAIAAAACkBAABkcnMvZTJvRG9jLnhtbFBLBQYAAAAABgAGAFkBAACzBQAA&#10;AAA=&#10;">
                <v:fill on="t" focussize="0,0"/>
                <v:stroke color="#000000" joinstyle="miter"/>
                <v:imagedata o:title=""/>
                <o:lock v:ext="edit" aspectratio="f"/>
                <v:textbox>
                  <w:txbxContent>
                    <w:p w14:paraId="05B5CF8C">
                      <w:pPr>
                        <w:rPr>
                          <w:rFonts w:hint="default" w:eastAsia="宋体"/>
                          <w:b/>
                          <w:bCs/>
                          <w:highlight w:val="yellow"/>
                          <w:lang w:val="en-US" w:eastAsia="zh-CN"/>
                        </w:rPr>
                      </w:pPr>
                      <w:r>
                        <w:rPr>
                          <w:rFonts w:hint="eastAsia" w:ascii="Times New Roman" w:eastAsia="宋体"/>
                          <w:b/>
                          <w:bCs/>
                          <w:highlight w:val="yellow"/>
                          <w:lang w:val="en-US" w:eastAsia="zh-CN"/>
                        </w:rPr>
                        <w:t>固废仓</w:t>
                      </w:r>
                    </w:p>
                  </w:txbxContent>
                </v:textbox>
              </v:shape>
            </w:pict>
          </mc:Fallback>
        </mc:AlternateContent>
      </w:r>
      <w:r>
        <w:rPr>
          <w:color w:val="auto"/>
          <w:sz w:val="18"/>
          <w:highlight w:val="none"/>
        </w:rPr>
        <mc:AlternateContent>
          <mc:Choice Requires="wps">
            <w:drawing>
              <wp:anchor distT="0" distB="0" distL="114300" distR="114300" simplePos="0" relativeHeight="251677696" behindDoc="0" locked="0" layoutInCell="1" allowOverlap="1">
                <wp:simplePos x="0" y="0"/>
                <wp:positionH relativeFrom="column">
                  <wp:posOffset>5384165</wp:posOffset>
                </wp:positionH>
                <wp:positionV relativeFrom="paragraph">
                  <wp:posOffset>930275</wp:posOffset>
                </wp:positionV>
                <wp:extent cx="596265" cy="307975"/>
                <wp:effectExtent l="4445" t="4445" r="8890" b="11430"/>
                <wp:wrapNone/>
                <wp:docPr id="20" name="文本框 1862"/>
                <wp:cNvGraphicFramePr/>
                <a:graphic xmlns:a="http://schemas.openxmlformats.org/drawingml/2006/main">
                  <a:graphicData uri="http://schemas.microsoft.com/office/word/2010/wordprocessingShape">
                    <wps:wsp>
                      <wps:cNvSpPr txBox="1"/>
                      <wps:spPr>
                        <a:xfrm>
                          <a:off x="0" y="0"/>
                          <a:ext cx="596265" cy="3079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09014B">
                            <w:pPr>
                              <w:rPr>
                                <w:rFonts w:hint="default" w:eastAsia="宋体"/>
                                <w:b/>
                                <w:bCs/>
                                <w:highlight w:val="yellow"/>
                                <w:lang w:val="en-US" w:eastAsia="zh-CN"/>
                              </w:rPr>
                            </w:pPr>
                            <w:r>
                              <w:rPr>
                                <w:rFonts w:hint="eastAsia" w:ascii="Times New Roman" w:eastAsia="宋体"/>
                                <w:b/>
                                <w:bCs/>
                                <w:highlight w:val="yellow"/>
                                <w:lang w:val="en-US" w:eastAsia="zh-CN"/>
                              </w:rPr>
                              <w:t>危废仓</w:t>
                            </w:r>
                            <w:r>
                              <w:rPr>
                                <w:color w:val="auto"/>
                              </w:rPr>
                              <w:drawing>
                                <wp:inline distT="0" distB="0" distL="114300" distR="114300">
                                  <wp:extent cx="12313285" cy="8655050"/>
                                  <wp:effectExtent l="0" t="0" r="12065" b="12700"/>
                                  <wp:docPr id="112"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550"/>
                                          <pic:cNvPicPr>
                                            <a:picLocks noChangeAspect="1"/>
                                          </pic:cNvPicPr>
                                        </pic:nvPicPr>
                                        <pic:blipFill>
                                          <a:blip r:embed="rId65"/>
                                          <a:stretch>
                                            <a:fillRect/>
                                          </a:stretch>
                                        </pic:blipFill>
                                        <pic:spPr>
                                          <a:xfrm>
                                            <a:off x="0" y="0"/>
                                            <a:ext cx="12313285" cy="8655050"/>
                                          </a:xfrm>
                                          <a:prstGeom prst="rect">
                                            <a:avLst/>
                                          </a:prstGeom>
                                          <a:noFill/>
                                          <a:ln>
                                            <a:noFill/>
                                          </a:ln>
                                        </pic:spPr>
                                      </pic:pic>
                                    </a:graphicData>
                                  </a:graphic>
                                </wp:inline>
                              </w:drawing>
                            </w:r>
                          </w:p>
                        </w:txbxContent>
                      </wps:txbx>
                      <wps:bodyPr vert="horz" wrap="square" anchor="t" anchorCtr="0" upright="1"/>
                    </wps:wsp>
                  </a:graphicData>
                </a:graphic>
              </wp:anchor>
            </w:drawing>
          </mc:Choice>
          <mc:Fallback>
            <w:pict>
              <v:shape id="文本框 1862" o:spid="_x0000_s1026" o:spt="202" type="#_x0000_t202" style="position:absolute;left:0pt;margin-left:423.95pt;margin-top:73.25pt;height:24.25pt;width:46.95pt;z-index:251677696;mso-width-relative:page;mso-height-relative:page;" fillcolor="#FFFFFF" filled="t" stroked="t" coordsize="21600,21600" o:gfxdata="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x12f/2QAAAAsBAAAPAAAAAAAAAAEAIAAAACIAAABkcnMvZG93bnJldi54bWxQSwEC&#10;FAAUAAAACACHTuJAk3DewCwCAABsBAAADgAAAAAAAAABACAAAAAoAQAAZHJzL2Uyb0RvYy54bWxQ&#10;SwUGAAAAAAYABgBZAQAAxgUAAAAA&#10;">
                <v:fill on="t" focussize="0,0"/>
                <v:stroke color="#000000" joinstyle="miter"/>
                <v:imagedata o:title=""/>
                <o:lock v:ext="edit" aspectratio="f"/>
                <v:textbox>
                  <w:txbxContent>
                    <w:p w14:paraId="5F09014B">
                      <w:pPr>
                        <w:rPr>
                          <w:rFonts w:hint="default" w:eastAsia="宋体"/>
                          <w:b/>
                          <w:bCs/>
                          <w:highlight w:val="yellow"/>
                          <w:lang w:val="en-US" w:eastAsia="zh-CN"/>
                        </w:rPr>
                      </w:pPr>
                      <w:r>
                        <w:rPr>
                          <w:rFonts w:hint="eastAsia" w:ascii="Times New Roman" w:eastAsia="宋体"/>
                          <w:b/>
                          <w:bCs/>
                          <w:highlight w:val="yellow"/>
                          <w:lang w:val="en-US" w:eastAsia="zh-CN"/>
                        </w:rPr>
                        <w:t>危废仓</w:t>
                      </w:r>
                      <w:r>
                        <w:rPr>
                          <w:color w:val="auto"/>
                        </w:rPr>
                        <w:drawing>
                          <wp:inline distT="0" distB="0" distL="114300" distR="114300">
                            <wp:extent cx="12313285" cy="8655050"/>
                            <wp:effectExtent l="0" t="0" r="12065" b="12700"/>
                            <wp:docPr id="112"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550"/>
                                    <pic:cNvPicPr>
                                      <a:picLocks noChangeAspect="1"/>
                                    </pic:cNvPicPr>
                                  </pic:nvPicPr>
                                  <pic:blipFill>
                                    <a:blip r:embed="rId65"/>
                                    <a:stretch>
                                      <a:fillRect/>
                                    </a:stretch>
                                  </pic:blipFill>
                                  <pic:spPr>
                                    <a:xfrm>
                                      <a:off x="0" y="0"/>
                                      <a:ext cx="12313285" cy="8655050"/>
                                    </a:xfrm>
                                    <a:prstGeom prst="rect">
                                      <a:avLst/>
                                    </a:prstGeom>
                                    <a:noFill/>
                                    <a:ln>
                                      <a:noFill/>
                                    </a:ln>
                                  </pic:spPr>
                                </pic:pic>
                              </a:graphicData>
                            </a:graphic>
                          </wp:inline>
                        </w:drawing>
                      </w:r>
                    </w:p>
                  </w:txbxContent>
                </v:textbox>
              </v:shape>
            </w:pict>
          </mc:Fallback>
        </mc:AlternateContent>
      </w:r>
      <w:r>
        <w:rPr>
          <w:color w:val="auto"/>
          <w:sz w:val="18"/>
          <w:highlight w:val="none"/>
        </w:rPr>
        <mc:AlternateContent>
          <mc:Choice Requires="wps">
            <w:drawing>
              <wp:anchor distT="0" distB="0" distL="114300" distR="114300" simplePos="0" relativeHeight="251739136" behindDoc="0" locked="0" layoutInCell="1" allowOverlap="1">
                <wp:simplePos x="0" y="0"/>
                <wp:positionH relativeFrom="column">
                  <wp:posOffset>5261610</wp:posOffset>
                </wp:positionH>
                <wp:positionV relativeFrom="paragraph">
                  <wp:posOffset>1338580</wp:posOffset>
                </wp:positionV>
                <wp:extent cx="146685" cy="104775"/>
                <wp:effectExtent l="5080" t="4445" r="19685" b="5080"/>
                <wp:wrapNone/>
                <wp:docPr id="71" name="矩形 1861"/>
                <wp:cNvGraphicFramePr/>
                <a:graphic xmlns:a="http://schemas.openxmlformats.org/drawingml/2006/main">
                  <a:graphicData uri="http://schemas.microsoft.com/office/word/2010/wordprocessingShape">
                    <wps:wsp>
                      <wps:cNvSpPr/>
                      <wps:spPr>
                        <a:xfrm>
                          <a:off x="0" y="0"/>
                          <a:ext cx="146685" cy="104775"/>
                        </a:xfrm>
                        <a:prstGeom prst="rect">
                          <a:avLst/>
                        </a:prstGeom>
                        <a:solidFill>
                          <a:srgbClr val="00B0F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61" o:spid="_x0000_s1026" o:spt="1" style="position:absolute;left:0pt;margin-left:414.3pt;margin-top:105.4pt;height:8.25pt;width:11.55pt;z-index:251739136;mso-width-relative:page;mso-height-relative:page;" fillcolor="#00B0F0" filled="t" stroked="t" coordsize="21600,21600" o:gfxdata="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i+dxH9cA&#10;AAALAQAADwAAAAAAAAABACAAAAAiAAAAZHJzL2Rvd25yZXYueG1sUEsBAhQAFAAAAAgAh07iQKoI&#10;DVUgAgAAVAQAAA4AAAAAAAAAAQAgAAAAJgEAAGRycy9lMm9Eb2MueG1sUEsFBgAAAAAGAAYAWQEA&#10;ALgFAAAAAA==&#10;">
                <v:fill on="t" focussize="0,0"/>
                <v:stroke color="#000000" joinstyle="miter"/>
                <v:imagedata o:title=""/>
                <o:lock v:ext="edit" aspectratio="f"/>
              </v:rect>
            </w:pict>
          </mc:Fallback>
        </mc:AlternateContent>
      </w:r>
      <w:r>
        <w:rPr>
          <w:color w:val="auto"/>
          <w:sz w:val="18"/>
          <w:highlight w:val="none"/>
        </w:rPr>
        <mc:AlternateContent>
          <mc:Choice Requires="wps">
            <w:drawing>
              <wp:anchor distT="0" distB="0" distL="114300" distR="114300" simplePos="0" relativeHeight="251738112" behindDoc="0" locked="0" layoutInCell="1" allowOverlap="1">
                <wp:simplePos x="0" y="0"/>
                <wp:positionH relativeFrom="column">
                  <wp:posOffset>5423535</wp:posOffset>
                </wp:positionH>
                <wp:positionV relativeFrom="paragraph">
                  <wp:posOffset>1351915</wp:posOffset>
                </wp:positionV>
                <wp:extent cx="168910" cy="97790"/>
                <wp:effectExtent l="4445" t="4445" r="17145" b="12065"/>
                <wp:wrapNone/>
                <wp:docPr id="70" name="矩形 1861"/>
                <wp:cNvGraphicFramePr/>
                <a:graphic xmlns:a="http://schemas.openxmlformats.org/drawingml/2006/main">
                  <a:graphicData uri="http://schemas.microsoft.com/office/word/2010/wordprocessingShape">
                    <wps:wsp>
                      <wps:cNvSpPr/>
                      <wps:spPr>
                        <a:xfrm>
                          <a:off x="0" y="0"/>
                          <a:ext cx="168910" cy="97790"/>
                        </a:xfrm>
                        <a:prstGeom prst="rect">
                          <a:avLst/>
                        </a:prstGeom>
                        <a:solidFill>
                          <a:srgbClr val="00B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61" o:spid="_x0000_s1026" o:spt="1" style="position:absolute;left:0pt;margin-left:427.05pt;margin-top:106.45pt;height:7.7pt;width:13.3pt;z-index:251738112;mso-width-relative:page;mso-height-relative:page;" fillcolor="#00B050" filled="t" stroked="t" coordsize="21600,21600" o:gfxdata="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1VeuPXAAAA&#10;CwEAAA8AAAAAAAAAAQAgAAAAIgAAAGRycy9kb3ducmV2LnhtbFBLAQIUABQAAAAIAIdO4kCI+nCY&#10;HgIAAFMEAAAOAAAAAAAAAAEAIAAAACYBAABkcnMvZTJvRG9jLnhtbFBLBQYAAAAABgAGAFkBAAC2&#10;BQAAAAA=&#10;">
                <v:fill on="t" focussize="0,0"/>
                <v:stroke color="#000000" joinstyle="miter"/>
                <v:imagedata o:title=""/>
                <o:lock v:ext="edit" aspectratio="f"/>
              </v:rect>
            </w:pict>
          </mc:Fallback>
        </mc:AlternateContent>
      </w:r>
      <w:r>
        <w:rPr>
          <w:color w:val="auto"/>
          <w:sz w:val="18"/>
          <w:highlight w:val="none"/>
        </w:rPr>
        <mc:AlternateContent>
          <mc:Choice Requires="wps">
            <w:drawing>
              <wp:anchor distT="0" distB="0" distL="114300" distR="114300" simplePos="0" relativeHeight="251694080" behindDoc="0" locked="0" layoutInCell="1" allowOverlap="1">
                <wp:simplePos x="0" y="0"/>
                <wp:positionH relativeFrom="column">
                  <wp:posOffset>2656205</wp:posOffset>
                </wp:positionH>
                <wp:positionV relativeFrom="paragraph">
                  <wp:posOffset>3882390</wp:posOffset>
                </wp:positionV>
                <wp:extent cx="114300" cy="121920"/>
                <wp:effectExtent l="4445" t="4445" r="14605" b="6985"/>
                <wp:wrapNone/>
                <wp:docPr id="38" name="椭圆 2"/>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FF000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2" o:spid="_x0000_s1026" o:spt="3" type="#_x0000_t3" style="position:absolute;left:0pt;margin-left:209.15pt;margin-top:305.7pt;height:9.6pt;width:9pt;z-index:251694080;mso-width-relative:page;mso-height-relative:page;" fillcolor="#FF0000" filled="t" stroked="t" coordsize="21600,21600" o:gfxdata="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Za0eT2AAAAAsBAAAP&#10;AAAAAAAAAAEAIAAAACIAAABkcnMvZG93bnJldi54bWxQSwECFAAUAAAACACHTuJACPEVkxgCAABK&#10;BAAADgAAAAAAAAABACAAAAAnAQAAZHJzL2Uyb0RvYy54bWxQSwUGAAAAAAYABgBZAQAAsQU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696128" behindDoc="0" locked="0" layoutInCell="1" allowOverlap="1">
                <wp:simplePos x="0" y="0"/>
                <wp:positionH relativeFrom="column">
                  <wp:posOffset>2319020</wp:posOffset>
                </wp:positionH>
                <wp:positionV relativeFrom="paragraph">
                  <wp:posOffset>3966210</wp:posOffset>
                </wp:positionV>
                <wp:extent cx="710565" cy="353060"/>
                <wp:effectExtent l="0" t="0" r="0" b="0"/>
                <wp:wrapNone/>
                <wp:docPr id="40" name="文本框 4"/>
                <wp:cNvGraphicFramePr/>
                <a:graphic xmlns:a="http://schemas.openxmlformats.org/drawingml/2006/main">
                  <a:graphicData uri="http://schemas.microsoft.com/office/word/2010/wordprocessingShape">
                    <wps:wsp>
                      <wps:cNvSpPr txBox="1"/>
                      <wps:spPr>
                        <a:xfrm>
                          <a:off x="0" y="0"/>
                          <a:ext cx="710565" cy="353060"/>
                        </a:xfrm>
                        <a:prstGeom prst="rect">
                          <a:avLst/>
                        </a:prstGeom>
                        <a:noFill/>
                        <a:ln>
                          <a:noFill/>
                        </a:ln>
                      </wps:spPr>
                      <wps:txbx>
                        <w:txbxContent>
                          <w:p w14:paraId="7FDC4952">
                            <w:pPr>
                              <w:rPr>
                                <w:rFonts w:hint="default" w:eastAsia="宋体"/>
                                <w:b/>
                                <w:bCs/>
                                <w:highlight w:val="yellow"/>
                                <w:lang w:val="en-US" w:eastAsia="zh-CN"/>
                              </w:rPr>
                            </w:pPr>
                            <w:r>
                              <w:rPr>
                                <w:rFonts w:hint="eastAsia" w:ascii="Times New Roman" w:eastAsia="宋体"/>
                                <w:b/>
                                <w:bCs/>
                                <w:highlight w:val="yellow"/>
                                <w:lang w:val="en-US" w:eastAsia="zh-CN"/>
                              </w:rPr>
                              <w:t>DW002</w:t>
                            </w:r>
                          </w:p>
                        </w:txbxContent>
                      </wps:txbx>
                      <wps:bodyPr vert="horz" wrap="square" anchor="t" anchorCtr="0" upright="1"/>
                    </wps:wsp>
                  </a:graphicData>
                </a:graphic>
              </wp:anchor>
            </w:drawing>
          </mc:Choice>
          <mc:Fallback>
            <w:pict>
              <v:shape id="文本框 4" o:spid="_x0000_s1026" o:spt="202" type="#_x0000_t202" style="position:absolute;left:0pt;margin-left:182.6pt;margin-top:312.3pt;height:27.8pt;width:55.95pt;z-index:251696128;mso-width-relative:page;mso-height-relative:page;" filled="f" stroked="f" coordsize="21600,21600" o:gfxdata="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iCVh2QAAAAsBAAAPAAAAAAAAAAEAIAAAACIAAABk&#10;cnMvZG93bnJldi54bWxQSwECFAAUAAAACACHTuJALQliVcwBAACBAwAADgAAAAAAAAABACAAAAAo&#10;AQAAZHJzL2Uyb0RvYy54bWxQSwUGAAAAAAYABgBZAQAAZgUAAAAA&#10;">
                <v:fill on="f" focussize="0,0"/>
                <v:stroke on="f"/>
                <v:imagedata o:title=""/>
                <o:lock v:ext="edit" aspectratio="f"/>
                <v:textbox>
                  <w:txbxContent>
                    <w:p w14:paraId="7FDC4952">
                      <w:pPr>
                        <w:rPr>
                          <w:rFonts w:hint="default" w:eastAsia="宋体"/>
                          <w:b/>
                          <w:bCs/>
                          <w:highlight w:val="yellow"/>
                          <w:lang w:val="en-US" w:eastAsia="zh-CN"/>
                        </w:rPr>
                      </w:pPr>
                      <w:r>
                        <w:rPr>
                          <w:rFonts w:hint="eastAsia" w:ascii="Times New Roman" w:eastAsia="宋体"/>
                          <w:b/>
                          <w:bCs/>
                          <w:highlight w:val="yellow"/>
                          <w:lang w:val="en-US" w:eastAsia="zh-CN"/>
                        </w:rPr>
                        <w:t>DW002</w:t>
                      </w:r>
                    </w:p>
                  </w:txbxContent>
                </v:textbox>
              </v:shape>
            </w:pict>
          </mc:Fallback>
        </mc:AlternateContent>
      </w:r>
      <w:r>
        <w:rPr>
          <w:color w:val="auto"/>
          <w:sz w:val="18"/>
          <w:highlight w:val="none"/>
        </w:rPr>
        <mc:AlternateContent>
          <mc:Choice Requires="wps">
            <w:drawing>
              <wp:anchor distT="0" distB="0" distL="114300" distR="114300" simplePos="0" relativeHeight="251686912" behindDoc="0" locked="0" layoutInCell="1" allowOverlap="1">
                <wp:simplePos x="0" y="0"/>
                <wp:positionH relativeFrom="column">
                  <wp:posOffset>6132195</wp:posOffset>
                </wp:positionH>
                <wp:positionV relativeFrom="paragraph">
                  <wp:posOffset>4094480</wp:posOffset>
                </wp:positionV>
                <wp:extent cx="674370" cy="314325"/>
                <wp:effectExtent l="0" t="0" r="0" b="0"/>
                <wp:wrapNone/>
                <wp:docPr id="29" name="文本框 1882"/>
                <wp:cNvGraphicFramePr/>
                <a:graphic xmlns:a="http://schemas.openxmlformats.org/drawingml/2006/main">
                  <a:graphicData uri="http://schemas.microsoft.com/office/word/2010/wordprocessingShape">
                    <wps:wsp>
                      <wps:cNvSpPr txBox="1"/>
                      <wps:spPr>
                        <a:xfrm>
                          <a:off x="0" y="0"/>
                          <a:ext cx="674370" cy="314325"/>
                        </a:xfrm>
                        <a:prstGeom prst="rect">
                          <a:avLst/>
                        </a:prstGeom>
                        <a:noFill/>
                        <a:ln>
                          <a:noFill/>
                        </a:ln>
                      </wps:spPr>
                      <wps:txbx>
                        <w:txbxContent>
                          <w:p w14:paraId="42DF7F60">
                            <w:pPr>
                              <w:rPr>
                                <w:rFonts w:hint="default" w:eastAsia="宋体"/>
                                <w:b/>
                                <w:bCs/>
                                <w:highlight w:val="yellow"/>
                                <w:lang w:val="en-US" w:eastAsia="zh-CN"/>
                              </w:rPr>
                            </w:pPr>
                            <w:r>
                              <w:rPr>
                                <w:rFonts w:hint="eastAsia" w:ascii="Times New Roman" w:eastAsia="宋体"/>
                                <w:b/>
                                <w:bCs/>
                                <w:highlight w:val="yellow"/>
                                <w:lang w:val="en-US" w:eastAsia="zh-CN"/>
                              </w:rPr>
                              <w:t>DW001</w:t>
                            </w:r>
                          </w:p>
                        </w:txbxContent>
                      </wps:txbx>
                      <wps:bodyPr vert="horz" wrap="square" anchor="t" anchorCtr="0" upright="1"/>
                    </wps:wsp>
                  </a:graphicData>
                </a:graphic>
              </wp:anchor>
            </w:drawing>
          </mc:Choice>
          <mc:Fallback>
            <w:pict>
              <v:shape id="文本框 1882" o:spid="_x0000_s1026" o:spt="202" type="#_x0000_t202" style="position:absolute;left:0pt;margin-left:482.85pt;margin-top:322.4pt;height:24.75pt;width:53.1pt;z-index:251686912;mso-width-relative:page;mso-height-relative:page;" filled="f" stroked="f" coordsize="21600,21600" o:gfxdata="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ZI1y02QAAAAwBAAAPAAAAAAAAAAEAIAAAACIA&#10;AABkcnMvZG93bnJldi54bWxQSwECFAAUAAAACACHTuJAUCe97s8BAACEAwAADgAAAAAAAAABACAA&#10;AAAoAQAAZHJzL2Uyb0RvYy54bWxQSwUGAAAAAAYABgBZAQAAaQUAAAAA&#10;">
                <v:fill on="f" focussize="0,0"/>
                <v:stroke on="f"/>
                <v:imagedata o:title=""/>
                <o:lock v:ext="edit" aspectratio="f"/>
                <v:textbox>
                  <w:txbxContent>
                    <w:p w14:paraId="42DF7F60">
                      <w:pPr>
                        <w:rPr>
                          <w:rFonts w:hint="default" w:eastAsia="宋体"/>
                          <w:b/>
                          <w:bCs/>
                          <w:highlight w:val="yellow"/>
                          <w:lang w:val="en-US" w:eastAsia="zh-CN"/>
                        </w:rPr>
                      </w:pPr>
                      <w:r>
                        <w:rPr>
                          <w:rFonts w:hint="eastAsia" w:ascii="Times New Roman" w:eastAsia="宋体"/>
                          <w:b/>
                          <w:bCs/>
                          <w:highlight w:val="yellow"/>
                          <w:lang w:val="en-US" w:eastAsia="zh-CN"/>
                        </w:rPr>
                        <w:t>DW001</w:t>
                      </w:r>
                    </w:p>
                  </w:txbxContent>
                </v:textbox>
              </v:shape>
            </w:pict>
          </mc:Fallback>
        </mc:AlternateContent>
      </w:r>
      <w:r>
        <w:rPr>
          <w:color w:val="auto"/>
          <w:sz w:val="18"/>
          <w:highlight w:val="none"/>
        </w:rPr>
        <mc:AlternateContent>
          <mc:Choice Requires="wps">
            <w:drawing>
              <wp:anchor distT="0" distB="0" distL="114300" distR="114300" simplePos="0" relativeHeight="251695104" behindDoc="0" locked="0" layoutInCell="1" allowOverlap="1">
                <wp:simplePos x="0" y="0"/>
                <wp:positionH relativeFrom="column">
                  <wp:posOffset>5998845</wp:posOffset>
                </wp:positionH>
                <wp:positionV relativeFrom="paragraph">
                  <wp:posOffset>4148455</wp:posOffset>
                </wp:positionV>
                <wp:extent cx="114300" cy="121920"/>
                <wp:effectExtent l="4445" t="4445" r="14605" b="6985"/>
                <wp:wrapNone/>
                <wp:docPr id="39" name="椭圆 3"/>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FF0000"/>
                        </a:solidFill>
                        <a:ln w="9525" cap="flat" cmpd="sng">
                          <a:solidFill>
                            <a:srgbClr val="000000"/>
                          </a:solidFill>
                          <a:prstDash val="solid"/>
                          <a:headEnd type="none" w="med" len="med"/>
                          <a:tailEnd type="none" w="med" len="med"/>
                        </a:ln>
                      </wps:spPr>
                      <wps:bodyPr wrap="square" upright="1"/>
                    </wps:wsp>
                  </a:graphicData>
                </a:graphic>
              </wp:anchor>
            </w:drawing>
          </mc:Choice>
          <mc:Fallback>
            <w:pict>
              <v:shape id="椭圆 3" o:spid="_x0000_s1026" o:spt="3" type="#_x0000_t3" style="position:absolute;left:0pt;margin-left:472.35pt;margin-top:326.65pt;height:9.6pt;width:9pt;z-index:251695104;mso-width-relative:page;mso-height-relative:page;" fillcolor="#FF0000" filled="t" stroked="t" coordsize="21600,21600" o:gfxdata="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0aO4x2gAAAAsBAAAPAAAAAAAAAAEAIAAAACIAAABk&#10;cnMvZG93bnJldi54bWxQSwECFAAUAAAACACHTuJAHmIqNQQCAAAlBAAADgAAAAAAAAABACAAAAAp&#10;AQAAZHJzL2Uyb0RvYy54bWxQSwUGAAAAAAYABgBZAQAAnwU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676672" behindDoc="0" locked="0" layoutInCell="1" allowOverlap="1">
                <wp:simplePos x="0" y="0"/>
                <wp:positionH relativeFrom="column">
                  <wp:posOffset>695960</wp:posOffset>
                </wp:positionH>
                <wp:positionV relativeFrom="paragraph">
                  <wp:posOffset>2012315</wp:posOffset>
                </wp:positionV>
                <wp:extent cx="1151255" cy="338455"/>
                <wp:effectExtent l="4445" t="4445" r="6350" b="19050"/>
                <wp:wrapNone/>
                <wp:docPr id="19" name="文本框 1860"/>
                <wp:cNvGraphicFramePr/>
                <a:graphic xmlns:a="http://schemas.openxmlformats.org/drawingml/2006/main">
                  <a:graphicData uri="http://schemas.microsoft.com/office/word/2010/wordprocessingShape">
                    <wps:wsp>
                      <wps:cNvSpPr txBox="1"/>
                      <wps:spPr>
                        <a:xfrm>
                          <a:off x="0" y="0"/>
                          <a:ext cx="1151255" cy="33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077B46">
                            <w:pPr>
                              <w:rPr>
                                <w:rFonts w:hint="default" w:eastAsia="宋体"/>
                                <w:b/>
                                <w:bCs/>
                                <w:highlight w:val="yellow"/>
                                <w:lang w:val="en-US" w:eastAsia="zh-CN"/>
                              </w:rPr>
                            </w:pPr>
                            <w:r>
                              <w:rPr>
                                <w:rFonts w:hint="eastAsia" w:ascii="Times New Roman" w:eastAsia="宋体"/>
                                <w:b/>
                                <w:bCs/>
                                <w:highlight w:val="yellow"/>
                                <w:lang w:val="en-US" w:eastAsia="zh-CN"/>
                              </w:rPr>
                              <w:t>自建污水处理站</w:t>
                            </w:r>
                          </w:p>
                        </w:txbxContent>
                      </wps:txbx>
                      <wps:bodyPr vert="horz" wrap="square" anchor="t" anchorCtr="0" upright="1"/>
                    </wps:wsp>
                  </a:graphicData>
                </a:graphic>
              </wp:anchor>
            </w:drawing>
          </mc:Choice>
          <mc:Fallback>
            <w:pict>
              <v:shape id="文本框 1860" o:spid="_x0000_s1026" o:spt="202" type="#_x0000_t202" style="position:absolute;left:0pt;margin-left:54.8pt;margin-top:158.45pt;height:26.65pt;width:90.65pt;z-index:251676672;mso-width-relative:page;mso-height-relative:page;" fillcolor="#FFFFFF" filled="t" stroked="t" coordsize="21600,21600" o:gfxdata="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JuxU9kAAAALAQAADwAAAAAAAAABACAAAAAiAAAAZHJzL2Rvd25yZXYueG1sUEsBAhQA&#10;FAAAAAgAh07iQDVDveIqAgAAbQQAAA4AAAAAAAAAAQAgAAAAKAEAAGRycy9lMm9Eb2MueG1sUEsF&#10;BgAAAAAGAAYAWQEAAMQFAAAAAA==&#10;">
                <v:fill on="t" focussize="0,0"/>
                <v:stroke color="#000000" joinstyle="miter"/>
                <v:imagedata o:title=""/>
                <o:lock v:ext="edit" aspectratio="f"/>
                <v:textbox>
                  <w:txbxContent>
                    <w:p w14:paraId="13077B46">
                      <w:pPr>
                        <w:rPr>
                          <w:rFonts w:hint="default" w:eastAsia="宋体"/>
                          <w:b/>
                          <w:bCs/>
                          <w:highlight w:val="yellow"/>
                          <w:lang w:val="en-US" w:eastAsia="zh-CN"/>
                        </w:rPr>
                      </w:pPr>
                      <w:r>
                        <w:rPr>
                          <w:rFonts w:hint="eastAsia" w:ascii="Times New Roman" w:eastAsia="宋体"/>
                          <w:b/>
                          <w:bCs/>
                          <w:highlight w:val="yellow"/>
                          <w:lang w:val="en-US" w:eastAsia="zh-CN"/>
                        </w:rPr>
                        <w:t>自建污水处理站</w:t>
                      </w:r>
                    </w:p>
                  </w:txbxContent>
                </v:textbox>
              </v:shape>
            </w:pict>
          </mc:Fallback>
        </mc:AlternateContent>
      </w:r>
      <w:r>
        <w:rPr>
          <w:color w:val="auto"/>
          <w:sz w:val="18"/>
          <w:highlight w:val="none"/>
        </w:rPr>
        <mc:AlternateContent>
          <mc:Choice Requires="wps">
            <w:drawing>
              <wp:anchor distT="0" distB="0" distL="114300" distR="114300" simplePos="0" relativeHeight="251743232" behindDoc="0" locked="0" layoutInCell="1" allowOverlap="1">
                <wp:simplePos x="0" y="0"/>
                <wp:positionH relativeFrom="column">
                  <wp:posOffset>1517650</wp:posOffset>
                </wp:positionH>
                <wp:positionV relativeFrom="paragraph">
                  <wp:posOffset>1799590</wp:posOffset>
                </wp:positionV>
                <wp:extent cx="177800" cy="217170"/>
                <wp:effectExtent l="3810" t="3175" r="8890" b="8255"/>
                <wp:wrapNone/>
                <wp:docPr id="75" name="直线 158"/>
                <wp:cNvGraphicFramePr/>
                <a:graphic xmlns:a="http://schemas.openxmlformats.org/drawingml/2006/main">
                  <a:graphicData uri="http://schemas.microsoft.com/office/word/2010/wordprocessingShape">
                    <wps:wsp>
                      <wps:cNvCnPr/>
                      <wps:spPr>
                        <a:xfrm flipH="1">
                          <a:off x="0" y="0"/>
                          <a:ext cx="177800" cy="21717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8" o:spid="_x0000_s1026" o:spt="20" style="position:absolute;left:0pt;flip:x;margin-left:119.5pt;margin-top:141.7pt;height:17.1pt;width:14pt;z-index:251743232;mso-width-relative:page;mso-height-relative:page;" filled="f" stroked="t" coordsize="21600,21600" o:gfxdata="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RdiuhdkAAAALAQAADwAAAAAAAAABACAAAAAiAAAAZHJzL2Rvd25yZXYueG1s&#10;UEsBAhQAFAAAAAgAh07iQPHVodr3AQAA7AMAAA4AAAAAAAAAAQAgAAAAKAEAAGRycy9lMm9Eb2Mu&#10;eG1sUEsFBgAAAAAGAAYAWQEAAJEFAAAAAA==&#10;">
                <v:fill on="f" focussize="0,0"/>
                <v:stroke color="#000000" joinstyle="round"/>
                <v:imagedata o:title=""/>
                <o:lock v:ext="edit" aspectratio="f"/>
              </v:line>
            </w:pict>
          </mc:Fallback>
        </mc:AlternateContent>
      </w:r>
      <w:r>
        <w:rPr>
          <w:color w:val="auto"/>
          <w:sz w:val="18"/>
          <w:highlight w:val="none"/>
        </w:rPr>
        <mc:AlternateContent>
          <mc:Choice Requires="wps">
            <w:drawing>
              <wp:anchor distT="0" distB="0" distL="114300" distR="114300" simplePos="0" relativeHeight="251675648" behindDoc="0" locked="0" layoutInCell="1" allowOverlap="1">
                <wp:simplePos x="0" y="0"/>
                <wp:positionH relativeFrom="column">
                  <wp:posOffset>1675765</wp:posOffset>
                </wp:positionH>
                <wp:positionV relativeFrom="paragraph">
                  <wp:posOffset>1530350</wp:posOffset>
                </wp:positionV>
                <wp:extent cx="149860" cy="272415"/>
                <wp:effectExtent l="5080" t="4445" r="16510" b="8890"/>
                <wp:wrapNone/>
                <wp:docPr id="18" name="矩形 1858"/>
                <wp:cNvGraphicFramePr/>
                <a:graphic xmlns:a="http://schemas.openxmlformats.org/drawingml/2006/main">
                  <a:graphicData uri="http://schemas.microsoft.com/office/word/2010/wordprocessingShape">
                    <wps:wsp>
                      <wps:cNvSpPr/>
                      <wps:spPr>
                        <a:xfrm>
                          <a:off x="0" y="0"/>
                          <a:ext cx="149860" cy="272415"/>
                        </a:xfrm>
                        <a:prstGeom prst="rect">
                          <a:avLst/>
                        </a:prstGeom>
                        <a:solidFill>
                          <a:srgbClr val="0070C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58" o:spid="_x0000_s1026" o:spt="1" style="position:absolute;left:0pt;margin-left:131.95pt;margin-top:120.5pt;height:21.45pt;width:11.8pt;z-index:251675648;mso-width-relative:page;mso-height-relative:page;" fillcolor="#0070C0" filled="t" stroked="t" coordsize="21600,21600" o:gfxdata="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0D&#10;zo/aAAAACwEAAA8AAAAAAAAAAQAgAAAAIgAAAGRycy9kb3ducmV2LnhtbFBLAQIUABQAAAAIAIdO&#10;4kAj0Q8dIQIAAFQEAAAOAAAAAAAAAAEAIAAAACkBAABkcnMvZTJvRG9jLnhtbFBLBQYAAAAABgAG&#10;AFkBAAC8BQAAAAA=&#10;">
                <v:fill on="t" focussize="0,0"/>
                <v:stroke color="#000000" joinstyle="miter"/>
                <v:imagedata o:title=""/>
                <o:lock v:ext="edit" aspectratio="f"/>
              </v:rect>
            </w:pict>
          </mc:Fallback>
        </mc:AlternateContent>
      </w:r>
      <w:r>
        <w:rPr>
          <w:color w:val="auto"/>
          <w:sz w:val="18"/>
          <w:highlight w:val="none"/>
        </w:rPr>
        <mc:AlternateContent>
          <mc:Choice Requires="wps">
            <w:drawing>
              <wp:anchor distT="0" distB="0" distL="114300" distR="114300" simplePos="0" relativeHeight="251689984" behindDoc="0" locked="0" layoutInCell="1" allowOverlap="1">
                <wp:simplePos x="0" y="0"/>
                <wp:positionH relativeFrom="column">
                  <wp:posOffset>6124575</wp:posOffset>
                </wp:positionH>
                <wp:positionV relativeFrom="paragraph">
                  <wp:posOffset>2791460</wp:posOffset>
                </wp:positionV>
                <wp:extent cx="596265" cy="314325"/>
                <wp:effectExtent l="0" t="0" r="0" b="0"/>
                <wp:wrapNone/>
                <wp:docPr id="34" name="文本框 1884"/>
                <wp:cNvGraphicFramePr/>
                <a:graphic xmlns:a="http://schemas.openxmlformats.org/drawingml/2006/main">
                  <a:graphicData uri="http://schemas.microsoft.com/office/word/2010/wordprocessingShape">
                    <wps:wsp>
                      <wps:cNvSpPr txBox="1"/>
                      <wps:spPr>
                        <a:xfrm>
                          <a:off x="0" y="0"/>
                          <a:ext cx="596265" cy="314325"/>
                        </a:xfrm>
                        <a:prstGeom prst="rect">
                          <a:avLst/>
                        </a:prstGeom>
                        <a:noFill/>
                        <a:ln>
                          <a:noFill/>
                        </a:ln>
                      </wps:spPr>
                      <wps:txbx>
                        <w:txbxContent>
                          <w:p w14:paraId="70122388">
                            <w:pPr>
                              <w:rPr>
                                <w:rFonts w:hint="default" w:eastAsia="宋体"/>
                                <w:b/>
                                <w:bCs/>
                                <w:highlight w:val="yellow"/>
                                <w:lang w:val="en-US" w:eastAsia="zh-CN"/>
                              </w:rPr>
                            </w:pPr>
                            <w:r>
                              <w:rPr>
                                <w:rFonts w:hint="eastAsia"/>
                                <w:b/>
                                <w:bCs/>
                                <w:highlight w:val="yellow"/>
                                <w:lang w:val="en-US" w:eastAsia="zh-CN"/>
                              </w:rPr>
                              <w:t>DA004</w:t>
                            </w:r>
                          </w:p>
                        </w:txbxContent>
                      </wps:txbx>
                      <wps:bodyPr wrap="square" upright="1"/>
                    </wps:wsp>
                  </a:graphicData>
                </a:graphic>
              </wp:anchor>
            </w:drawing>
          </mc:Choice>
          <mc:Fallback>
            <w:pict>
              <v:shape id="文本框 1884" o:spid="_x0000_s1026" o:spt="202" type="#_x0000_t202" style="position:absolute;left:0pt;margin-left:482.25pt;margin-top:219.8pt;height:24.75pt;width:46.95pt;z-index:251689984;mso-width-relative:page;mso-height-relative:page;" filled="f" stroked="f" coordsize="21600,21600" o:gfxdata="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kfJy/NgAAAAMAQAADwAAAAAAAAABACAAAAAiAAAAZHJzL2Rvd25yZXYueG1sUEsBAhQA&#10;FAAAAAgAh07iQHTVRSq5AQAAXwMAAA4AAAAAAAAAAQAgAAAAJwEAAGRycy9lMm9Eb2MueG1sUEsF&#10;BgAAAAAGAAYAWQEAAFIFAAAAAA==&#10;">
                <v:fill on="f" focussize="0,0"/>
                <v:stroke on="f"/>
                <v:imagedata o:title=""/>
                <o:lock v:ext="edit" aspectratio="f"/>
                <v:textbox>
                  <w:txbxContent>
                    <w:p w14:paraId="70122388">
                      <w:pPr>
                        <w:rPr>
                          <w:rFonts w:hint="default" w:eastAsia="宋体"/>
                          <w:b/>
                          <w:bCs/>
                          <w:highlight w:val="yellow"/>
                          <w:lang w:val="en-US" w:eastAsia="zh-CN"/>
                        </w:rPr>
                      </w:pPr>
                      <w:r>
                        <w:rPr>
                          <w:rFonts w:hint="eastAsia"/>
                          <w:b/>
                          <w:bCs/>
                          <w:highlight w:val="yellow"/>
                          <w:lang w:val="en-US" w:eastAsia="zh-CN"/>
                        </w:rPr>
                        <w:t>DA004</w:t>
                      </w:r>
                    </w:p>
                  </w:txbxContent>
                </v:textbox>
              </v:shape>
            </w:pict>
          </mc:Fallback>
        </mc:AlternateContent>
      </w:r>
      <w:r>
        <w:rPr>
          <w:color w:val="auto"/>
          <w:sz w:val="18"/>
          <w:highlight w:val="none"/>
        </w:rPr>
        <mc:AlternateContent>
          <mc:Choice Requires="wps">
            <w:drawing>
              <wp:anchor distT="0" distB="0" distL="114300" distR="114300" simplePos="0" relativeHeight="251685888" behindDoc="0" locked="0" layoutInCell="1" allowOverlap="1">
                <wp:simplePos x="0" y="0"/>
                <wp:positionH relativeFrom="column">
                  <wp:posOffset>6169660</wp:posOffset>
                </wp:positionH>
                <wp:positionV relativeFrom="paragraph">
                  <wp:posOffset>3062605</wp:posOffset>
                </wp:positionV>
                <wp:extent cx="114300" cy="121920"/>
                <wp:effectExtent l="4445" t="4445" r="14605" b="6985"/>
                <wp:wrapNone/>
                <wp:docPr id="28" name="椭圆 1880"/>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00B0F0"/>
                        </a:solidFill>
                        <a:ln w="9525" cap="flat" cmpd="sng">
                          <a:solidFill>
                            <a:srgbClr val="000000"/>
                          </a:solidFill>
                          <a:prstDash val="solid"/>
                          <a:headEnd type="none" w="med" len="med"/>
                          <a:tailEnd type="none" w="med" len="med"/>
                        </a:ln>
                      </wps:spPr>
                      <wps:bodyPr vert="horz" wrap="square" anchor="t" anchorCtr="0" upright="1"/>
                    </wps:wsp>
                  </a:graphicData>
                </a:graphic>
              </wp:anchor>
            </w:drawing>
          </mc:Choice>
          <mc:Fallback>
            <w:pict>
              <v:shape id="椭圆 1880" o:spid="_x0000_s1026" o:spt="3" type="#_x0000_t3" style="position:absolute;left:0pt;margin-left:485.8pt;margin-top:241.15pt;height:9.6pt;width:9pt;z-index:251685888;mso-width-relative:page;mso-height-relative:page;" fillcolor="#00B0F0" filled="t" stroked="t" coordsize="21600,21600" o:gfxdata="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Jyq6Ofd&#10;AAAACwEAAA8AAAAAAAAAAQAgAAAAIgAAAGRycy9kb3ducmV2LnhtbFBLAQIUABQAAAAIAIdO4kCF&#10;+MMqGwIAAE0EAAAOAAAAAAAAAAEAIAAAACwBAABkcnMvZTJvRG9jLnhtbFBLBQYAAAAABgAGAFkB&#10;AAC5BQ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687936" behindDoc="0" locked="0" layoutInCell="1" allowOverlap="1">
                <wp:simplePos x="0" y="0"/>
                <wp:positionH relativeFrom="column">
                  <wp:posOffset>3859530</wp:posOffset>
                </wp:positionH>
                <wp:positionV relativeFrom="paragraph">
                  <wp:posOffset>1261745</wp:posOffset>
                </wp:positionV>
                <wp:extent cx="114300" cy="121920"/>
                <wp:effectExtent l="4445" t="4445" r="14605" b="6985"/>
                <wp:wrapNone/>
                <wp:docPr id="30" name="椭圆 1883"/>
                <wp:cNvGraphicFramePr/>
                <a:graphic xmlns:a="http://schemas.openxmlformats.org/drawingml/2006/main">
                  <a:graphicData uri="http://schemas.microsoft.com/office/word/2010/wordprocessingShape">
                    <wps:wsp>
                      <wps:cNvSpPr/>
                      <wps:spPr>
                        <a:xfrm>
                          <a:off x="0" y="0"/>
                          <a:ext cx="114300" cy="121920"/>
                        </a:xfrm>
                        <a:prstGeom prst="ellipse">
                          <a:avLst/>
                        </a:prstGeom>
                        <a:solidFill>
                          <a:srgbClr val="00B0F0"/>
                        </a:solidFill>
                        <a:ln w="9525" cap="flat" cmpd="sng">
                          <a:solidFill>
                            <a:srgbClr val="000000"/>
                          </a:solidFill>
                          <a:prstDash val="solid"/>
                          <a:headEnd type="none" w="med" len="med"/>
                          <a:tailEnd type="none" w="med" len="med"/>
                        </a:ln>
                      </wps:spPr>
                      <wps:bodyPr wrap="square" upright="1"/>
                    </wps:wsp>
                  </a:graphicData>
                </a:graphic>
              </wp:anchor>
            </w:drawing>
          </mc:Choice>
          <mc:Fallback>
            <w:pict>
              <v:shape id="椭圆 1883" o:spid="_x0000_s1026" o:spt="3" type="#_x0000_t3" style="position:absolute;left:0pt;margin-left:303.9pt;margin-top:99.35pt;height:9.6pt;width:9pt;z-index:251687936;mso-width-relative:page;mso-height-relative:page;" fillcolor="#00B0F0" filled="t" stroked="t" coordsize="21600,21600" o:gfxdata="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ycwUi9wAAAALAQAADwAAAAAAAAABACAA&#10;AAAiAAAAZHJzL2Rvd25yZXYueG1sUEsBAhQAFAAAAAgAh07iQHnp6lcJAgAAKAQAAA4AAAAAAAAA&#10;AQAgAAAAKwEAAGRycy9lMm9Eb2MueG1sUEsFBgAAAAAGAAYAWQEAAKYFAAAAAA==&#10;">
                <v:fill on="t" focussize="0,0"/>
                <v:stroke color="#000000" joinstyle="round"/>
                <v:imagedata o:title=""/>
                <o:lock v:ext="edit" aspectratio="f"/>
              </v:shape>
            </w:pict>
          </mc:Fallback>
        </mc:AlternateContent>
      </w:r>
      <w:r>
        <w:rPr>
          <w:color w:val="auto"/>
          <w:sz w:val="18"/>
          <w:highlight w:val="none"/>
        </w:rPr>
        <mc:AlternateContent>
          <mc:Choice Requires="wps">
            <w:drawing>
              <wp:anchor distT="0" distB="0" distL="114300" distR="114300" simplePos="0" relativeHeight="251742208" behindDoc="0" locked="0" layoutInCell="1" allowOverlap="1">
                <wp:simplePos x="0" y="0"/>
                <wp:positionH relativeFrom="column">
                  <wp:posOffset>2324735</wp:posOffset>
                </wp:positionH>
                <wp:positionV relativeFrom="paragraph">
                  <wp:posOffset>956310</wp:posOffset>
                </wp:positionV>
                <wp:extent cx="190500" cy="180975"/>
                <wp:effectExtent l="3175" t="3175" r="15875" b="6350"/>
                <wp:wrapNone/>
                <wp:docPr id="74" name="直线 157"/>
                <wp:cNvGraphicFramePr/>
                <a:graphic xmlns:a="http://schemas.openxmlformats.org/drawingml/2006/main">
                  <a:graphicData uri="http://schemas.microsoft.com/office/word/2010/wordprocessingShape">
                    <wps:wsp>
                      <wps:cNvCnPr/>
                      <wps:spPr>
                        <a:xfrm>
                          <a:off x="0" y="0"/>
                          <a:ext cx="190500" cy="1809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7" o:spid="_x0000_s1026" o:spt="20" style="position:absolute;left:0pt;margin-left:183.05pt;margin-top:75.3pt;height:14.25pt;width:15pt;z-index:251742208;mso-width-relative:page;mso-height-relative:page;" filled="f" stroked="t" coordsize="21600,21600" o:gfxdata="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DQkMzXYAAAACwEAAA8AAAAAAAAAAQAgAAAAIgAAAGRycy9kb3ducmV2LnhtbFBLAQIUABQAAAAI&#10;AIdO4kCxV1po7QEAAOIDAAAOAAAAAAAAAAEAIAAAACcBAABkcnMvZTJvRG9jLnhtbFBLBQYAAAAA&#10;BgAGAFkBAACGBQAAAAA=&#10;">
                <v:fill on="f" focussize="0,0"/>
                <v:stroke color="#000000" joinstyle="round"/>
                <v:imagedata o:title=""/>
                <o:lock v:ext="edit" aspectratio="f"/>
              </v:line>
            </w:pict>
          </mc:Fallback>
        </mc:AlternateContent>
      </w:r>
      <w:r>
        <w:rPr>
          <w:color w:val="auto"/>
          <w:sz w:val="18"/>
          <w:highlight w:val="none"/>
        </w:rPr>
        <mc:AlternateContent>
          <mc:Choice Requires="wps">
            <w:drawing>
              <wp:anchor distT="0" distB="0" distL="114300" distR="114300" simplePos="0" relativeHeight="251741184" behindDoc="0" locked="0" layoutInCell="1" allowOverlap="1">
                <wp:simplePos x="0" y="0"/>
                <wp:positionH relativeFrom="column">
                  <wp:posOffset>5367655</wp:posOffset>
                </wp:positionH>
                <wp:positionV relativeFrom="paragraph">
                  <wp:posOffset>1220470</wp:posOffset>
                </wp:positionV>
                <wp:extent cx="138430" cy="154940"/>
                <wp:effectExtent l="3810" t="3175" r="10160" b="13335"/>
                <wp:wrapNone/>
                <wp:docPr id="73" name="直线 156"/>
                <wp:cNvGraphicFramePr/>
                <a:graphic xmlns:a="http://schemas.openxmlformats.org/drawingml/2006/main">
                  <a:graphicData uri="http://schemas.microsoft.com/office/word/2010/wordprocessingShape">
                    <wps:wsp>
                      <wps:cNvCnPr/>
                      <wps:spPr>
                        <a:xfrm>
                          <a:off x="0" y="0"/>
                          <a:ext cx="138430" cy="1549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56" o:spid="_x0000_s1026" o:spt="20" style="position:absolute;left:0pt;margin-left:422.65pt;margin-top:96.1pt;height:12.2pt;width:10.9pt;z-index:251741184;mso-width-relative:page;mso-height-relative:page;" filled="f" stroked="t" coordsize="21600,21600" o:gfxdata="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xWyvE2QAAAAsBAAAPAAAAAAAAAAEAIAAAACIAAABkcnMvZG93bnJldi54bWxQSwECFAAU&#10;AAAACACHTuJAQgivSfABAADiAwAADgAAAAAAAAABACAAAAAoAQAAZHJzL2Uyb0RvYy54bWxQSwUG&#10;AAAAAAYABgBZAQAAigUAAAAA&#10;">
                <v:fill on="f" focussize="0,0"/>
                <v:stroke color="#000000" joinstyle="round"/>
                <v:imagedata o:title=""/>
                <o:lock v:ext="edit" aspectratio="f"/>
              </v:line>
            </w:pict>
          </mc:Fallback>
        </mc:AlternateContent>
      </w:r>
      <w:r>
        <w:rPr>
          <w:color w:val="auto"/>
          <w:sz w:val="18"/>
          <w:highlight w:val="none"/>
        </w:rPr>
        <mc:AlternateContent>
          <mc:Choice Requires="wps">
            <w:drawing>
              <wp:anchor distT="0" distB="0" distL="114300" distR="114300" simplePos="0" relativeHeight="251704320" behindDoc="0" locked="0" layoutInCell="1" allowOverlap="1">
                <wp:simplePos x="0" y="0"/>
                <wp:positionH relativeFrom="column">
                  <wp:posOffset>2404745</wp:posOffset>
                </wp:positionH>
                <wp:positionV relativeFrom="paragraph">
                  <wp:posOffset>1049020</wp:posOffset>
                </wp:positionV>
                <wp:extent cx="158750" cy="270510"/>
                <wp:effectExtent l="5080" t="4445" r="10160" b="8255"/>
                <wp:wrapNone/>
                <wp:docPr id="50" name="矩形 1858"/>
                <wp:cNvGraphicFramePr/>
                <a:graphic xmlns:a="http://schemas.openxmlformats.org/drawingml/2006/main">
                  <a:graphicData uri="http://schemas.microsoft.com/office/word/2010/wordprocessingShape">
                    <wps:wsp>
                      <wps:cNvSpPr/>
                      <wps:spPr>
                        <a:xfrm rot="5400000">
                          <a:off x="0" y="0"/>
                          <a:ext cx="158750" cy="270510"/>
                        </a:xfrm>
                        <a:prstGeom prst="rect">
                          <a:avLst/>
                        </a:prstGeom>
                        <a:solidFill>
                          <a:srgbClr val="FF000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58" o:spid="_x0000_s1026" o:spt="1" style="position:absolute;left:0pt;margin-left:189.35pt;margin-top:82.6pt;height:21.3pt;width:12.5pt;rotation:5898240f;z-index:251704320;mso-width-relative:page;mso-height-relative:page;" fillcolor="#FF0000" filled="t" stroked="t" coordsize="21600,21600" o:gfxdata="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UkvUg2QAAAAsBAAAPAAAAAAAAAAEAIAAAACIAAABkcnMvZG93bnJldi54bWxQSwECFAAUAAAA&#10;CACHTuJAiOSKsiYCAABiBAAADgAAAAAAAAABACAAAAAoAQAAZHJzL2Uyb0RvYy54bWxQSwUGAAAA&#10;AAYABgBZAQAAwAUAAAAA&#10;">
                <v:fill on="t" focussize="0,0"/>
                <v:stroke color="#000000" joinstyle="miter"/>
                <v:imagedata o:title=""/>
                <o:lock v:ext="edit" aspectratio="f"/>
              </v:rect>
            </w:pict>
          </mc:Fallback>
        </mc:AlternateContent>
      </w:r>
      <w:r>
        <w:rPr>
          <w:color w:val="auto"/>
          <w:sz w:val="21"/>
          <w:highlight w:val="none"/>
        </w:rPr>
        <mc:AlternateContent>
          <mc:Choice Requires="wps">
            <w:drawing>
              <wp:anchor distT="0" distB="0" distL="114300" distR="114300" simplePos="0" relativeHeight="251737088" behindDoc="0" locked="0" layoutInCell="1" allowOverlap="1">
                <wp:simplePos x="0" y="0"/>
                <wp:positionH relativeFrom="column">
                  <wp:posOffset>6040755</wp:posOffset>
                </wp:positionH>
                <wp:positionV relativeFrom="paragraph">
                  <wp:posOffset>1488440</wp:posOffset>
                </wp:positionV>
                <wp:extent cx="723900" cy="316230"/>
                <wp:effectExtent l="0" t="0" r="0" b="0"/>
                <wp:wrapNone/>
                <wp:docPr id="69" name="文本框 151"/>
                <wp:cNvGraphicFramePr/>
                <a:graphic xmlns:a="http://schemas.openxmlformats.org/drawingml/2006/main">
                  <a:graphicData uri="http://schemas.microsoft.com/office/word/2010/wordprocessingShape">
                    <wps:wsp>
                      <wps:cNvSpPr txBox="1"/>
                      <wps:spPr>
                        <a:xfrm>
                          <a:off x="0" y="0"/>
                          <a:ext cx="723900" cy="316230"/>
                        </a:xfrm>
                        <a:prstGeom prst="rect">
                          <a:avLst/>
                        </a:prstGeom>
                        <a:noFill/>
                        <a:ln w="12700">
                          <a:noFill/>
                        </a:ln>
                      </wps:spPr>
                      <wps:txbx>
                        <w:txbxContent>
                          <w:p w14:paraId="019DBC2F">
                            <w:pPr>
                              <w:rPr>
                                <w:rFonts w:hint="default" w:eastAsia="宋体"/>
                                <w:b/>
                                <w:bCs/>
                                <w:color w:val="FF0000"/>
                                <w:sz w:val="15"/>
                                <w:szCs w:val="15"/>
                                <w:lang w:val="en-US" w:eastAsia="zh-CN"/>
                              </w:rPr>
                            </w:pPr>
                            <w:r>
                              <w:rPr>
                                <w:rFonts w:hint="eastAsia" w:ascii="Times New Roman" w:eastAsia="宋体"/>
                                <w:b/>
                                <w:bCs/>
                                <w:color w:val="FF0000"/>
                                <w:sz w:val="15"/>
                                <w:szCs w:val="15"/>
                                <w:lang w:val="en-US" w:eastAsia="zh-CN"/>
                              </w:rPr>
                              <w:t>综合楼</w:t>
                            </w:r>
                          </w:p>
                        </w:txbxContent>
                      </wps:txbx>
                      <wps:bodyPr wrap="square" upright="0"/>
                    </wps:wsp>
                  </a:graphicData>
                </a:graphic>
              </wp:anchor>
            </w:drawing>
          </mc:Choice>
          <mc:Fallback>
            <w:pict>
              <v:shape id="文本框 151" o:spid="_x0000_s1026" o:spt="202" type="#_x0000_t202" style="position:absolute;left:0pt;margin-left:475.65pt;margin-top:117.2pt;height:24.9pt;width:57pt;z-index:251737088;mso-width-relative:page;mso-height-relative:page;" filled="f" stroked="f" coordsize="21600,21600" o:gfxdata="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rFnUttoAAAAMAQAADwAAAAAAAAABACAAAAAiAAAAZHJzL2Rvd25yZXYu&#10;eG1sUEsBAhQAFAAAAAgAh07iQPJx6/zAAQAAaAMAAA4AAAAAAAAAAQAgAAAAKQEAAGRycy9lMm9E&#10;b2MueG1sUEsFBgAAAAAGAAYAWQEAAFsFAAAAAA==&#10;">
                <v:fill on="f" focussize="0,0"/>
                <v:stroke on="f" weight="1pt"/>
                <v:imagedata o:title=""/>
                <o:lock v:ext="edit" aspectratio="f"/>
                <v:textbox>
                  <w:txbxContent>
                    <w:p w14:paraId="019DBC2F">
                      <w:pPr>
                        <w:rPr>
                          <w:rFonts w:hint="default" w:eastAsia="宋体"/>
                          <w:b/>
                          <w:bCs/>
                          <w:color w:val="FF0000"/>
                          <w:sz w:val="15"/>
                          <w:szCs w:val="15"/>
                          <w:lang w:val="en-US" w:eastAsia="zh-CN"/>
                        </w:rPr>
                      </w:pPr>
                      <w:r>
                        <w:rPr>
                          <w:rFonts w:hint="eastAsia" w:ascii="Times New Roman" w:eastAsia="宋体"/>
                          <w:b/>
                          <w:bCs/>
                          <w:color w:val="FF0000"/>
                          <w:sz w:val="15"/>
                          <w:szCs w:val="15"/>
                          <w:lang w:val="en-US" w:eastAsia="zh-CN"/>
                        </w:rPr>
                        <w:t>综合楼</w:t>
                      </w:r>
                    </w:p>
                  </w:txbxContent>
                </v:textbox>
              </v:shape>
            </w:pict>
          </mc:Fallback>
        </mc:AlternateContent>
      </w:r>
      <w:r>
        <w:rPr>
          <w:color w:val="auto"/>
          <w:sz w:val="21"/>
          <w:highlight w:val="none"/>
        </w:rPr>
        <mc:AlternateContent>
          <mc:Choice Requires="wps">
            <w:drawing>
              <wp:anchor distT="0" distB="0" distL="114300" distR="114300" simplePos="0" relativeHeight="251736064" behindDoc="0" locked="0" layoutInCell="1" allowOverlap="1">
                <wp:simplePos x="0" y="0"/>
                <wp:positionH relativeFrom="column">
                  <wp:posOffset>5871845</wp:posOffset>
                </wp:positionH>
                <wp:positionV relativeFrom="paragraph">
                  <wp:posOffset>3107690</wp:posOffset>
                </wp:positionV>
                <wp:extent cx="723900" cy="316230"/>
                <wp:effectExtent l="0" t="0" r="0" b="0"/>
                <wp:wrapNone/>
                <wp:docPr id="68" name="文本框 150"/>
                <wp:cNvGraphicFramePr/>
                <a:graphic xmlns:a="http://schemas.openxmlformats.org/drawingml/2006/main">
                  <a:graphicData uri="http://schemas.microsoft.com/office/word/2010/wordprocessingShape">
                    <wps:wsp>
                      <wps:cNvSpPr txBox="1"/>
                      <wps:spPr>
                        <a:xfrm>
                          <a:off x="0" y="0"/>
                          <a:ext cx="723900" cy="316230"/>
                        </a:xfrm>
                        <a:prstGeom prst="rect">
                          <a:avLst/>
                        </a:prstGeom>
                        <a:noFill/>
                        <a:ln w="12700">
                          <a:noFill/>
                        </a:ln>
                      </wps:spPr>
                      <wps:txbx>
                        <w:txbxContent>
                          <w:p w14:paraId="247FE381">
                            <w:pPr>
                              <w:rPr>
                                <w:rFonts w:hint="default" w:eastAsia="宋体"/>
                                <w:b/>
                                <w:bCs/>
                                <w:color w:val="FF0000"/>
                                <w:sz w:val="15"/>
                                <w:szCs w:val="15"/>
                                <w:lang w:val="en-US" w:eastAsia="zh-CN"/>
                              </w:rPr>
                            </w:pPr>
                            <w:r>
                              <w:rPr>
                                <w:rFonts w:hint="eastAsia" w:ascii="Times New Roman" w:eastAsia="宋体"/>
                                <w:b/>
                                <w:bCs/>
                                <w:color w:val="FF0000"/>
                                <w:sz w:val="15"/>
                                <w:szCs w:val="15"/>
                                <w:lang w:val="en-US" w:eastAsia="zh-CN"/>
                              </w:rPr>
                              <w:t>宿舍楼</w:t>
                            </w:r>
                          </w:p>
                        </w:txbxContent>
                      </wps:txbx>
                      <wps:bodyPr wrap="square" upright="0"/>
                    </wps:wsp>
                  </a:graphicData>
                </a:graphic>
              </wp:anchor>
            </w:drawing>
          </mc:Choice>
          <mc:Fallback>
            <w:pict>
              <v:shape id="文本框 150" o:spid="_x0000_s1026" o:spt="202" type="#_x0000_t202" style="position:absolute;left:0pt;margin-left:462.35pt;margin-top:244.7pt;height:24.9pt;width:57pt;z-index:251736064;mso-width-relative:page;mso-height-relative:page;" filled="f" stroked="f" coordsize="21600,21600" o:gfxdata="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lpI+2gAAAAwBAAAPAAAAAAAAAAEAIAAAACIAAABkcnMvZG93bnJldi54&#10;bWxQSwECFAAUAAAACACHTuJAHhg9bL8BAABoAwAADgAAAAAAAAABACAAAAApAQAAZHJzL2Uyb0Rv&#10;Yy54bWxQSwUGAAAAAAYABgBZAQAAWgUAAAAA&#10;">
                <v:fill on="f" focussize="0,0"/>
                <v:stroke on="f" weight="1pt"/>
                <v:imagedata o:title=""/>
                <o:lock v:ext="edit" aspectratio="f"/>
                <v:textbox>
                  <w:txbxContent>
                    <w:p w14:paraId="247FE381">
                      <w:pPr>
                        <w:rPr>
                          <w:rFonts w:hint="default" w:eastAsia="宋体"/>
                          <w:b/>
                          <w:bCs/>
                          <w:color w:val="FF0000"/>
                          <w:sz w:val="15"/>
                          <w:szCs w:val="15"/>
                          <w:lang w:val="en-US" w:eastAsia="zh-CN"/>
                        </w:rPr>
                      </w:pPr>
                      <w:r>
                        <w:rPr>
                          <w:rFonts w:hint="eastAsia" w:ascii="Times New Roman" w:eastAsia="宋体"/>
                          <w:b/>
                          <w:bCs/>
                          <w:color w:val="FF0000"/>
                          <w:sz w:val="15"/>
                          <w:szCs w:val="15"/>
                          <w:lang w:val="en-US" w:eastAsia="zh-CN"/>
                        </w:rPr>
                        <w:t>宿舍楼</w:t>
                      </w:r>
                    </w:p>
                  </w:txbxContent>
                </v:textbox>
              </v:shape>
            </w:pict>
          </mc:Fallback>
        </mc:AlternateContent>
      </w:r>
      <w:bookmarkEnd w:id="70"/>
      <w:r>
        <w:rPr>
          <w:color w:val="auto"/>
          <w:highlight w:val="none"/>
        </w:rPr>
        <w:drawing>
          <wp:inline distT="0" distB="0" distL="114300" distR="114300">
            <wp:extent cx="7527290" cy="5088255"/>
            <wp:effectExtent l="0" t="0" r="16510" b="17145"/>
            <wp:docPr id="176"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670"/>
                    <pic:cNvPicPr>
                      <a:picLocks noChangeAspect="1"/>
                    </pic:cNvPicPr>
                  </pic:nvPicPr>
                  <pic:blipFill>
                    <a:blip r:embed="rId66"/>
                    <a:stretch>
                      <a:fillRect/>
                    </a:stretch>
                  </pic:blipFill>
                  <pic:spPr>
                    <a:xfrm>
                      <a:off x="0" y="0"/>
                      <a:ext cx="7527290" cy="5088255"/>
                    </a:xfrm>
                    <a:prstGeom prst="rect">
                      <a:avLst/>
                    </a:prstGeom>
                    <a:noFill/>
                    <a:ln>
                      <a:noFill/>
                    </a:ln>
                  </pic:spPr>
                </pic:pic>
              </a:graphicData>
            </a:graphic>
          </wp:inline>
        </w:drawing>
      </w:r>
    </w:p>
    <w:p w14:paraId="0776D91B">
      <w:pPr>
        <w:spacing w:after="0" w:line="240" w:lineRule="auto"/>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1" w:name="_Toc1343"/>
      <w:r>
        <w:rPr>
          <w:rFonts w:hint="default" w:ascii="Times New Roman" w:hAnsi="Times New Roman" w:eastAsia="宋体" w:cs="Times New Roman"/>
          <w:b/>
          <w:bCs/>
          <w:color w:val="auto"/>
          <w:kern w:val="0"/>
          <w:sz w:val="24"/>
          <w:szCs w:val="20"/>
          <w:highlight w:val="none"/>
          <w:lang w:val="en-US" w:eastAsia="zh-CN" w:bidi="ar-SA"/>
        </w:rPr>
        <w:t>附图</w:t>
      </w:r>
      <w:r>
        <w:rPr>
          <w:rFonts w:hint="eastAsia" w:ascii="Times New Roman" w:hAnsi="Times New Roman" w:eastAsia="宋体" w:cs="Times New Roman"/>
          <w:b/>
          <w:bCs/>
          <w:color w:val="auto"/>
          <w:kern w:val="0"/>
          <w:sz w:val="24"/>
          <w:szCs w:val="20"/>
          <w:highlight w:val="none"/>
          <w:lang w:val="en-US" w:eastAsia="zh-CN" w:bidi="ar-SA"/>
        </w:rPr>
        <w:t>4</w:t>
      </w:r>
      <w:r>
        <w:rPr>
          <w:rFonts w:hint="default" w:ascii="Times New Roman" w:hAnsi="Times New Roman" w:eastAsia="宋体" w:cs="Times New Roman"/>
          <w:b/>
          <w:bCs/>
          <w:color w:val="auto"/>
          <w:kern w:val="0"/>
          <w:sz w:val="24"/>
          <w:szCs w:val="20"/>
          <w:highlight w:val="none"/>
          <w:lang w:val="en-US" w:eastAsia="zh-CN" w:bidi="ar-SA"/>
        </w:rPr>
        <w:t xml:space="preserve"> 项目</w:t>
      </w:r>
      <w:r>
        <w:rPr>
          <w:rFonts w:hint="eastAsia" w:ascii="Times New Roman" w:hAnsi="Times New Roman" w:eastAsia="宋体" w:cs="Times New Roman"/>
          <w:b/>
          <w:bCs/>
          <w:color w:val="auto"/>
          <w:kern w:val="0"/>
          <w:sz w:val="24"/>
          <w:szCs w:val="20"/>
          <w:highlight w:val="none"/>
          <w:lang w:val="en-US" w:eastAsia="zh-CN" w:bidi="ar-SA"/>
        </w:rPr>
        <w:t>总</w:t>
      </w:r>
      <w:r>
        <w:rPr>
          <w:rFonts w:hint="default" w:ascii="Times New Roman" w:hAnsi="Times New Roman" w:eastAsia="宋体" w:cs="Times New Roman"/>
          <w:b/>
          <w:bCs/>
          <w:color w:val="auto"/>
          <w:kern w:val="0"/>
          <w:sz w:val="24"/>
          <w:szCs w:val="20"/>
          <w:highlight w:val="none"/>
          <w:lang w:val="en-US" w:eastAsia="zh-CN" w:bidi="ar-SA"/>
        </w:rPr>
        <w:t>平面布置图</w:t>
      </w:r>
      <w:bookmarkEnd w:id="71"/>
    </w:p>
    <w:p w14:paraId="26983EB6">
      <w:pPr>
        <w:widowControl/>
        <w:snapToGrid w:val="0"/>
        <w:spacing w:before="60" w:after="0" w:line="240" w:lineRule="auto"/>
        <w:ind w:right="113"/>
        <w:jc w:val="center"/>
        <w:rPr>
          <w:rFonts w:hint="default" w:ascii="Times New Roman" w:hAnsi="Times New Roman" w:eastAsia="宋体" w:cs="Times New Roman"/>
          <w:b/>
          <w:bCs/>
          <w:color w:val="auto"/>
          <w:kern w:val="0"/>
          <w:sz w:val="24"/>
          <w:szCs w:val="20"/>
          <w:highlight w:val="none"/>
          <w:lang w:val="en-US" w:eastAsia="zh-CN" w:bidi="ar-SA"/>
        </w:rPr>
      </w:pP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899160</wp:posOffset>
                </wp:positionH>
                <wp:positionV relativeFrom="paragraph">
                  <wp:posOffset>1364615</wp:posOffset>
                </wp:positionV>
                <wp:extent cx="3726180" cy="762000"/>
                <wp:effectExtent l="6350" t="6350" r="20320" b="12700"/>
                <wp:wrapNone/>
                <wp:docPr id="16" name="矩形 1856"/>
                <wp:cNvGraphicFramePr/>
                <a:graphic xmlns:a="http://schemas.openxmlformats.org/drawingml/2006/main">
                  <a:graphicData uri="http://schemas.microsoft.com/office/word/2010/wordprocessingShape">
                    <wps:wsp>
                      <wps:cNvSpPr/>
                      <wps:spPr>
                        <a:xfrm>
                          <a:off x="0" y="0"/>
                          <a:ext cx="3726180" cy="762000"/>
                        </a:xfrm>
                        <a:prstGeom prst="rect">
                          <a:avLst/>
                        </a:prstGeom>
                        <a:noFill/>
                        <a:ln w="12700" cap="flat" cmpd="sng">
                          <a:solidFill>
                            <a:srgbClr val="FF0000"/>
                          </a:solidFill>
                          <a:prstDash val="solid"/>
                          <a:miter/>
                          <a:headEnd type="none" w="med" len="med"/>
                          <a:tailEnd type="none" w="med" len="med"/>
                        </a:ln>
                      </wps:spPr>
                      <wps:bodyPr vert="horz" wrap="square" anchor="t" anchorCtr="0" upright="1"/>
                    </wps:wsp>
                  </a:graphicData>
                </a:graphic>
              </wp:anchor>
            </w:drawing>
          </mc:Choice>
          <mc:Fallback>
            <w:pict>
              <v:rect id="矩形 1856" o:spid="_x0000_s1026" o:spt="1" style="position:absolute;left:0pt;margin-left:70.8pt;margin-top:107.45pt;height:60pt;width:293.4pt;z-index:251673600;mso-width-relative:page;mso-height-relative:page;" filled="f" stroked="t" coordsize="21600,21600" o:gfxdata="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2F3Pa2gAAAAsBAAAP&#10;AAAAAAAAAAEAIAAAACIAAABkcnMvZG93bnJldi54bWxQSwECFAAUAAAACACHTuJAE2eH9hYCAAAt&#10;BAAADgAAAAAAAAABACAAAAApAQAAZHJzL2Uyb0RvYy54bWxQSwUGAAAAAAYABgBZAQAAsQUAAAAA&#10;">
                <v:fill on="f" focussize="0,0"/>
                <v:stroke weight="1pt" color="#FF0000" joinstyle="miter"/>
                <v:imagedata o:title=""/>
                <o:lock v:ext="edit" aspectratio="f"/>
              </v:rect>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4864" behindDoc="0" locked="0" layoutInCell="1" allowOverlap="1">
                <wp:simplePos x="0" y="0"/>
                <wp:positionH relativeFrom="column">
                  <wp:posOffset>840740</wp:posOffset>
                </wp:positionH>
                <wp:positionV relativeFrom="paragraph">
                  <wp:posOffset>283210</wp:posOffset>
                </wp:positionV>
                <wp:extent cx="1151255" cy="338455"/>
                <wp:effectExtent l="4445" t="4445" r="6350" b="19050"/>
                <wp:wrapNone/>
                <wp:docPr id="27" name="文本框 1876"/>
                <wp:cNvGraphicFramePr/>
                <a:graphic xmlns:a="http://schemas.openxmlformats.org/drawingml/2006/main">
                  <a:graphicData uri="http://schemas.microsoft.com/office/word/2010/wordprocessingShape">
                    <wps:wsp>
                      <wps:cNvSpPr txBox="1"/>
                      <wps:spPr>
                        <a:xfrm>
                          <a:off x="0" y="0"/>
                          <a:ext cx="1151255" cy="33845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F3E52FA">
                            <w:pPr>
                              <w:rPr>
                                <w:rFonts w:hint="default" w:eastAsia="宋体"/>
                                <w:b/>
                                <w:bCs/>
                                <w:highlight w:val="yellow"/>
                                <w:lang w:val="en-US" w:eastAsia="zh-CN"/>
                              </w:rPr>
                            </w:pPr>
                            <w:r>
                              <w:rPr>
                                <w:rFonts w:hint="eastAsia" w:ascii="Times New Roman" w:eastAsia="宋体"/>
                                <w:b/>
                                <w:bCs/>
                                <w:highlight w:val="yellow"/>
                                <w:lang w:val="en-US" w:eastAsia="zh-CN"/>
                              </w:rPr>
                              <w:t>自建污水处理站</w:t>
                            </w:r>
                          </w:p>
                        </w:txbxContent>
                      </wps:txbx>
                      <wps:bodyPr wrap="square" upright="1"/>
                    </wps:wsp>
                  </a:graphicData>
                </a:graphic>
              </wp:anchor>
            </w:drawing>
          </mc:Choice>
          <mc:Fallback>
            <w:pict>
              <v:shape id="文本框 1876" o:spid="_x0000_s1026" o:spt="202" type="#_x0000_t202" style="position:absolute;left:0pt;margin-left:66.2pt;margin-top:22.3pt;height:26.65pt;width:90.65pt;z-index:251684864;mso-width-relative:page;mso-height-relative:page;" fillcolor="#FFFFFF" filled="t" stroked="t" coordsize="21600,21600" o:gfxdata="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HrpUedkAAAAJAQAA&#10;DwAAAAAAAAABACAAAAAiAAAAZHJzL2Rvd25yZXYueG1sUEsBAhQAFAAAAAgAh07iQGVsXPAYAgAA&#10;SAQAAA4AAAAAAAAAAQAgAAAAKAEAAGRycy9lMm9Eb2MueG1sUEsFBgAAAAAGAAYAWQEAALIFAAAA&#10;AA==&#10;">
                <v:fill on="t" focussize="0,0"/>
                <v:stroke color="#000000" joinstyle="miter"/>
                <v:imagedata o:title=""/>
                <o:lock v:ext="edit" aspectratio="f"/>
                <v:textbox>
                  <w:txbxContent>
                    <w:p w14:paraId="2F3E52FA">
                      <w:pPr>
                        <w:rPr>
                          <w:rFonts w:hint="default" w:eastAsia="宋体"/>
                          <w:b/>
                          <w:bCs/>
                          <w:highlight w:val="yellow"/>
                          <w:lang w:val="en-US" w:eastAsia="zh-CN"/>
                        </w:rPr>
                      </w:pPr>
                      <w:r>
                        <w:rPr>
                          <w:rFonts w:hint="eastAsia" w:ascii="Times New Roman" w:eastAsia="宋体"/>
                          <w:b/>
                          <w:bCs/>
                          <w:highlight w:val="yellow"/>
                          <w:lang w:val="en-US" w:eastAsia="zh-CN"/>
                        </w:rPr>
                        <w:t>自建污水处理站</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3840" behindDoc="0" locked="0" layoutInCell="1" allowOverlap="1">
                <wp:simplePos x="0" y="0"/>
                <wp:positionH relativeFrom="column">
                  <wp:posOffset>285115</wp:posOffset>
                </wp:positionH>
                <wp:positionV relativeFrom="paragraph">
                  <wp:posOffset>539750</wp:posOffset>
                </wp:positionV>
                <wp:extent cx="568960" cy="434340"/>
                <wp:effectExtent l="3175" t="3810" r="18415" b="19050"/>
                <wp:wrapNone/>
                <wp:docPr id="26" name="直线 1877"/>
                <wp:cNvGraphicFramePr/>
                <a:graphic xmlns:a="http://schemas.openxmlformats.org/drawingml/2006/main">
                  <a:graphicData uri="http://schemas.microsoft.com/office/word/2010/wordprocessingShape">
                    <wps:wsp>
                      <wps:cNvCnPr/>
                      <wps:spPr>
                        <a:xfrm flipV="1">
                          <a:off x="0" y="0"/>
                          <a:ext cx="568960" cy="4343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877" o:spid="_x0000_s1026" o:spt="20" style="position:absolute;left:0pt;flip:y;margin-left:22.45pt;margin-top:42.5pt;height:34.2pt;width:44.8pt;z-index:251683840;mso-width-relative:page;mso-height-relative:page;" filled="f" stroked="t" coordsize="21600,21600" o:gfxdata="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rymGn2AAAAAkBAAAPAAAAAAAAAAEAIAAAACIAAABkcnMvZG93bnJldi54bWxQ&#10;SwECFAAUAAAACACHTuJAJtSiBPcBAADtAwAADgAAAAAAAAABACAAAAAnAQAAZHJzL2Uyb0RvYy54&#10;bWxQSwUGAAAAAAYABgBZAQAAkAUAAAAA&#10;">
                <v:fill on="f" focussize="0,0"/>
                <v:stroke color="#000000" joinstyle="round"/>
                <v:imagedata o:title=""/>
                <o:lock v:ext="edit" aspectratio="f"/>
              </v:lin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2816" behindDoc="0" locked="0" layoutInCell="1" allowOverlap="1">
                <wp:simplePos x="0" y="0"/>
                <wp:positionH relativeFrom="column">
                  <wp:posOffset>206375</wp:posOffset>
                </wp:positionH>
                <wp:positionV relativeFrom="paragraph">
                  <wp:posOffset>980440</wp:posOffset>
                </wp:positionV>
                <wp:extent cx="215900" cy="444500"/>
                <wp:effectExtent l="4445" t="4445" r="8255" b="8255"/>
                <wp:wrapNone/>
                <wp:docPr id="25" name="矩形 1875"/>
                <wp:cNvGraphicFramePr/>
                <a:graphic xmlns:a="http://schemas.openxmlformats.org/drawingml/2006/main">
                  <a:graphicData uri="http://schemas.microsoft.com/office/word/2010/wordprocessingShape">
                    <wps:wsp>
                      <wps:cNvSpPr/>
                      <wps:spPr>
                        <a:xfrm rot="10800000">
                          <a:off x="0" y="0"/>
                          <a:ext cx="215900" cy="444500"/>
                        </a:xfrm>
                        <a:prstGeom prst="rect">
                          <a:avLst/>
                        </a:prstGeom>
                        <a:solidFill>
                          <a:srgbClr val="0070C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75" o:spid="_x0000_s1026" o:spt="1" style="position:absolute;left:0pt;margin-left:16.25pt;margin-top:77.2pt;height:35pt;width:17pt;rotation:11796480f;z-index:251682816;mso-width-relative:page;mso-height-relative:page;" fillcolor="#0070C0" filled="t" stroked="t" coordsize="21600,21600" o:gfxdata="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LrKrndgAAAAJAQAADwAAAAAAAAABACAAAAAiAAAAZHJzL2Rvd25yZXYueG1sUEsBAhQAFAAAAAgA&#10;h07iQELG380lAgAAYwQAAA4AAAAAAAAAAQAgAAAAJwEAAGRycy9lMm9Eb2MueG1sUEsFBgAAAAAG&#10;AAYAWQEAAL4FAAAAAA==&#10;">
                <v:fill on="t" focussize="0,0"/>
                <v:stroke color="#000000" joinstyle="miter"/>
                <v:imagedata o:title=""/>
                <o:lock v:ext="edit" aspectratio="f"/>
              </v:rect>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80768" behindDoc="0" locked="0" layoutInCell="1" allowOverlap="1">
                <wp:simplePos x="0" y="0"/>
                <wp:positionH relativeFrom="column">
                  <wp:posOffset>7249160</wp:posOffset>
                </wp:positionH>
                <wp:positionV relativeFrom="paragraph">
                  <wp:posOffset>189230</wp:posOffset>
                </wp:positionV>
                <wp:extent cx="596265" cy="307975"/>
                <wp:effectExtent l="4445" t="4445" r="8890" b="11430"/>
                <wp:wrapNone/>
                <wp:docPr id="23" name="文本框 1865"/>
                <wp:cNvGraphicFramePr/>
                <a:graphic xmlns:a="http://schemas.openxmlformats.org/drawingml/2006/main">
                  <a:graphicData uri="http://schemas.microsoft.com/office/word/2010/wordprocessingShape">
                    <wps:wsp>
                      <wps:cNvSpPr txBox="1"/>
                      <wps:spPr>
                        <a:xfrm>
                          <a:off x="0" y="0"/>
                          <a:ext cx="596265" cy="3079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DA2DF1">
                            <w:pPr>
                              <w:rPr>
                                <w:rFonts w:hint="default" w:eastAsia="宋体"/>
                                <w:b/>
                                <w:bCs/>
                                <w:highlight w:val="yellow"/>
                                <w:lang w:val="en-US" w:eastAsia="zh-CN"/>
                              </w:rPr>
                            </w:pPr>
                            <w:r>
                              <w:rPr>
                                <w:rFonts w:hint="eastAsia" w:ascii="Times New Roman" w:eastAsia="宋体"/>
                                <w:b/>
                                <w:bCs/>
                                <w:highlight w:val="yellow"/>
                                <w:lang w:val="en-US" w:eastAsia="zh-CN"/>
                              </w:rPr>
                              <w:t>危废仓</w:t>
                            </w:r>
                          </w:p>
                        </w:txbxContent>
                      </wps:txbx>
                      <wps:bodyPr wrap="square" upright="1"/>
                    </wps:wsp>
                  </a:graphicData>
                </a:graphic>
              </wp:anchor>
            </w:drawing>
          </mc:Choice>
          <mc:Fallback>
            <w:pict>
              <v:shape id="文本框 1865" o:spid="_x0000_s1026" o:spt="202" type="#_x0000_t202" style="position:absolute;left:0pt;margin-left:570.8pt;margin-top:14.9pt;height:24.25pt;width:46.95pt;z-index:251680768;mso-width-relative:page;mso-height-relative:page;" fillcolor="#FFFFFF" filled="t" stroked="t" coordsize="21600,21600" o:gfxdata="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x6aKD2gAAAAsB&#10;AAAPAAAAAAAAAAEAIAAAACIAAABkcnMvZG93bnJldi54bWxQSwECFAAUAAAACACHTuJA82sV5BkC&#10;AABHBAAADgAAAAAAAAABACAAAAApAQAAZHJzL2Uyb0RvYy54bWxQSwUGAAAAAAYABgBZAQAAtAUA&#10;AAAA&#10;">
                <v:fill on="t" focussize="0,0"/>
                <v:stroke color="#000000" joinstyle="miter"/>
                <v:imagedata o:title=""/>
                <o:lock v:ext="edit" aspectratio="f"/>
                <v:textbox>
                  <w:txbxContent>
                    <w:p w14:paraId="25DA2DF1">
                      <w:pPr>
                        <w:rPr>
                          <w:rFonts w:hint="default" w:eastAsia="宋体"/>
                          <w:b/>
                          <w:bCs/>
                          <w:highlight w:val="yellow"/>
                          <w:lang w:val="en-US" w:eastAsia="zh-CN"/>
                        </w:rPr>
                      </w:pPr>
                      <w:r>
                        <w:rPr>
                          <w:rFonts w:hint="eastAsia" w:ascii="Times New Roman" w:eastAsia="宋体"/>
                          <w:b/>
                          <w:bCs/>
                          <w:highlight w:val="yellow"/>
                          <w:lang w:val="en-US" w:eastAsia="zh-CN"/>
                        </w:rPr>
                        <w:t>危废仓</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02272" behindDoc="0" locked="0" layoutInCell="1" allowOverlap="1">
                <wp:simplePos x="0" y="0"/>
                <wp:positionH relativeFrom="column">
                  <wp:posOffset>7162165</wp:posOffset>
                </wp:positionH>
                <wp:positionV relativeFrom="paragraph">
                  <wp:posOffset>654050</wp:posOffset>
                </wp:positionV>
                <wp:extent cx="390525" cy="342900"/>
                <wp:effectExtent l="3175" t="3810" r="6350" b="15240"/>
                <wp:wrapNone/>
                <wp:docPr id="48" name="直线 1866"/>
                <wp:cNvGraphicFramePr/>
                <a:graphic xmlns:a="http://schemas.openxmlformats.org/drawingml/2006/main">
                  <a:graphicData uri="http://schemas.microsoft.com/office/word/2010/wordprocessingShape">
                    <wps:wsp>
                      <wps:cNvCnPr/>
                      <wps:spPr>
                        <a:xfrm flipH="1" flipV="1">
                          <a:off x="0" y="0"/>
                          <a:ext cx="390525" cy="3429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866" o:spid="_x0000_s1026" o:spt="20" style="position:absolute;left:0pt;flip:x y;margin-left:563.95pt;margin-top:51.5pt;height:27pt;width:30.75pt;z-index:251702272;mso-width-relative:page;mso-height-relative:page;" filled="f" stroked="t" coordsize="21600,21600" o:gfxdata="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5Sak3VAAAADQEAAA8AAAAAAAAAAQAgAAAAIgAAAGRycy9kb3ducmV2Lnht&#10;bFBLAQIUABQAAAAIAIdO4kAkYPND/AEAAPcDAAAOAAAAAAAAAAEAIAAAACQBAABkcnMvZTJvRG9j&#10;LnhtbFBLBQYAAAAABgAGAFkBAACSBQAAAAA=&#10;">
                <v:fill on="f" focussize="0,0"/>
                <v:stroke color="#000000" joinstyle="round"/>
                <v:imagedata o:title=""/>
                <o:lock v:ext="edit" aspectratio="f"/>
              </v:lin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03296" behindDoc="0" locked="0" layoutInCell="1" allowOverlap="1">
                <wp:simplePos x="0" y="0"/>
                <wp:positionH relativeFrom="column">
                  <wp:posOffset>6574790</wp:posOffset>
                </wp:positionH>
                <wp:positionV relativeFrom="paragraph">
                  <wp:posOffset>511810</wp:posOffset>
                </wp:positionV>
                <wp:extent cx="595630" cy="290830"/>
                <wp:effectExtent l="4445" t="5080" r="9525" b="8890"/>
                <wp:wrapNone/>
                <wp:docPr id="49" name="文本框 1865"/>
                <wp:cNvGraphicFramePr/>
                <a:graphic xmlns:a="http://schemas.openxmlformats.org/drawingml/2006/main">
                  <a:graphicData uri="http://schemas.microsoft.com/office/word/2010/wordprocessingShape">
                    <wps:wsp>
                      <wps:cNvSpPr txBox="1"/>
                      <wps:spPr>
                        <a:xfrm>
                          <a:off x="0" y="0"/>
                          <a:ext cx="595630" cy="2908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71F61FC">
                            <w:pPr>
                              <w:rPr>
                                <w:rFonts w:hint="default" w:eastAsia="宋体"/>
                                <w:b/>
                                <w:bCs/>
                                <w:highlight w:val="yellow"/>
                                <w:lang w:val="en-US" w:eastAsia="zh-CN"/>
                              </w:rPr>
                            </w:pPr>
                            <w:r>
                              <w:rPr>
                                <w:rFonts w:hint="eastAsia" w:ascii="Times New Roman" w:eastAsia="宋体"/>
                                <w:b/>
                                <w:bCs/>
                                <w:highlight w:val="yellow"/>
                                <w:lang w:val="en-US" w:eastAsia="zh-CN"/>
                              </w:rPr>
                              <w:t>固废仓</w:t>
                            </w:r>
                          </w:p>
                        </w:txbxContent>
                      </wps:txbx>
                      <wps:bodyPr vert="horz" wrap="square" anchor="t" anchorCtr="0" upright="1"/>
                    </wps:wsp>
                  </a:graphicData>
                </a:graphic>
              </wp:anchor>
            </w:drawing>
          </mc:Choice>
          <mc:Fallback>
            <w:pict>
              <v:shape id="文本框 1865" o:spid="_x0000_s1026" o:spt="202" type="#_x0000_t202" style="position:absolute;left:0pt;margin-left:517.7pt;margin-top:40.3pt;height:22.9pt;width:46.9pt;z-index:251703296;mso-width-relative:page;mso-height-relative:page;" fillcolor="#FFFFFF" filled="t" stroked="t" coordsize="21600,21600" o:gfxdata="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C4ffQ2gAAAAwBAAAPAAAAAAAAAAEAIAAAACIAAABkcnMvZG93bnJldi54bWxQSwEC&#10;FAAUAAAACACHTuJAuwZiyisCAABsBAAADgAAAAAAAAABACAAAAApAQAAZHJzL2Uyb0RvYy54bWxQ&#10;SwUGAAAAAAYABgBZAQAAxgUAAAAA&#10;">
                <v:fill on="t" focussize="0,0"/>
                <v:stroke color="#000000" joinstyle="miter"/>
                <v:imagedata o:title=""/>
                <o:lock v:ext="edit" aspectratio="f"/>
                <v:textbox>
                  <w:txbxContent>
                    <w:p w14:paraId="471F61FC">
                      <w:pPr>
                        <w:rPr>
                          <w:rFonts w:hint="default" w:eastAsia="宋体"/>
                          <w:b/>
                          <w:bCs/>
                          <w:highlight w:val="yellow"/>
                          <w:lang w:val="en-US" w:eastAsia="zh-CN"/>
                        </w:rPr>
                      </w:pPr>
                      <w:r>
                        <w:rPr>
                          <w:rFonts w:hint="eastAsia" w:ascii="Times New Roman" w:eastAsia="宋体"/>
                          <w:b/>
                          <w:bCs/>
                          <w:highlight w:val="yellow"/>
                          <w:lang w:val="en-US" w:eastAsia="zh-CN"/>
                        </w:rPr>
                        <w:t>固废仓</w:t>
                      </w:r>
                    </w:p>
                  </w:txbxContent>
                </v:textbox>
              </v:shap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9744" behindDoc="0" locked="0" layoutInCell="1" allowOverlap="1">
                <wp:simplePos x="0" y="0"/>
                <wp:positionH relativeFrom="column">
                  <wp:posOffset>7694930</wp:posOffset>
                </wp:positionH>
                <wp:positionV relativeFrom="paragraph">
                  <wp:posOffset>501650</wp:posOffset>
                </wp:positionV>
                <wp:extent cx="268605" cy="495300"/>
                <wp:effectExtent l="4445" t="2540" r="12700" b="16510"/>
                <wp:wrapNone/>
                <wp:docPr id="22" name="直线 1866"/>
                <wp:cNvGraphicFramePr/>
                <a:graphic xmlns:a="http://schemas.openxmlformats.org/drawingml/2006/main">
                  <a:graphicData uri="http://schemas.microsoft.com/office/word/2010/wordprocessingShape">
                    <wps:wsp>
                      <wps:cNvCnPr/>
                      <wps:spPr>
                        <a:xfrm flipH="1" flipV="1">
                          <a:off x="0" y="0"/>
                          <a:ext cx="268605" cy="4953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866" o:spid="_x0000_s1026" o:spt="20" style="position:absolute;left:0pt;flip:x y;margin-left:605.9pt;margin-top:39.5pt;height:39pt;width:21.15pt;z-index:251679744;mso-width-relative:page;mso-height-relative:page;" filled="f" stroked="t" coordsize="21600,21600" o:gfxdata="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hT/dNYAAAAMAQAADwAAAAAAAAABACAAAAAiAAAAZHJzL2Rvd25yZXYu&#10;eG1sUEsBAhQAFAAAAAgAh07iQB+ME1z9AQAA9wMAAA4AAAAAAAAAAQAgAAAAJQEAAGRycy9lMm9E&#10;b2MueG1sUEsFBgAAAAAGAAYAWQEAAJQFAAAAAA==&#10;">
                <v:fill on="f" focussize="0,0"/>
                <v:stroke color="#000000" joinstyle="round"/>
                <v:imagedata o:title=""/>
                <o:lock v:ext="edit" aspectratio="f"/>
              </v:line>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701248" behindDoc="0" locked="0" layoutInCell="1" allowOverlap="1">
                <wp:simplePos x="0" y="0"/>
                <wp:positionH relativeFrom="column">
                  <wp:posOffset>7464425</wp:posOffset>
                </wp:positionH>
                <wp:positionV relativeFrom="paragraph">
                  <wp:posOffset>859790</wp:posOffset>
                </wp:positionV>
                <wp:extent cx="215900" cy="293370"/>
                <wp:effectExtent l="4445" t="4445" r="6985" b="8255"/>
                <wp:wrapNone/>
                <wp:docPr id="47" name="矩形 1864"/>
                <wp:cNvGraphicFramePr/>
                <a:graphic xmlns:a="http://schemas.openxmlformats.org/drawingml/2006/main">
                  <a:graphicData uri="http://schemas.microsoft.com/office/word/2010/wordprocessingShape">
                    <wps:wsp>
                      <wps:cNvSpPr/>
                      <wps:spPr>
                        <a:xfrm rot="-5400000">
                          <a:off x="0" y="0"/>
                          <a:ext cx="215900" cy="293370"/>
                        </a:xfrm>
                        <a:prstGeom prst="rect">
                          <a:avLst/>
                        </a:prstGeom>
                        <a:solidFill>
                          <a:srgbClr val="00B0F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64" o:spid="_x0000_s1026" o:spt="1" style="position:absolute;left:0pt;margin-left:587.75pt;margin-top:67.7pt;height:23.1pt;width:17pt;rotation:-5898240f;z-index:251701248;mso-width-relative:page;mso-height-relative:page;" fillcolor="#00B0F0" filled="t" stroked="t" coordsize="21600,21600" o:gfxdata="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S0mxHaAAAADQEAAA8AAAAAAAAAAQAgAAAAIgAAAGRycy9kb3ducmV2LnhtbFBLAQIU&#10;ABQAAAAIAIdO4kBmqcNOKgIAAGMEAAAOAAAAAAAAAAEAIAAAACkBAABkcnMvZTJvRG9jLnhtbFBL&#10;BQYAAAAABgAGAFkBAADFBQAAAAA=&#10;">
                <v:fill on="t" focussize="0,0"/>
                <v:stroke color="#000000" joinstyle="miter"/>
                <v:imagedata o:title=""/>
                <o:lock v:ext="edit" aspectratio="f"/>
              </v:rect>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8720" behindDoc="0" locked="0" layoutInCell="1" allowOverlap="1">
                <wp:simplePos x="0" y="0"/>
                <wp:positionH relativeFrom="column">
                  <wp:posOffset>7740015</wp:posOffset>
                </wp:positionH>
                <wp:positionV relativeFrom="paragraph">
                  <wp:posOffset>864235</wp:posOffset>
                </wp:positionV>
                <wp:extent cx="215900" cy="283210"/>
                <wp:effectExtent l="4445" t="4445" r="17145" b="8255"/>
                <wp:wrapNone/>
                <wp:docPr id="21" name="矩形 1864"/>
                <wp:cNvGraphicFramePr/>
                <a:graphic xmlns:a="http://schemas.openxmlformats.org/drawingml/2006/main">
                  <a:graphicData uri="http://schemas.microsoft.com/office/word/2010/wordprocessingShape">
                    <wps:wsp>
                      <wps:cNvSpPr/>
                      <wps:spPr>
                        <a:xfrm rot="-5400000">
                          <a:off x="0" y="0"/>
                          <a:ext cx="215900" cy="283210"/>
                        </a:xfrm>
                        <a:prstGeom prst="rect">
                          <a:avLst/>
                        </a:prstGeom>
                        <a:solidFill>
                          <a:srgbClr val="00B05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864" o:spid="_x0000_s1026" o:spt="1" style="position:absolute;left:0pt;margin-left:609.45pt;margin-top:68.05pt;height:22.3pt;width:17pt;rotation:-5898240f;z-index:251678720;mso-width-relative:page;mso-height-relative:page;" fillcolor="#00B050" filled="t" stroked="t" coordsize="21600,21600" o:gfxdata="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YV/LhtoAAAANAQAADwAAAAAAAAABACAAAAAiAAAAZHJzL2Rvd25yZXYueG1sUEsBAhQA&#10;FAAAAAgAh07iQO1NpRQpAgAAYwQAAA4AAAAAAAAAAQAgAAAAKQEAAGRycy9lMm9Eb2MueG1sUEsF&#10;BgAAAAAGAAYAWQEAAMQFAAAAAA==&#10;">
                <v:fill on="t" focussize="0,0"/>
                <v:stroke color="#000000" joinstyle="miter"/>
                <v:imagedata o:title=""/>
                <o:lock v:ext="edit" aspectratio="f"/>
              </v:rect>
            </w:pict>
          </mc:Fallback>
        </mc:AlternateContent>
      </w:r>
      <w:r>
        <w:rPr>
          <w:rFonts w:ascii="Times New Roman" w:hAnsi="Times New Roman" w:eastAsia="宋体" w:cs="Times New Roman"/>
          <w:color w:val="auto"/>
          <w:kern w:val="0"/>
          <w:sz w:val="18"/>
          <w:szCs w:val="20"/>
          <w:highlight w:val="none"/>
          <w:lang w:val="en-US" w:eastAsia="zh-CN" w:bidi="ar-SA"/>
        </w:rPr>
        <mc:AlternateContent>
          <mc:Choice Requires="wps">
            <w:drawing>
              <wp:anchor distT="0" distB="0" distL="114300" distR="114300" simplePos="0" relativeHeight="251674624" behindDoc="0" locked="0" layoutInCell="1" allowOverlap="1">
                <wp:simplePos x="0" y="0"/>
                <wp:positionH relativeFrom="column">
                  <wp:posOffset>4605020</wp:posOffset>
                </wp:positionH>
                <wp:positionV relativeFrom="paragraph">
                  <wp:posOffset>1849120</wp:posOffset>
                </wp:positionV>
                <wp:extent cx="2263140" cy="1798320"/>
                <wp:effectExtent l="0" t="4445" r="22860" b="6985"/>
                <wp:wrapNone/>
                <wp:docPr id="17" name="任意多边形 1857"/>
                <wp:cNvGraphicFramePr/>
                <a:graphic xmlns:a="http://schemas.openxmlformats.org/drawingml/2006/main">
                  <a:graphicData uri="http://schemas.microsoft.com/office/word/2010/wordprocessingShape">
                    <wps:wsp>
                      <wps:cNvSpPr/>
                      <wps:spPr>
                        <a:xfrm>
                          <a:off x="0" y="0"/>
                          <a:ext cx="2263140" cy="1798320"/>
                        </a:xfrm>
                        <a:custGeom>
                          <a:avLst/>
                          <a:gdLst/>
                          <a:ahLst/>
                          <a:cxnLst/>
                          <a:pathLst>
                            <a:path w="3564" h="2832">
                              <a:moveTo>
                                <a:pt x="0" y="0"/>
                              </a:moveTo>
                              <a:lnTo>
                                <a:pt x="1992" y="0"/>
                              </a:lnTo>
                              <a:lnTo>
                                <a:pt x="3564" y="2832"/>
                              </a:lnTo>
                            </a:path>
                          </a:pathLst>
                        </a:custGeom>
                        <a:noFill/>
                        <a:ln w="9525"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857" o:spid="_x0000_s1026" o:spt="100" style="position:absolute;left:0pt;margin-left:362.6pt;margin-top:145.6pt;height:141.6pt;width:178.2pt;z-index:251674624;mso-width-relative:page;mso-height-relative:page;" filled="f" stroked="t" coordsize="3564,2832" o:gfxdata="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8Mfqk2gAAAAwBAAAPAAAAAAAAAAEAIAAAACIAAABkcnMvZG93bnJldi54&#10;bWxQSwECFAAUAAAACACHTuJAQJKoOWoCAADyBAAADgAAAAAAAAABACAAAAApAQAAZHJzL2Uyb0Rv&#10;Yy54bWxQSwUGAAAAAAYABgBZAQAABQYAAAAA&#10;" path="m0,0l1992,0,3564,2832e">
                <v:fill on="f" focussize="0,0"/>
                <v:stroke color="#FF0000" joinstyle="round"/>
                <v:imagedata o:title=""/>
                <o:lock v:ext="edit" aspectratio="f"/>
              </v:shape>
            </w:pict>
          </mc:Fallback>
        </mc:AlternateContent>
      </w:r>
      <w:r>
        <w:rPr>
          <w:rFonts w:ascii="Times New Roman" w:hAnsi="Times New Roman" w:eastAsia="宋体" w:cs="Times New Roman"/>
          <w:color w:val="auto"/>
          <w:kern w:val="0"/>
          <w:sz w:val="18"/>
          <w:szCs w:val="20"/>
          <w:highlight w:val="none"/>
          <w:lang w:val="en-US" w:eastAsia="zh-CN" w:bidi="ar-SA"/>
        </w:rPr>
        <w:drawing>
          <wp:inline distT="0" distB="0" distL="114300" distR="114300">
            <wp:extent cx="8430260" cy="3552825"/>
            <wp:effectExtent l="9525" t="9525" r="18415" b="19050"/>
            <wp:docPr id="113"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548"/>
                    <pic:cNvPicPr>
                      <a:picLocks noChangeAspect="1"/>
                    </pic:cNvPicPr>
                  </pic:nvPicPr>
                  <pic:blipFill>
                    <a:blip r:embed="rId67"/>
                    <a:srcRect l="566" t="4475" r="418" b="9488"/>
                    <a:stretch>
                      <a:fillRect/>
                    </a:stretch>
                  </pic:blipFill>
                  <pic:spPr>
                    <a:xfrm>
                      <a:off x="0" y="0"/>
                      <a:ext cx="8430260" cy="3552825"/>
                    </a:xfrm>
                    <a:prstGeom prst="rect">
                      <a:avLst/>
                    </a:prstGeom>
                    <a:noFill/>
                    <a:ln w="6350" cap="flat" cmpd="sng">
                      <a:solidFill>
                        <a:srgbClr val="000000"/>
                      </a:solidFill>
                      <a:prstDash val="solid"/>
                      <a:miter/>
                      <a:headEnd type="none" w="med" len="med"/>
                      <a:tailEnd type="none" w="med" len="med"/>
                    </a:ln>
                  </pic:spPr>
                </pic:pic>
              </a:graphicData>
            </a:graphic>
          </wp:inline>
        </w:drawing>
      </w:r>
    </w:p>
    <w:p w14:paraId="1778E88A">
      <w:pPr>
        <w:widowControl/>
        <w:snapToGrid w:val="0"/>
        <w:spacing w:before="60" w:after="0" w:line="240" w:lineRule="auto"/>
        <w:ind w:right="113"/>
        <w:jc w:val="center"/>
        <w:rPr>
          <w:rFonts w:hint="default" w:ascii="Times New Roman" w:hAnsi="Times New Roman" w:eastAsia="宋体" w:cs="Times New Roman"/>
          <w:b/>
          <w:bCs/>
          <w:color w:val="auto"/>
          <w:kern w:val="0"/>
          <w:sz w:val="24"/>
          <w:szCs w:val="20"/>
          <w:highlight w:val="none"/>
          <w:lang w:val="en-US" w:eastAsia="zh-CN" w:bidi="ar-SA"/>
        </w:rPr>
      </w:pPr>
      <w:r>
        <w:rPr>
          <w:rFonts w:ascii="Times New Roman" w:hAnsi="Times New Roman" w:eastAsia="宋体" w:cs="Times New Roman"/>
          <w:color w:val="auto"/>
          <w:kern w:val="0"/>
          <w:sz w:val="18"/>
          <w:szCs w:val="20"/>
          <w:highlight w:val="none"/>
          <w:lang w:val="en-US" w:eastAsia="zh-CN" w:bidi="ar-SA"/>
        </w:rPr>
        <w:drawing>
          <wp:inline distT="0" distB="0" distL="114300" distR="114300">
            <wp:extent cx="8523605" cy="1714500"/>
            <wp:effectExtent l="12700" t="12700" r="17145" b="25400"/>
            <wp:docPr id="114"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517"/>
                    <pic:cNvPicPr>
                      <a:picLocks noChangeAspect="1"/>
                    </pic:cNvPicPr>
                  </pic:nvPicPr>
                  <pic:blipFill>
                    <a:blip r:embed="rId68"/>
                    <a:stretch>
                      <a:fillRect/>
                    </a:stretch>
                  </pic:blipFill>
                  <pic:spPr>
                    <a:xfrm>
                      <a:off x="0" y="0"/>
                      <a:ext cx="8523605" cy="1714500"/>
                    </a:xfrm>
                    <a:prstGeom prst="rect">
                      <a:avLst/>
                    </a:prstGeom>
                    <a:noFill/>
                    <a:ln w="12700" cap="flat" cmpd="sng">
                      <a:solidFill>
                        <a:srgbClr val="FF0000"/>
                      </a:solidFill>
                      <a:prstDash val="solid"/>
                      <a:miter/>
                      <a:headEnd type="none" w="med" len="med"/>
                      <a:tailEnd type="none" w="med" len="med"/>
                    </a:ln>
                  </pic:spPr>
                </pic:pic>
              </a:graphicData>
            </a:graphic>
          </wp:inline>
        </w:drawing>
      </w:r>
    </w:p>
    <w:p w14:paraId="732F6275">
      <w:pPr>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2" w:name="_Toc29379"/>
      <w:bookmarkStart w:id="73" w:name="_Toc15989"/>
      <w:bookmarkStart w:id="74" w:name="_Toc29800"/>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5-1</w:t>
      </w:r>
      <w:r>
        <w:rPr>
          <w:rFonts w:hint="default" w:ascii="Times New Roman" w:hAnsi="Times New Roman" w:cs="Times New Roman"/>
          <w:b/>
          <w:bCs/>
          <w:color w:val="auto"/>
          <w:sz w:val="24"/>
          <w:highlight w:val="none"/>
        </w:rPr>
        <w:t xml:space="preserve"> 项目</w:t>
      </w:r>
      <w:r>
        <w:rPr>
          <w:rFonts w:hint="eastAsia" w:ascii="Times New Roman" w:hAnsi="Times New Roman" w:cs="Times New Roman"/>
          <w:b/>
          <w:bCs/>
          <w:color w:val="auto"/>
          <w:sz w:val="24"/>
          <w:highlight w:val="none"/>
          <w:lang w:val="en-US" w:eastAsia="zh-CN"/>
        </w:rPr>
        <w:t>5#厂房</w:t>
      </w:r>
      <w:r>
        <w:rPr>
          <w:rFonts w:hint="default" w:ascii="Times New Roman" w:hAnsi="Times New Roman" w:cs="Times New Roman"/>
          <w:b/>
          <w:bCs/>
          <w:color w:val="auto"/>
          <w:sz w:val="24"/>
          <w:highlight w:val="none"/>
        </w:rPr>
        <w:t>平面布置图</w:t>
      </w:r>
      <w:bookmarkEnd w:id="60"/>
      <w:bookmarkEnd w:id="61"/>
      <w:bookmarkEnd w:id="62"/>
      <w:bookmarkEnd w:id="72"/>
      <w:bookmarkEnd w:id="73"/>
      <w:bookmarkEnd w:id="74"/>
    </w:p>
    <w:p w14:paraId="3EC9D9BD">
      <w:pPr>
        <w:jc w:val="center"/>
        <w:outlineLvl w:val="9"/>
        <w:rPr>
          <w:rFonts w:hint="default"/>
          <w:color w:val="auto"/>
          <w:highlight w:val="none"/>
          <w:lang w:val="en-US" w:eastAsia="zh-CN"/>
        </w:rPr>
      </w:pPr>
      <w:r>
        <w:rPr>
          <w:sz w:val="21"/>
        </w:rPr>
        <mc:AlternateContent>
          <mc:Choice Requires="wps">
            <w:drawing>
              <wp:anchor distT="0" distB="0" distL="114300" distR="114300" simplePos="0" relativeHeight="251753472" behindDoc="0" locked="0" layoutInCell="1" allowOverlap="1">
                <wp:simplePos x="0" y="0"/>
                <wp:positionH relativeFrom="column">
                  <wp:posOffset>2399665</wp:posOffset>
                </wp:positionH>
                <wp:positionV relativeFrom="paragraph">
                  <wp:posOffset>2138045</wp:posOffset>
                </wp:positionV>
                <wp:extent cx="3914140" cy="424180"/>
                <wp:effectExtent l="4445" t="5080" r="5715" b="8890"/>
                <wp:wrapNone/>
                <wp:docPr id="91" name="文本框 33"/>
                <wp:cNvGraphicFramePr/>
                <a:graphic xmlns:a="http://schemas.openxmlformats.org/drawingml/2006/main">
                  <a:graphicData uri="http://schemas.microsoft.com/office/word/2010/wordprocessingShape">
                    <wps:wsp>
                      <wps:cNvSpPr txBox="1"/>
                      <wps:spPr>
                        <a:xfrm>
                          <a:off x="3696335" y="2832735"/>
                          <a:ext cx="3914140" cy="424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DFBD19F">
                            <w:pPr>
                              <w:rPr>
                                <w:rFonts w:hint="default" w:eastAsia="宋体"/>
                                <w:lang w:val="en-US" w:eastAsia="zh-CN"/>
                              </w:rPr>
                            </w:pPr>
                            <w:r>
                              <w:rPr>
                                <w:rFonts w:hint="eastAsia" w:ascii="Times New Roman" w:eastAsia="宋体"/>
                                <w:lang w:val="en-US" w:eastAsia="zh-CN"/>
                              </w:rPr>
                              <w:t>粉末涂装</w:t>
                            </w:r>
                            <w:r>
                              <w:rPr>
                                <w:rFonts w:hint="eastAsia"/>
                                <w:lang w:val="en-US" w:eastAsia="zh-CN"/>
                              </w:rPr>
                              <w:t>线</w:t>
                            </w:r>
                            <w:r>
                              <w:rPr>
                                <w:rFonts w:hint="eastAsia" w:ascii="Times New Roman" w:eastAsia="宋体"/>
                                <w:lang w:val="en-US" w:eastAsia="zh-CN"/>
                              </w:rPr>
                              <w:t xml:space="preserve">                   固化区</w:t>
                            </w:r>
                          </w:p>
                        </w:txbxContent>
                      </wps:txbx>
                      <wps:bodyPr vert="horz" anchor="t" anchorCtr="0" upright="1"/>
                    </wps:wsp>
                  </a:graphicData>
                </a:graphic>
              </wp:anchor>
            </w:drawing>
          </mc:Choice>
          <mc:Fallback>
            <w:pict>
              <v:shape id="文本框 33" o:spid="_x0000_s1026" o:spt="202" type="#_x0000_t202" style="position:absolute;left:0pt;margin-left:188.95pt;margin-top:168.35pt;height:33.4pt;width:308.2pt;z-index:251753472;mso-width-relative:page;mso-height-relative:page;" fillcolor="#FFFFFF" filled="t" stroked="t" coordsize="21600,21600" o:gfxdata="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WO6braAAAACwEAAA8AAAAAAAAAAQAgAAAAIgAAAGRycy9kb3ducmV2LnhtbFBL&#10;AQIUABQAAAAIAIdO4kDV4J4wLQIAAGkEAAAOAAAAAAAAAAEAIAAAACkBAABkcnMvZTJvRG9jLnht&#10;bFBLBQYAAAAABgAGAFkBAADIBQAAAAA=&#10;">
                <v:fill on="t" focussize="0,0"/>
                <v:stroke color="#000000" joinstyle="miter"/>
                <v:imagedata o:title=""/>
                <o:lock v:ext="edit" aspectratio="f"/>
                <v:textbox>
                  <w:txbxContent>
                    <w:p w14:paraId="1DFBD19F">
                      <w:pPr>
                        <w:rPr>
                          <w:rFonts w:hint="default" w:eastAsia="宋体"/>
                          <w:lang w:val="en-US" w:eastAsia="zh-CN"/>
                        </w:rPr>
                      </w:pPr>
                      <w:r>
                        <w:rPr>
                          <w:rFonts w:hint="eastAsia" w:ascii="Times New Roman" w:eastAsia="宋体"/>
                          <w:lang w:val="en-US" w:eastAsia="zh-CN"/>
                        </w:rPr>
                        <w:t>粉末涂装</w:t>
                      </w:r>
                      <w:r>
                        <w:rPr>
                          <w:rFonts w:hint="eastAsia"/>
                          <w:lang w:val="en-US" w:eastAsia="zh-CN"/>
                        </w:rPr>
                        <w:t>线</w:t>
                      </w:r>
                      <w:r>
                        <w:rPr>
                          <w:rFonts w:hint="eastAsia" w:ascii="Times New Roman" w:eastAsia="宋体"/>
                          <w:lang w:val="en-US" w:eastAsia="zh-CN"/>
                        </w:rPr>
                        <w:t xml:space="preserve">                   固化区</w:t>
                      </w:r>
                    </w:p>
                  </w:txbxContent>
                </v:textbox>
              </v:shape>
            </w:pict>
          </mc:Fallback>
        </mc:AlternateContent>
      </w:r>
      <w:r>
        <w:rPr>
          <w:sz w:val="21"/>
        </w:rPr>
        <mc:AlternateContent>
          <mc:Choice Requires="wps">
            <w:drawing>
              <wp:anchor distT="0" distB="0" distL="114300" distR="114300" simplePos="0" relativeHeight="251754496" behindDoc="0" locked="0" layoutInCell="1" allowOverlap="1">
                <wp:simplePos x="0" y="0"/>
                <wp:positionH relativeFrom="column">
                  <wp:posOffset>2301240</wp:posOffset>
                </wp:positionH>
                <wp:positionV relativeFrom="paragraph">
                  <wp:posOffset>504825</wp:posOffset>
                </wp:positionV>
                <wp:extent cx="3914140" cy="424180"/>
                <wp:effectExtent l="4445" t="5080" r="5715" b="8890"/>
                <wp:wrapNone/>
                <wp:docPr id="92" name="文本框 34"/>
                <wp:cNvGraphicFramePr/>
                <a:graphic xmlns:a="http://schemas.openxmlformats.org/drawingml/2006/main">
                  <a:graphicData uri="http://schemas.microsoft.com/office/word/2010/wordprocessingShape">
                    <wps:wsp>
                      <wps:cNvSpPr txBox="1"/>
                      <wps:spPr>
                        <a:xfrm>
                          <a:off x="0" y="0"/>
                          <a:ext cx="3914140" cy="4241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C4C943">
                            <w:pPr>
                              <w:rPr>
                                <w:rFonts w:hint="default" w:eastAsia="宋体"/>
                                <w:lang w:val="en-US" w:eastAsia="zh-CN"/>
                              </w:rPr>
                            </w:pPr>
                            <w:r>
                              <w:rPr>
                                <w:rFonts w:hint="eastAsia" w:ascii="Times New Roman" w:eastAsia="宋体"/>
                                <w:lang w:val="en-US" w:eastAsia="zh-CN"/>
                              </w:rPr>
                              <w:t>油</w:t>
                            </w:r>
                            <w:r>
                              <w:rPr>
                                <w:rFonts w:hint="eastAsia"/>
                                <w:lang w:val="en-US" w:eastAsia="zh-CN"/>
                              </w:rPr>
                              <w:t>粉</w:t>
                            </w:r>
                            <w:r>
                              <w:rPr>
                                <w:rFonts w:hint="eastAsia" w:ascii="Times New Roman" w:eastAsia="宋体"/>
                                <w:lang w:val="en-US" w:eastAsia="zh-CN"/>
                              </w:rPr>
                              <w:t>涂装</w:t>
                            </w:r>
                            <w:r>
                              <w:rPr>
                                <w:rFonts w:hint="eastAsia"/>
                                <w:lang w:val="en-US" w:eastAsia="zh-CN"/>
                              </w:rPr>
                              <w:t>线</w:t>
                            </w:r>
                            <w:r>
                              <w:rPr>
                                <w:rFonts w:hint="eastAsia" w:ascii="Times New Roman" w:eastAsia="宋体"/>
                                <w:lang w:val="en-US" w:eastAsia="zh-CN"/>
                              </w:rPr>
                              <w:t xml:space="preserve">                    固化区</w:t>
                            </w:r>
                          </w:p>
                        </w:txbxContent>
                      </wps:txbx>
                      <wps:bodyPr upright="1"/>
                    </wps:wsp>
                  </a:graphicData>
                </a:graphic>
              </wp:anchor>
            </w:drawing>
          </mc:Choice>
          <mc:Fallback>
            <w:pict>
              <v:shape id="文本框 34" o:spid="_x0000_s1026" o:spt="202" type="#_x0000_t202" style="position:absolute;left:0pt;margin-left:181.2pt;margin-top:39.75pt;height:33.4pt;width:308.2pt;z-index:251754496;mso-width-relative:page;mso-height-relative:page;" fillcolor="#FFFFFF" filled="t" stroked="t" coordsize="21600,21600" o:gfxdata="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84FRmtkAAAAKAQAADwAAAAAAAAAB&#10;ACAAAAAiAAAAZHJzL2Rvd25yZXYueG1sUEsBAhQAFAAAAAgAh07iQCVp5sIPAgAAOAQAAA4AAAAA&#10;AAAAAQAgAAAAKAEAAGRycy9lMm9Eb2MueG1sUEsFBgAAAAAGAAYAWQEAAKkFAAAAAA==&#10;">
                <v:fill on="t" focussize="0,0"/>
                <v:stroke color="#000000" joinstyle="miter"/>
                <v:imagedata o:title=""/>
                <o:lock v:ext="edit" aspectratio="f"/>
                <v:textbox>
                  <w:txbxContent>
                    <w:p w14:paraId="00C4C943">
                      <w:pPr>
                        <w:rPr>
                          <w:rFonts w:hint="default" w:eastAsia="宋体"/>
                          <w:lang w:val="en-US" w:eastAsia="zh-CN"/>
                        </w:rPr>
                      </w:pPr>
                      <w:r>
                        <w:rPr>
                          <w:rFonts w:hint="eastAsia" w:ascii="Times New Roman" w:eastAsia="宋体"/>
                          <w:lang w:val="en-US" w:eastAsia="zh-CN"/>
                        </w:rPr>
                        <w:t>油</w:t>
                      </w:r>
                      <w:r>
                        <w:rPr>
                          <w:rFonts w:hint="eastAsia"/>
                          <w:lang w:val="en-US" w:eastAsia="zh-CN"/>
                        </w:rPr>
                        <w:t>粉</w:t>
                      </w:r>
                      <w:r>
                        <w:rPr>
                          <w:rFonts w:hint="eastAsia" w:ascii="Times New Roman" w:eastAsia="宋体"/>
                          <w:lang w:val="en-US" w:eastAsia="zh-CN"/>
                        </w:rPr>
                        <w:t>涂装</w:t>
                      </w:r>
                      <w:r>
                        <w:rPr>
                          <w:rFonts w:hint="eastAsia"/>
                          <w:lang w:val="en-US" w:eastAsia="zh-CN"/>
                        </w:rPr>
                        <w:t>线</w:t>
                      </w:r>
                      <w:r>
                        <w:rPr>
                          <w:rFonts w:hint="eastAsia" w:ascii="Times New Roman" w:eastAsia="宋体"/>
                          <w:lang w:val="en-US" w:eastAsia="zh-CN"/>
                        </w:rPr>
                        <w:t xml:space="preserve">                    固化区</w:t>
                      </w:r>
                    </w:p>
                  </w:txbxContent>
                </v:textbox>
              </v:shape>
            </w:pict>
          </mc:Fallback>
        </mc:AlternateContent>
      </w:r>
      <w:r>
        <w:rPr>
          <w:sz w:val="18"/>
        </w:rPr>
        <mc:AlternateContent>
          <mc:Choice Requires="wpg">
            <w:drawing>
              <wp:anchor distT="0" distB="0" distL="114300" distR="114300" simplePos="0" relativeHeight="251757568" behindDoc="0" locked="0" layoutInCell="1" allowOverlap="1">
                <wp:simplePos x="0" y="0"/>
                <wp:positionH relativeFrom="column">
                  <wp:posOffset>1598295</wp:posOffset>
                </wp:positionH>
                <wp:positionV relativeFrom="paragraph">
                  <wp:posOffset>464185</wp:posOffset>
                </wp:positionV>
                <wp:extent cx="751840" cy="353060"/>
                <wp:effectExtent l="4445" t="0" r="0" b="0"/>
                <wp:wrapNone/>
                <wp:docPr id="115" name="组合 46"/>
                <wp:cNvGraphicFramePr/>
                <a:graphic xmlns:a="http://schemas.openxmlformats.org/drawingml/2006/main">
                  <a:graphicData uri="http://schemas.microsoft.com/office/word/2010/wordprocessingGroup">
                    <wpg:wgp>
                      <wpg:cNvGrpSpPr/>
                      <wpg:grpSpPr>
                        <a:xfrm>
                          <a:off x="0" y="0"/>
                          <a:ext cx="751840" cy="353060"/>
                          <a:chOff x="8678" y="1984447"/>
                          <a:chExt cx="1184" cy="556"/>
                        </a:xfrm>
                      </wpg:grpSpPr>
                      <wps:wsp>
                        <wps:cNvPr id="99" name="椭圆 1879"/>
                        <wps:cNvSpPr/>
                        <wps:spPr>
                          <a:xfrm>
                            <a:off x="8678" y="1984667"/>
                            <a:ext cx="180" cy="192"/>
                          </a:xfrm>
                          <a:prstGeom prst="ellipse">
                            <a:avLst/>
                          </a:prstGeom>
                          <a:solidFill>
                            <a:srgbClr val="00B0F0"/>
                          </a:solidFill>
                          <a:ln w="9525" cap="flat" cmpd="sng">
                            <a:solidFill>
                              <a:srgbClr val="000000"/>
                            </a:solidFill>
                            <a:prstDash val="solid"/>
                            <a:headEnd type="none" w="med" len="med"/>
                            <a:tailEnd type="none" w="med" len="med"/>
                          </a:ln>
                        </wps:spPr>
                        <wps:bodyPr upright="1"/>
                      </wps:wsp>
                      <wps:wsp>
                        <wps:cNvPr id="100" name="文本框 1881"/>
                        <wps:cNvSpPr txBox="1"/>
                        <wps:spPr>
                          <a:xfrm>
                            <a:off x="8924" y="1984447"/>
                            <a:ext cx="939" cy="556"/>
                          </a:xfrm>
                          <a:prstGeom prst="rect">
                            <a:avLst/>
                          </a:prstGeom>
                          <a:noFill/>
                          <a:ln>
                            <a:noFill/>
                          </a:ln>
                        </wps:spPr>
                        <wps:txbx>
                          <w:txbxContent>
                            <w:p w14:paraId="699D7BDD">
                              <w:pPr>
                                <w:rPr>
                                  <w:rFonts w:hint="default" w:eastAsia="宋体"/>
                                  <w:b/>
                                  <w:bCs/>
                                  <w:highlight w:val="yellow"/>
                                  <w:lang w:val="en-US" w:eastAsia="zh-CN"/>
                                </w:rPr>
                              </w:pPr>
                              <w:r>
                                <w:rPr>
                                  <w:rFonts w:hint="eastAsia"/>
                                  <w:b/>
                                  <w:bCs/>
                                  <w:highlight w:val="yellow"/>
                                  <w:lang w:val="en-US" w:eastAsia="zh-CN"/>
                                </w:rPr>
                                <w:t>DA001</w:t>
                              </w:r>
                            </w:p>
                          </w:txbxContent>
                        </wps:txbx>
                        <wps:bodyPr upright="1"/>
                      </wps:wsp>
                    </wpg:wgp>
                  </a:graphicData>
                </a:graphic>
              </wp:anchor>
            </w:drawing>
          </mc:Choice>
          <mc:Fallback>
            <w:pict>
              <v:group id="组合 46" o:spid="_x0000_s1026" o:spt="203" style="position:absolute;left:0pt;margin-left:125.85pt;margin-top:36.55pt;height:27.8pt;width:59.2pt;z-index:251757568;mso-width-relative:page;mso-height-relative:page;" coordorigin="8678,1984447" coordsize="1184,556" o:gfxdata="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ztxVndkAAAAKAQAADwAAAAAAAAABACAAAAAiAAAAZHJzL2Rvd25yZXYueG1sUEsBAhQAFAAA&#10;AAgAh07iQBfXFjPSAgAAyAYAAA4AAAAAAAAAAQAgAAAAKAEAAGRycy9lMm9Eb2MueG1sUEsFBgAA&#10;AAAGAAYAWQEAAGwGAAAAAA==&#10;">
                <o:lock v:ext="edit" aspectratio="f"/>
                <v:shape id="椭圆 1879" o:spid="_x0000_s1026" o:spt="3" type="#_x0000_t3" style="position:absolute;left:8678;top:1984667;height:192;width:180;" fillcolor="#00B0F0" filled="t" stroked="t" coordsize="21600,21600" o:gfxdata="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q9BDO/&#10;AAAA2wAAAA8AAAAAAAAAAQAgAAAAIgAAAGRycy9kb3ducmV2LnhtbFBLAQIUABQAAAAIAIdO4kAz&#10;LwWeOwAAADkAAAAQAAAAAAAAAAEAIAAAAA4BAABkcnMvc2hhcGV4bWwueG1sUEsFBgAAAAAGAAYA&#10;WwEAALgDAAAAAA==&#10;">
                  <v:fill on="t" focussize="0,0"/>
                  <v:stroke color="#000000" joinstyle="round"/>
                  <v:imagedata o:title=""/>
                  <o:lock v:ext="edit" aspectratio="f"/>
                </v:shape>
                <v:shape id="文本框 1881" o:spid="_x0000_s1026" o:spt="202" type="#_x0000_t202" style="position:absolute;left:8924;top:1984447;height:556;width:939;" filled="f" stroked="f" coordsize="21600,21600" o:gfxdata="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Dhht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99D7BDD">
                        <w:pPr>
                          <w:rPr>
                            <w:rFonts w:hint="default" w:eastAsia="宋体"/>
                            <w:b/>
                            <w:bCs/>
                            <w:highlight w:val="yellow"/>
                            <w:lang w:val="en-US" w:eastAsia="zh-CN"/>
                          </w:rPr>
                        </w:pPr>
                        <w:r>
                          <w:rPr>
                            <w:rFonts w:hint="eastAsia"/>
                            <w:b/>
                            <w:bCs/>
                            <w:highlight w:val="yellow"/>
                            <w:lang w:val="en-US" w:eastAsia="zh-CN"/>
                          </w:rPr>
                          <w:t>DA001</w:t>
                        </w:r>
                      </w:p>
                    </w:txbxContent>
                  </v:textbox>
                </v:shape>
              </v:group>
            </w:pict>
          </mc:Fallback>
        </mc:AlternateContent>
      </w:r>
      <w:r>
        <w:rPr>
          <w:sz w:val="18"/>
        </w:rPr>
        <mc:AlternateContent>
          <mc:Choice Requires="wpg">
            <w:drawing>
              <wp:anchor distT="0" distB="0" distL="114300" distR="114300" simplePos="0" relativeHeight="251756544" behindDoc="0" locked="0" layoutInCell="1" allowOverlap="1">
                <wp:simplePos x="0" y="0"/>
                <wp:positionH relativeFrom="column">
                  <wp:posOffset>1708150</wp:posOffset>
                </wp:positionH>
                <wp:positionV relativeFrom="paragraph">
                  <wp:posOffset>2080895</wp:posOffset>
                </wp:positionV>
                <wp:extent cx="752475" cy="353060"/>
                <wp:effectExtent l="4445" t="0" r="0" b="0"/>
                <wp:wrapNone/>
                <wp:docPr id="116" name="组合 71"/>
                <wp:cNvGraphicFramePr/>
                <a:graphic xmlns:a="http://schemas.openxmlformats.org/drawingml/2006/main">
                  <a:graphicData uri="http://schemas.microsoft.com/office/word/2010/wordprocessingGroup">
                    <wpg:wgp>
                      <wpg:cNvGrpSpPr/>
                      <wpg:grpSpPr>
                        <a:xfrm>
                          <a:off x="0" y="0"/>
                          <a:ext cx="752475" cy="353060"/>
                          <a:chOff x="8470" y="1984850"/>
                          <a:chExt cx="1185" cy="556"/>
                        </a:xfrm>
                      </wpg:grpSpPr>
                      <wps:wsp>
                        <wps:cNvPr id="96" name="椭圆 1879"/>
                        <wps:cNvSpPr/>
                        <wps:spPr>
                          <a:xfrm>
                            <a:off x="8470" y="1985070"/>
                            <a:ext cx="180" cy="192"/>
                          </a:xfrm>
                          <a:prstGeom prst="ellipse">
                            <a:avLst/>
                          </a:prstGeom>
                          <a:solidFill>
                            <a:srgbClr val="00B0F0"/>
                          </a:solidFill>
                          <a:ln w="9525" cap="flat" cmpd="sng">
                            <a:solidFill>
                              <a:srgbClr val="000000"/>
                            </a:solidFill>
                            <a:prstDash val="solid"/>
                            <a:headEnd type="none" w="med" len="med"/>
                            <a:tailEnd type="none" w="med" len="med"/>
                          </a:ln>
                        </wps:spPr>
                        <wps:bodyPr vert="horz" anchor="t" anchorCtr="0" upright="1"/>
                      </wps:wsp>
                      <wps:wsp>
                        <wps:cNvPr id="97" name="文本框 1881"/>
                        <wps:cNvSpPr txBox="1"/>
                        <wps:spPr>
                          <a:xfrm>
                            <a:off x="8716" y="1984850"/>
                            <a:ext cx="939" cy="556"/>
                          </a:xfrm>
                          <a:prstGeom prst="rect">
                            <a:avLst/>
                          </a:prstGeom>
                          <a:noFill/>
                          <a:ln>
                            <a:noFill/>
                          </a:ln>
                        </wps:spPr>
                        <wps:txbx>
                          <w:txbxContent>
                            <w:p w14:paraId="3E8A7C86">
                              <w:pPr>
                                <w:rPr>
                                  <w:rFonts w:hint="default" w:eastAsia="宋体"/>
                                  <w:b/>
                                  <w:bCs/>
                                  <w:highlight w:val="yellow"/>
                                  <w:lang w:val="en-US" w:eastAsia="zh-CN"/>
                                </w:rPr>
                              </w:pPr>
                              <w:r>
                                <w:rPr>
                                  <w:rFonts w:hint="eastAsia"/>
                                  <w:b/>
                                  <w:bCs/>
                                  <w:highlight w:val="yellow"/>
                                  <w:lang w:val="en-US" w:eastAsia="zh-CN"/>
                                </w:rPr>
                                <w:t>DA002</w:t>
                              </w:r>
                            </w:p>
                          </w:txbxContent>
                        </wps:txbx>
                        <wps:bodyPr vert="horz" anchor="t" anchorCtr="0" upright="1"/>
                      </wps:wsp>
                    </wpg:wgp>
                  </a:graphicData>
                </a:graphic>
              </wp:anchor>
            </w:drawing>
          </mc:Choice>
          <mc:Fallback>
            <w:pict>
              <v:group id="组合 71" o:spid="_x0000_s1026" o:spt="203" style="position:absolute;left:0pt;margin-left:134.5pt;margin-top:163.85pt;height:27.8pt;width:59.25pt;z-index:251756544;mso-width-relative:page;mso-height-relative:page;" coordorigin="8470,1984850" coordsize="1185,556" o:gfxdata="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ARvGjLcAAAACwEAAA8AAAAAAAAAAQAgAAAAIgAAAGRycy9k&#10;b3ducmV2LnhtbFBLAQIUABQAAAAIAIdO4kCSmcn14gIAABEHAAAOAAAAAAAAAAEAIAAAACsBAABk&#10;cnMvZTJvRG9jLnhtbFBLBQYAAAAABgAGAFkBAAB/BgAAAAA=&#10;">
                <o:lock v:ext="edit" aspectratio="f"/>
                <v:shape id="椭圆 1879" o:spid="_x0000_s1026" o:spt="3" type="#_x0000_t3" style="position:absolute;left:8470;top:1985070;height:192;width:180;" fillcolor="#00B0F0" filled="t" stroked="t" coordsize="21600,21600" o:gfxdata="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bIpBB&#10;wAAAANsAAAAPAAAAAAAAAAEAIAAAACIAAABkcnMvZG93bnJldi54bWxQSwECFAAUAAAACACHTuJA&#10;My8FnjsAAAA5AAAAEAAAAAAAAAABACAAAAAPAQAAZHJzL3NoYXBleG1sLnhtbFBLBQYAAAAABgAG&#10;AFsBAAC5AwAAAAA=&#10;">
                  <v:fill on="t" focussize="0,0"/>
                  <v:stroke color="#000000" joinstyle="round"/>
                  <v:imagedata o:title=""/>
                  <o:lock v:ext="edit" aspectratio="f"/>
                </v:shape>
                <v:shape id="文本框 1881" o:spid="_x0000_s1026" o:spt="202" type="#_x0000_t202" style="position:absolute;left:8716;top:1984850;height:556;width:939;" filled="f" stroked="f" coordsize="21600,21600" o:gfxdata="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iR3Y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E8A7C86">
                        <w:pPr>
                          <w:rPr>
                            <w:rFonts w:hint="default" w:eastAsia="宋体"/>
                            <w:b/>
                            <w:bCs/>
                            <w:highlight w:val="yellow"/>
                            <w:lang w:val="en-US" w:eastAsia="zh-CN"/>
                          </w:rPr>
                        </w:pPr>
                        <w:r>
                          <w:rPr>
                            <w:rFonts w:hint="eastAsia"/>
                            <w:b/>
                            <w:bCs/>
                            <w:highlight w:val="yellow"/>
                            <w:lang w:val="en-US" w:eastAsia="zh-CN"/>
                          </w:rPr>
                          <w:t>DA002</w:t>
                        </w:r>
                      </w:p>
                    </w:txbxContent>
                  </v:textbox>
                </v:shape>
              </v:group>
            </w:pict>
          </mc:Fallback>
        </mc:AlternateContent>
      </w:r>
      <w:r>
        <w:rPr>
          <w:sz w:val="21"/>
        </w:rPr>
        <mc:AlternateContent>
          <mc:Choice Requires="wpg">
            <w:drawing>
              <wp:anchor distT="0" distB="0" distL="114300" distR="114300" simplePos="0" relativeHeight="251755520" behindDoc="0" locked="0" layoutInCell="1" allowOverlap="1">
                <wp:simplePos x="0" y="0"/>
                <wp:positionH relativeFrom="column">
                  <wp:posOffset>3287395</wp:posOffset>
                </wp:positionH>
                <wp:positionV relativeFrom="paragraph">
                  <wp:posOffset>1075690</wp:posOffset>
                </wp:positionV>
                <wp:extent cx="1961515" cy="663575"/>
                <wp:effectExtent l="0" t="0" r="635" b="3175"/>
                <wp:wrapNone/>
                <wp:docPr id="117" name="组合 36"/>
                <wp:cNvGraphicFramePr/>
                <a:graphic xmlns:a="http://schemas.openxmlformats.org/drawingml/2006/main">
                  <a:graphicData uri="http://schemas.microsoft.com/office/word/2010/wordprocessingGroup">
                    <wpg:wgp>
                      <wpg:cNvGrpSpPr/>
                      <wpg:grpSpPr>
                        <a:xfrm>
                          <a:off x="0" y="0"/>
                          <a:ext cx="1961515" cy="663575"/>
                          <a:chOff x="9034" y="1983295"/>
                          <a:chExt cx="1534" cy="744"/>
                        </a:xfrm>
                      </wpg:grpSpPr>
                      <wps:wsp>
                        <wps:cNvPr id="93" name="文本框 37"/>
                        <wps:cNvSpPr txBox="1"/>
                        <wps:spPr>
                          <a:xfrm>
                            <a:off x="9054" y="1983295"/>
                            <a:ext cx="1514" cy="709"/>
                          </a:xfrm>
                          <a:prstGeom prst="rect">
                            <a:avLst/>
                          </a:prstGeom>
                          <a:solidFill>
                            <a:srgbClr val="FFFFFF"/>
                          </a:solidFill>
                          <a:ln>
                            <a:noFill/>
                          </a:ln>
                        </wps:spPr>
                        <wps:txbx>
                          <w:txbxContent>
                            <w:p w14:paraId="418F51B7">
                              <w:pPr>
                                <w:keepNext w:val="0"/>
                                <w:keepLines w:val="0"/>
                                <w:pageBreakBefore w:val="0"/>
                                <w:widowControl w:val="0"/>
                                <w:kinsoku/>
                                <w:wordWrap/>
                                <w:overflowPunct/>
                                <w:topLinePunct w:val="0"/>
                                <w:bidi w:val="0"/>
                                <w:snapToGrid/>
                                <w:spacing w:line="240" w:lineRule="atLeast"/>
                                <w:jc w:val="center"/>
                                <w:textAlignment w:val="auto"/>
                                <w:rPr>
                                  <w:rFonts w:hint="default"/>
                                  <w:b/>
                                  <w:bCs/>
                                  <w:color w:val="C00000"/>
                                  <w:sz w:val="21"/>
                                  <w:szCs w:val="21"/>
                                  <w:lang w:val="en-US" w:eastAsia="zh-CN"/>
                                </w:rPr>
                              </w:pPr>
                              <w:r>
                                <w:rPr>
                                  <w:rFonts w:hint="eastAsia" w:ascii="Times New Roman" w:eastAsia="宋体"/>
                                  <w:b/>
                                  <w:bCs/>
                                  <w:color w:val="C00000"/>
                                  <w:sz w:val="21"/>
                                  <w:szCs w:val="21"/>
                                  <w:lang w:val="en-US" w:eastAsia="zh-CN"/>
                                </w:rPr>
                                <w:t>四号车间</w:t>
                              </w:r>
                            </w:p>
                          </w:txbxContent>
                        </wps:txbx>
                        <wps:bodyPr vert="horz" anchor="t" anchorCtr="0" upright="1"/>
                      </wps:wsp>
                      <wps:wsp>
                        <wps:cNvPr id="94" name="文本框 38"/>
                        <wps:cNvSpPr txBox="1"/>
                        <wps:spPr>
                          <a:xfrm>
                            <a:off x="9034" y="1983561"/>
                            <a:ext cx="1514" cy="478"/>
                          </a:xfrm>
                          <a:prstGeom prst="rect">
                            <a:avLst/>
                          </a:prstGeom>
                          <a:noFill/>
                          <a:ln>
                            <a:noFill/>
                          </a:ln>
                        </wps:spPr>
                        <wps:txbx>
                          <w:txbxContent>
                            <w:p w14:paraId="1354E750">
                              <w:pPr>
                                <w:keepNext w:val="0"/>
                                <w:keepLines w:val="0"/>
                                <w:pageBreakBefore w:val="0"/>
                                <w:widowControl w:val="0"/>
                                <w:kinsoku/>
                                <w:wordWrap/>
                                <w:overflowPunct/>
                                <w:topLinePunct w:val="0"/>
                                <w:autoSpaceDE w:val="0"/>
                                <w:autoSpaceDN w:val="0"/>
                                <w:bidi w:val="0"/>
                                <w:adjustRightInd w:val="0"/>
                                <w:snapToGrid/>
                                <w:spacing w:line="240" w:lineRule="atLeast"/>
                                <w:jc w:val="center"/>
                                <w:textAlignment w:val="auto"/>
                                <w:rPr>
                                  <w:rFonts w:hint="default" w:ascii="宋体....." w:hAnsi="Times New Roman" w:eastAsia="宋体....." w:cs="宋体....."/>
                                  <w:b/>
                                  <w:bCs/>
                                  <w:color w:val="C00000"/>
                                  <w:kern w:val="2"/>
                                  <w:sz w:val="21"/>
                                  <w:szCs w:val="21"/>
                                  <w:lang w:val="en-US" w:eastAsia="zh-CN" w:bidi="ar-SA"/>
                                </w:rPr>
                              </w:pPr>
                              <w:r>
                                <w:rPr>
                                  <w:rFonts w:hint="eastAsia" w:ascii="宋体....." w:hAnsi="Times New Roman" w:eastAsia="宋体....." w:cs="宋体....."/>
                                  <w:b/>
                                  <w:bCs/>
                                  <w:color w:val="C00000"/>
                                  <w:kern w:val="2"/>
                                  <w:sz w:val="21"/>
                                  <w:szCs w:val="21"/>
                                  <w:lang w:val="en-US" w:eastAsia="zh-CN" w:bidi="ar-SA"/>
                                </w:rPr>
                                <w:t>漆粉涂装车间</w:t>
                              </w:r>
                            </w:p>
                          </w:txbxContent>
                        </wps:txbx>
                        <wps:bodyPr vert="horz" anchor="t" anchorCtr="0" upright="1"/>
                      </wps:wsp>
                    </wpg:wgp>
                  </a:graphicData>
                </a:graphic>
              </wp:anchor>
            </w:drawing>
          </mc:Choice>
          <mc:Fallback>
            <w:pict>
              <v:group id="组合 36" o:spid="_x0000_s1026" o:spt="203" style="position:absolute;left:0pt;margin-left:258.85pt;margin-top:84.7pt;height:52.25pt;width:154.45pt;z-index:251755520;mso-width-relative:page;mso-height-relative:page;" coordorigin="9034,1983295" coordsize="1534,744" o:gfxdata="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h8AJHNsAAAALAQAADwAAAAAAAAABACAA&#10;AAAiAAAAZHJzL2Rvd25yZXYueG1sUEsBAhQAFAAAAAgAh07iQFdNpaF8AgAAcAYAAA4AAAAAAAAA&#10;AQAgAAAAKgEAAGRycy9lMm9Eb2MueG1sUEsFBgAAAAAGAAYAWQEAABgGAAAAAA==&#10;">
                <o:lock v:ext="edit" aspectratio="f"/>
                <v:shape id="文本框 37" o:spid="_x0000_s1026" o:spt="202" type="#_x0000_t202" style="position:absolute;left:9054;top:1983295;height:709;width:1514;" fillcolor="#FFFFFF" filled="t" stroked="f" coordsize="21600,21600" o:gfxdata="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1M1X7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418F51B7">
                        <w:pPr>
                          <w:keepNext w:val="0"/>
                          <w:keepLines w:val="0"/>
                          <w:pageBreakBefore w:val="0"/>
                          <w:widowControl w:val="0"/>
                          <w:kinsoku/>
                          <w:wordWrap/>
                          <w:overflowPunct/>
                          <w:topLinePunct w:val="0"/>
                          <w:bidi w:val="0"/>
                          <w:snapToGrid/>
                          <w:spacing w:line="240" w:lineRule="atLeast"/>
                          <w:jc w:val="center"/>
                          <w:textAlignment w:val="auto"/>
                          <w:rPr>
                            <w:rFonts w:hint="default"/>
                            <w:b/>
                            <w:bCs/>
                            <w:color w:val="C00000"/>
                            <w:sz w:val="21"/>
                            <w:szCs w:val="21"/>
                            <w:lang w:val="en-US" w:eastAsia="zh-CN"/>
                          </w:rPr>
                        </w:pPr>
                        <w:r>
                          <w:rPr>
                            <w:rFonts w:hint="eastAsia" w:ascii="Times New Roman" w:eastAsia="宋体"/>
                            <w:b/>
                            <w:bCs/>
                            <w:color w:val="C00000"/>
                            <w:sz w:val="21"/>
                            <w:szCs w:val="21"/>
                            <w:lang w:val="en-US" w:eastAsia="zh-CN"/>
                          </w:rPr>
                          <w:t>四号车间</w:t>
                        </w:r>
                      </w:p>
                    </w:txbxContent>
                  </v:textbox>
                </v:shape>
                <v:shape id="文本框 38" o:spid="_x0000_s1026" o:spt="202" type="#_x0000_t202" style="position:absolute;left:9034;top:1983561;height:478;width:1514;" filled="f" stroked="f" coordsize="21600,21600" o:gfxdata="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VuDr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354E750">
                        <w:pPr>
                          <w:keepNext w:val="0"/>
                          <w:keepLines w:val="0"/>
                          <w:pageBreakBefore w:val="0"/>
                          <w:widowControl w:val="0"/>
                          <w:kinsoku/>
                          <w:wordWrap/>
                          <w:overflowPunct/>
                          <w:topLinePunct w:val="0"/>
                          <w:autoSpaceDE w:val="0"/>
                          <w:autoSpaceDN w:val="0"/>
                          <w:bidi w:val="0"/>
                          <w:adjustRightInd w:val="0"/>
                          <w:snapToGrid/>
                          <w:spacing w:line="240" w:lineRule="atLeast"/>
                          <w:jc w:val="center"/>
                          <w:textAlignment w:val="auto"/>
                          <w:rPr>
                            <w:rFonts w:hint="default" w:ascii="宋体....." w:hAnsi="Times New Roman" w:eastAsia="宋体....." w:cs="宋体....."/>
                            <w:b/>
                            <w:bCs/>
                            <w:color w:val="C00000"/>
                            <w:kern w:val="2"/>
                            <w:sz w:val="21"/>
                            <w:szCs w:val="21"/>
                            <w:lang w:val="en-US" w:eastAsia="zh-CN" w:bidi="ar-SA"/>
                          </w:rPr>
                        </w:pPr>
                        <w:r>
                          <w:rPr>
                            <w:rFonts w:hint="eastAsia" w:ascii="宋体....." w:hAnsi="Times New Roman" w:eastAsia="宋体....." w:cs="宋体....."/>
                            <w:b/>
                            <w:bCs/>
                            <w:color w:val="C00000"/>
                            <w:kern w:val="2"/>
                            <w:sz w:val="21"/>
                            <w:szCs w:val="21"/>
                            <w:lang w:val="en-US" w:eastAsia="zh-CN" w:bidi="ar-SA"/>
                          </w:rPr>
                          <w:t>漆粉涂装车间</w:t>
                        </w:r>
                      </w:p>
                    </w:txbxContent>
                  </v:textbox>
                </v:shape>
              </v:group>
            </w:pict>
          </mc:Fallback>
        </mc:AlternateContent>
      </w:r>
      <w:r>
        <w:rPr>
          <w:color w:val="auto"/>
          <w:highlight w:val="none"/>
        </w:rPr>
        <w:drawing>
          <wp:inline distT="0" distB="0" distL="114300" distR="114300">
            <wp:extent cx="5694045" cy="3095625"/>
            <wp:effectExtent l="0" t="0" r="1905" b="9525"/>
            <wp:docPr id="177"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671"/>
                    <pic:cNvPicPr>
                      <a:picLocks noChangeAspect="1"/>
                    </pic:cNvPicPr>
                  </pic:nvPicPr>
                  <pic:blipFill>
                    <a:blip r:embed="rId69"/>
                    <a:stretch>
                      <a:fillRect/>
                    </a:stretch>
                  </pic:blipFill>
                  <pic:spPr>
                    <a:xfrm>
                      <a:off x="0" y="0"/>
                      <a:ext cx="5694045" cy="3095625"/>
                    </a:xfrm>
                    <a:prstGeom prst="rect">
                      <a:avLst/>
                    </a:prstGeom>
                    <a:noFill/>
                    <a:ln>
                      <a:noFill/>
                    </a:ln>
                  </pic:spPr>
                </pic:pic>
              </a:graphicData>
            </a:graphic>
          </wp:inline>
        </w:drawing>
      </w:r>
    </w:p>
    <w:p w14:paraId="7F8DF7EA">
      <w:pPr>
        <w:bidi w:val="0"/>
        <w:rPr>
          <w:rFonts w:hint="default"/>
          <w:color w:val="auto"/>
          <w:highlight w:val="none"/>
          <w:lang w:val="en-US" w:eastAsia="zh-CN"/>
        </w:rPr>
      </w:pPr>
    </w:p>
    <w:p w14:paraId="7861DB18">
      <w:pPr>
        <w:tabs>
          <w:tab w:val="left" w:pos="5855"/>
        </w:tabs>
        <w:bidi w:val="0"/>
        <w:jc w:val="center"/>
        <w:outlineLvl w:val="0"/>
        <w:rPr>
          <w:rFonts w:hint="default"/>
          <w:color w:val="auto"/>
          <w:highlight w:val="none"/>
          <w:lang w:val="en-US" w:eastAsia="zh-CN"/>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5" w:name="_Toc3620"/>
      <w:r>
        <w:rPr>
          <w:rFonts w:hint="default" w:ascii="Times New Roman" w:hAnsi="Times New Roman" w:eastAsia="宋体" w:cs="Times New Roman"/>
          <w:b/>
          <w:bCs/>
          <w:color w:val="auto"/>
          <w:sz w:val="24"/>
          <w:highlight w:val="none"/>
        </w:rPr>
        <w:t>附图</w:t>
      </w:r>
      <w:r>
        <w:rPr>
          <w:rFonts w:hint="eastAsia" w:ascii="Times New Roman" w:hAnsi="Times New Roman" w:eastAsia="宋体" w:cs="Times New Roman"/>
          <w:b/>
          <w:bCs/>
          <w:color w:val="auto"/>
          <w:sz w:val="24"/>
          <w:highlight w:val="none"/>
          <w:lang w:val="en-US" w:eastAsia="zh-CN"/>
        </w:rPr>
        <w:t>5-2</w:t>
      </w:r>
      <w:r>
        <w:rPr>
          <w:rFonts w:hint="default" w:ascii="Times New Roman" w:hAnsi="Times New Roman" w:eastAsia="宋体" w:cs="Times New Roman"/>
          <w:b/>
          <w:bCs/>
          <w:color w:val="auto"/>
          <w:sz w:val="24"/>
          <w:highlight w:val="none"/>
        </w:rPr>
        <w:t xml:space="preserve"> 项目</w:t>
      </w:r>
      <w:r>
        <w:rPr>
          <w:rFonts w:hint="eastAsia" w:ascii="Times New Roman" w:hAnsi="Times New Roman" w:eastAsia="宋体" w:cs="Times New Roman"/>
          <w:b/>
          <w:bCs/>
          <w:color w:val="auto"/>
          <w:sz w:val="24"/>
          <w:highlight w:val="none"/>
          <w:lang w:val="en-US" w:eastAsia="zh-CN"/>
        </w:rPr>
        <w:t>4#厂房</w:t>
      </w:r>
      <w:r>
        <w:rPr>
          <w:rFonts w:hint="default" w:ascii="Times New Roman" w:hAnsi="Times New Roman" w:eastAsia="宋体" w:cs="Times New Roman"/>
          <w:b/>
          <w:bCs/>
          <w:color w:val="auto"/>
          <w:sz w:val="24"/>
          <w:highlight w:val="none"/>
        </w:rPr>
        <w:t>平面</w:t>
      </w:r>
      <w:r>
        <w:rPr>
          <w:rFonts w:hint="default" w:ascii="Times New Roman" w:hAnsi="Times New Roman" w:cs="Times New Roman"/>
          <w:b/>
          <w:bCs/>
          <w:color w:val="auto"/>
          <w:sz w:val="24"/>
          <w:highlight w:val="none"/>
        </w:rPr>
        <w:t>布置图</w:t>
      </w:r>
      <w:bookmarkEnd w:id="75"/>
    </w:p>
    <w:p w14:paraId="2E63B14D">
      <w:pPr>
        <w:jc w:val="center"/>
        <w:outlineLvl w:val="9"/>
        <w:rPr>
          <w:rFonts w:hint="default"/>
          <w:color w:val="auto"/>
          <w:highlight w:val="none"/>
          <w:lang w:val="en-US" w:eastAsia="zh-CN"/>
        </w:rPr>
      </w:pPr>
      <w:r>
        <w:rPr>
          <w:color w:val="auto"/>
          <w:highlight w:val="none"/>
        </w:rPr>
        <w:drawing>
          <wp:inline distT="0" distB="0" distL="114300" distR="114300">
            <wp:extent cx="6765925" cy="3666490"/>
            <wp:effectExtent l="0" t="0" r="15875" b="10160"/>
            <wp:docPr id="119"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660"/>
                    <pic:cNvPicPr>
                      <a:picLocks noChangeAspect="1"/>
                    </pic:cNvPicPr>
                  </pic:nvPicPr>
                  <pic:blipFill>
                    <a:blip r:embed="rId70"/>
                    <a:stretch>
                      <a:fillRect/>
                    </a:stretch>
                  </pic:blipFill>
                  <pic:spPr>
                    <a:xfrm>
                      <a:off x="0" y="0"/>
                      <a:ext cx="6765925" cy="3666490"/>
                    </a:xfrm>
                    <a:prstGeom prst="rect">
                      <a:avLst/>
                    </a:prstGeom>
                    <a:noFill/>
                    <a:ln>
                      <a:noFill/>
                    </a:ln>
                  </pic:spPr>
                </pic:pic>
              </a:graphicData>
            </a:graphic>
          </wp:inline>
        </w:drawing>
      </w:r>
    </w:p>
    <w:p w14:paraId="3607CF44">
      <w:pPr>
        <w:bidi w:val="0"/>
        <w:rPr>
          <w:rFonts w:hint="default"/>
          <w:color w:val="auto"/>
          <w:highlight w:val="none"/>
          <w:lang w:val="en-US" w:eastAsia="zh-CN"/>
        </w:rPr>
      </w:pPr>
    </w:p>
    <w:p w14:paraId="0BD09C12">
      <w:pPr>
        <w:tabs>
          <w:tab w:val="left" w:pos="5239"/>
        </w:tabs>
        <w:bidi w:val="0"/>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6" w:name="_Toc4729"/>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5-3</w:t>
      </w:r>
      <w:r>
        <w:rPr>
          <w:rFonts w:hint="default" w:ascii="Times New Roman" w:hAnsi="Times New Roman" w:cs="Times New Roman"/>
          <w:b/>
          <w:bCs/>
          <w:color w:val="auto"/>
          <w:sz w:val="24"/>
          <w:highlight w:val="none"/>
        </w:rPr>
        <w:t xml:space="preserve"> 项目</w:t>
      </w:r>
      <w:r>
        <w:rPr>
          <w:rFonts w:hint="eastAsia" w:ascii="Times New Roman" w:hAnsi="Times New Roman" w:cs="Times New Roman"/>
          <w:b/>
          <w:bCs/>
          <w:color w:val="auto"/>
          <w:sz w:val="24"/>
          <w:highlight w:val="none"/>
          <w:lang w:val="en-US" w:eastAsia="zh-CN"/>
        </w:rPr>
        <w:t>3#厂房</w:t>
      </w:r>
      <w:r>
        <w:rPr>
          <w:rFonts w:hint="default" w:ascii="Times New Roman" w:hAnsi="Times New Roman" w:cs="Times New Roman"/>
          <w:b/>
          <w:bCs/>
          <w:color w:val="auto"/>
          <w:sz w:val="24"/>
          <w:highlight w:val="none"/>
        </w:rPr>
        <w:t>平面布置图</w:t>
      </w:r>
      <w:bookmarkEnd w:id="76"/>
    </w:p>
    <w:p w14:paraId="760981A1">
      <w:pPr>
        <w:tabs>
          <w:tab w:val="left" w:pos="5239"/>
        </w:tabs>
        <w:bidi w:val="0"/>
        <w:jc w:val="center"/>
        <w:rPr>
          <w:color w:val="auto"/>
          <w:sz w:val="18"/>
          <w:highlight w:val="none"/>
        </w:rPr>
      </w:pPr>
      <w:r>
        <w:rPr>
          <w:color w:val="auto"/>
          <w:highlight w:val="none"/>
        </w:rPr>
        <w:drawing>
          <wp:inline distT="0" distB="0" distL="114300" distR="114300">
            <wp:extent cx="6352540" cy="3908425"/>
            <wp:effectExtent l="0" t="0" r="10160" b="15875"/>
            <wp:docPr id="120"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659"/>
                    <pic:cNvPicPr>
                      <a:picLocks noChangeAspect="1"/>
                    </pic:cNvPicPr>
                  </pic:nvPicPr>
                  <pic:blipFill>
                    <a:blip r:embed="rId71"/>
                    <a:stretch>
                      <a:fillRect/>
                    </a:stretch>
                  </pic:blipFill>
                  <pic:spPr>
                    <a:xfrm>
                      <a:off x="0" y="0"/>
                      <a:ext cx="6352540" cy="3908425"/>
                    </a:xfrm>
                    <a:prstGeom prst="rect">
                      <a:avLst/>
                    </a:prstGeom>
                    <a:noFill/>
                    <a:ln>
                      <a:noFill/>
                    </a:ln>
                  </pic:spPr>
                </pic:pic>
              </a:graphicData>
            </a:graphic>
          </wp:inline>
        </w:drawing>
      </w:r>
    </w:p>
    <w:p w14:paraId="08D6075A">
      <w:pPr>
        <w:bidi w:val="0"/>
        <w:rPr>
          <w:rFonts w:hint="default"/>
          <w:color w:val="auto"/>
          <w:kern w:val="2"/>
          <w:sz w:val="21"/>
          <w:szCs w:val="24"/>
          <w:highlight w:val="none"/>
          <w:lang w:val="en-US" w:eastAsia="zh-CN" w:bidi="ar-SA"/>
        </w:rPr>
      </w:pPr>
    </w:p>
    <w:p w14:paraId="4FF5EAA1">
      <w:pPr>
        <w:bidi w:val="0"/>
        <w:rPr>
          <w:rFonts w:hint="default"/>
          <w:color w:val="auto"/>
          <w:highlight w:val="none"/>
          <w:lang w:val="en-US" w:eastAsia="zh-CN"/>
        </w:rPr>
      </w:pPr>
    </w:p>
    <w:p w14:paraId="525FDD16">
      <w:pPr>
        <w:tabs>
          <w:tab w:val="left" w:pos="6061"/>
        </w:tabs>
        <w:bidi w:val="0"/>
        <w:jc w:val="center"/>
        <w:outlineLvl w:val="0"/>
        <w:rPr>
          <w:rFonts w:hint="default"/>
          <w:color w:val="auto"/>
          <w:highlight w:val="none"/>
          <w:lang w:val="en-US" w:eastAsia="zh-CN"/>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bookmarkStart w:id="77" w:name="_Toc8724"/>
      <w:bookmarkStart w:id="78" w:name="_Toc15186"/>
      <w:bookmarkStart w:id="79" w:name="_Toc22683"/>
      <w:bookmarkStart w:id="80" w:name="_Toc1393"/>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5-4</w:t>
      </w:r>
      <w:r>
        <w:rPr>
          <w:rFonts w:hint="default" w:ascii="Times New Roman" w:hAnsi="Times New Roman" w:cs="Times New Roman"/>
          <w:b/>
          <w:bCs/>
          <w:color w:val="auto"/>
          <w:sz w:val="24"/>
          <w:highlight w:val="none"/>
        </w:rPr>
        <w:t xml:space="preserve"> 项目</w:t>
      </w:r>
      <w:r>
        <w:rPr>
          <w:rFonts w:hint="eastAsia" w:ascii="Times New Roman" w:hAnsi="Times New Roman" w:cs="Times New Roman"/>
          <w:b/>
          <w:bCs/>
          <w:color w:val="auto"/>
          <w:sz w:val="24"/>
          <w:highlight w:val="none"/>
          <w:lang w:val="en-US" w:eastAsia="zh-CN"/>
        </w:rPr>
        <w:t>2#厂房</w:t>
      </w:r>
      <w:r>
        <w:rPr>
          <w:rFonts w:hint="default" w:ascii="Times New Roman" w:hAnsi="Times New Roman" w:cs="Times New Roman"/>
          <w:b/>
          <w:bCs/>
          <w:color w:val="auto"/>
          <w:sz w:val="24"/>
          <w:highlight w:val="none"/>
        </w:rPr>
        <w:t>平面布置图</w:t>
      </w:r>
      <w:bookmarkEnd w:id="77"/>
      <w:bookmarkEnd w:id="78"/>
      <w:bookmarkEnd w:id="79"/>
      <w:bookmarkEnd w:id="80"/>
    </w:p>
    <w:p w14:paraId="2D5F165D">
      <w:pPr>
        <w:bidi w:val="0"/>
        <w:rPr>
          <w:color w:val="auto"/>
          <w:highlight w:val="none"/>
        </w:rPr>
      </w:pPr>
      <w:bookmarkStart w:id="81" w:name="_Toc32466"/>
      <w:bookmarkStart w:id="82" w:name="_Toc31552"/>
      <w:bookmarkStart w:id="83" w:name="_Toc6851"/>
    </w:p>
    <w:p w14:paraId="69752B7E">
      <w:pPr>
        <w:bidi w:val="0"/>
        <w:rPr>
          <w:color w:val="auto"/>
          <w:highlight w:val="none"/>
        </w:rPr>
      </w:pPr>
    </w:p>
    <w:p w14:paraId="634715AA">
      <w:pPr>
        <w:tabs>
          <w:tab w:val="left" w:pos="5220"/>
        </w:tabs>
        <w:bidi w:val="0"/>
        <w:jc w:val="center"/>
        <w:rPr>
          <w:rFonts w:hint="eastAsia" w:eastAsia="宋体"/>
          <w:color w:val="auto"/>
          <w:highlight w:val="none"/>
          <w:lang w:eastAsia="zh-CN"/>
        </w:rPr>
      </w:pPr>
      <w:r>
        <w:rPr>
          <w:color w:val="auto"/>
          <w:highlight w:val="none"/>
        </w:rPr>
        <w:drawing>
          <wp:inline distT="0" distB="0" distL="114300" distR="114300">
            <wp:extent cx="4972050" cy="2781300"/>
            <wp:effectExtent l="0" t="0" r="0" b="0"/>
            <wp:docPr id="12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661"/>
                    <pic:cNvPicPr>
                      <a:picLocks noChangeAspect="1"/>
                    </pic:cNvPicPr>
                  </pic:nvPicPr>
                  <pic:blipFill>
                    <a:blip r:embed="rId72"/>
                    <a:stretch>
                      <a:fillRect/>
                    </a:stretch>
                  </pic:blipFill>
                  <pic:spPr>
                    <a:xfrm>
                      <a:off x="0" y="0"/>
                      <a:ext cx="4972050" cy="2781300"/>
                    </a:xfrm>
                    <a:prstGeom prst="rect">
                      <a:avLst/>
                    </a:prstGeom>
                    <a:noFill/>
                    <a:ln>
                      <a:noFill/>
                    </a:ln>
                  </pic:spPr>
                </pic:pic>
              </a:graphicData>
            </a:graphic>
          </wp:inline>
        </w:drawing>
      </w:r>
    </w:p>
    <w:p w14:paraId="12A3C080">
      <w:pPr>
        <w:widowControl/>
        <w:snapToGrid w:val="0"/>
        <w:spacing w:before="60" w:after="0" w:line="240" w:lineRule="auto"/>
        <w:ind w:right="113"/>
        <w:jc w:val="center"/>
        <w:rPr>
          <w:rFonts w:hint="default" w:ascii="Times New Roman" w:hAnsi="Times New Roman" w:eastAsia="宋体" w:cs="Times New Roman"/>
          <w:b/>
          <w:bCs/>
          <w:color w:val="auto"/>
          <w:kern w:val="0"/>
          <w:sz w:val="24"/>
          <w:szCs w:val="20"/>
          <w:highlight w:val="none"/>
          <w:lang w:val="en-US" w:eastAsia="zh-CN" w:bidi="ar-SA"/>
        </w:rPr>
      </w:pPr>
    </w:p>
    <w:p w14:paraId="4A7C0AC0">
      <w:pPr>
        <w:jc w:val="center"/>
        <w:outlineLvl w:val="9"/>
        <w:rPr>
          <w:rFonts w:hint="default" w:ascii="Times New Roman" w:hAnsi="Times New Roman" w:cs="Times New Roman"/>
          <w:b/>
          <w:bCs/>
          <w:color w:val="auto"/>
          <w:sz w:val="24"/>
          <w:highlight w:val="none"/>
        </w:rPr>
      </w:pPr>
    </w:p>
    <w:p w14:paraId="217BD6F5">
      <w:pPr>
        <w:bidi w:val="0"/>
        <w:rPr>
          <w:rFonts w:hint="default"/>
          <w:color w:val="auto"/>
          <w:kern w:val="2"/>
          <w:sz w:val="21"/>
          <w:szCs w:val="24"/>
          <w:highlight w:val="none"/>
          <w:lang w:val="en-US" w:eastAsia="zh-CN" w:bidi="ar-SA"/>
        </w:rPr>
      </w:pPr>
    </w:p>
    <w:p w14:paraId="627EE4F1">
      <w:pPr>
        <w:bidi w:val="0"/>
        <w:rPr>
          <w:rFonts w:hint="default"/>
          <w:color w:val="auto"/>
          <w:highlight w:val="none"/>
          <w:lang w:val="en-US" w:eastAsia="zh-CN"/>
        </w:rPr>
      </w:pPr>
    </w:p>
    <w:p w14:paraId="32D39522">
      <w:pPr>
        <w:tabs>
          <w:tab w:val="left" w:pos="5862"/>
        </w:tabs>
        <w:bidi w:val="0"/>
        <w:jc w:val="center"/>
        <w:outlineLvl w:val="0"/>
        <w:rPr>
          <w:color w:val="auto"/>
          <w:highlight w:val="none"/>
        </w:rPr>
      </w:pPr>
      <w:bookmarkStart w:id="84" w:name="_Toc24556"/>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5-5</w:t>
      </w:r>
      <w:r>
        <w:rPr>
          <w:rFonts w:hint="default" w:ascii="Times New Roman" w:hAnsi="Times New Roman" w:cs="Times New Roman"/>
          <w:b/>
          <w:bCs/>
          <w:color w:val="auto"/>
          <w:sz w:val="24"/>
          <w:highlight w:val="none"/>
        </w:rPr>
        <w:t xml:space="preserve"> 项目</w:t>
      </w:r>
      <w:r>
        <w:rPr>
          <w:rFonts w:hint="eastAsia" w:ascii="Times New Roman" w:hAnsi="Times New Roman" w:cs="Times New Roman"/>
          <w:b/>
          <w:bCs/>
          <w:color w:val="auto"/>
          <w:sz w:val="24"/>
          <w:highlight w:val="none"/>
          <w:lang w:val="en-US" w:eastAsia="zh-CN"/>
        </w:rPr>
        <w:t>1#厂房</w:t>
      </w:r>
      <w:r>
        <w:rPr>
          <w:rFonts w:hint="default" w:ascii="Times New Roman" w:hAnsi="Times New Roman" w:cs="Times New Roman"/>
          <w:b/>
          <w:bCs/>
          <w:color w:val="auto"/>
          <w:sz w:val="24"/>
          <w:highlight w:val="none"/>
        </w:rPr>
        <w:t>平面布置图</w:t>
      </w:r>
      <w:bookmarkEnd w:id="84"/>
    </w:p>
    <w:p w14:paraId="69B23C0E">
      <w:pPr>
        <w:jc w:val="center"/>
        <w:outlineLvl w:val="0"/>
        <w:rPr>
          <w:rFonts w:hint="default" w:ascii="Times New Roman" w:hAnsi="Times New Roman" w:cs="Times New Roman"/>
          <w:b/>
          <w:bCs/>
          <w:color w:val="auto"/>
          <w:sz w:val="24"/>
          <w:highlight w:val="none"/>
        </w:rPr>
        <w:sectPr>
          <w:pgSz w:w="16838" w:h="11906" w:orient="landscape"/>
          <w:pgMar w:top="1247" w:right="1701" w:bottom="1304" w:left="1701" w:header="850" w:footer="992" w:gutter="340"/>
          <w:pgBorders>
            <w:top w:val="none" w:sz="0" w:space="0"/>
            <w:left w:val="none" w:sz="0" w:space="0"/>
            <w:bottom w:val="none" w:sz="0" w:space="0"/>
            <w:right w:val="none" w:sz="0" w:space="0"/>
          </w:pgBorders>
          <w:pgNumType w:fmt="decimal"/>
          <w:cols w:space="720" w:num="1"/>
          <w:docGrid w:type="lines" w:linePitch="412" w:charSpace="0"/>
        </w:sectPr>
      </w:pPr>
    </w:p>
    <w:p w14:paraId="5B9E4683">
      <w:pPr>
        <w:widowControl w:val="0"/>
        <w:autoSpaceDE w:val="0"/>
        <w:autoSpaceDN w:val="0"/>
        <w:adjustRightInd w:val="0"/>
        <w:jc w:val="center"/>
        <w:rPr>
          <w:rFonts w:ascii="Times New Roman" w:hAnsi="Times New Roman" w:eastAsia="宋体....." w:cs="Times New Roman"/>
          <w:color w:val="auto"/>
          <w:kern w:val="2"/>
          <w:sz w:val="24"/>
          <w:szCs w:val="24"/>
          <w:highlight w:val="none"/>
          <w:lang w:val="en-US" w:eastAsia="zh-CN" w:bidi="ar-SA"/>
        </w:rPr>
      </w:pPr>
      <w:r>
        <w:rPr>
          <w:rFonts w:ascii="宋体....." w:hAnsi="Times New Roman" w:eastAsia="宋体....." w:cs="宋体....."/>
          <w:color w:val="auto"/>
          <w:kern w:val="2"/>
          <w:sz w:val="32"/>
          <w:szCs w:val="24"/>
          <w:highlight w:val="none"/>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3756660</wp:posOffset>
                </wp:positionH>
                <wp:positionV relativeFrom="paragraph">
                  <wp:posOffset>3263900</wp:posOffset>
                </wp:positionV>
                <wp:extent cx="139065" cy="141605"/>
                <wp:effectExtent l="4445" t="4445" r="8890" b="6350"/>
                <wp:wrapNone/>
                <wp:docPr id="291" name="五角星 291"/>
                <wp:cNvGraphicFramePr/>
                <a:graphic xmlns:a="http://schemas.openxmlformats.org/drawingml/2006/main">
                  <a:graphicData uri="http://schemas.microsoft.com/office/word/2010/wordprocessingShape">
                    <wps:wsp>
                      <wps:cNvSpPr/>
                      <wps:spPr>
                        <a:xfrm>
                          <a:off x="3783965" y="2263140"/>
                          <a:ext cx="139065" cy="141605"/>
                        </a:xfrm>
                        <a:prstGeom prst="star5">
                          <a:avLst/>
                        </a:prstGeom>
                        <a:solidFill>
                          <a:srgbClr val="FF0000"/>
                        </a:solidFill>
                        <a:ln w="9525"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95.8pt;margin-top:257pt;height:11.15pt;width:10.95pt;z-index:251664384;v-text-anchor:middle;mso-width-relative:page;mso-height-relative:page;" fillcolor="#FF0000" filled="t" stroked="t" coordsize="139065,141605" o:gfxdata="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ZHfd2QAAAAsBAAAPAAAAAAAAAAEAIAAA&#10;ACIAAABkcnMvZG93bnJldi54bWxQSwECFAAUAAAACACHTuJA6+6Xm30CAAD9BAAADgAAAAAAAAAB&#10;ACAAAAAoAQAAZHJzL2Uyb0RvYy54bWxQSwUGAAAAAAYABgBZAQAAFwYAAAAA&#10;" path="m0,54088l53118,54088,69532,0,85946,54088,139064,54088,96091,87516,112505,141604,69532,108175,26559,141604,42973,87516xe">
                <v:path o:connectlocs="69532,0;0,54088;26559,141604;112505,141604;139064,54088" o:connectangles="247,164,82,82,0"/>
                <v:fill on="t" focussize="0,0"/>
                <v:stroke color="#000000" joinstyle="round"/>
                <v:imagedata o:title=""/>
                <o:lock v:ext="edit" aspectratio="f"/>
              </v:shape>
            </w:pict>
          </mc:Fallback>
        </mc:AlternateContent>
      </w:r>
      <w:r>
        <w:rPr>
          <w:rFonts w:ascii="宋体....." w:hAnsi="Times New Roman" w:eastAsia="宋体....." w:cs="宋体....."/>
          <w:color w:val="auto"/>
          <w:kern w:val="2"/>
          <w:sz w:val="32"/>
          <w:szCs w:val="24"/>
          <w:highlight w:val="none"/>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4144010</wp:posOffset>
                </wp:positionH>
                <wp:positionV relativeFrom="paragraph">
                  <wp:posOffset>2464435</wp:posOffset>
                </wp:positionV>
                <wp:extent cx="967105" cy="358775"/>
                <wp:effectExtent l="306705" t="4445" r="21590" b="551180"/>
                <wp:wrapNone/>
                <wp:docPr id="7" name="圆角矩形标注 292"/>
                <wp:cNvGraphicFramePr/>
                <a:graphic xmlns:a="http://schemas.openxmlformats.org/drawingml/2006/main">
                  <a:graphicData uri="http://schemas.microsoft.com/office/word/2010/wordprocessingShape">
                    <wps:wsp>
                      <wps:cNvSpPr/>
                      <wps:spPr>
                        <a:xfrm>
                          <a:off x="0" y="0"/>
                          <a:ext cx="967105" cy="358775"/>
                        </a:xfrm>
                        <a:prstGeom prst="wedgeRoundRectCallout">
                          <a:avLst>
                            <a:gd name="adj1" fmla="val -81250"/>
                            <a:gd name="adj2" fmla="val 199204"/>
                            <a:gd name="adj3" fmla="val 16667"/>
                          </a:avLst>
                        </a:prstGeom>
                        <a:solidFill>
                          <a:srgbClr val="FFFFFF"/>
                        </a:solidFill>
                        <a:ln w="9525" cap="flat" cmpd="sng">
                          <a:solidFill>
                            <a:srgbClr val="000000"/>
                          </a:solidFill>
                          <a:prstDash val="solid"/>
                          <a:round/>
                          <a:headEnd type="none" w="med" len="med"/>
                          <a:tailEnd type="none" w="med" len="med"/>
                        </a:ln>
                      </wps:spPr>
                      <wps:txbx>
                        <w:txbxContent>
                          <w:p w14:paraId="05DA48DB">
                            <w:pPr>
                              <w:keepNext w:val="0"/>
                              <w:keepLines w:val="0"/>
                              <w:pageBreakBefore w:val="0"/>
                              <w:widowControl w:val="0"/>
                              <w:kinsoku/>
                              <w:wordWrap/>
                              <w:overflowPunct/>
                              <w:topLinePunct w:val="0"/>
                              <w:bidi w:val="0"/>
                              <w:adjustRightInd/>
                              <w:snapToGrid w:val="0"/>
                              <w:jc w:val="center"/>
                              <w:textAlignment w:val="auto"/>
                              <w:rPr>
                                <w:b/>
                                <w:bCs/>
                                <w:color w:val="000000"/>
                                <w:sz w:val="28"/>
                                <w:szCs w:val="28"/>
                              </w:rPr>
                            </w:pPr>
                            <w:r>
                              <w:rPr>
                                <w:rFonts w:hint="eastAsia"/>
                                <w:b/>
                                <w:bCs/>
                                <w:color w:val="000000"/>
                                <w:sz w:val="28"/>
                                <w:szCs w:val="28"/>
                              </w:rPr>
                              <w:t>项目位置</w:t>
                            </w:r>
                          </w:p>
                        </w:txbxContent>
                      </wps:txbx>
                      <wps:bodyPr vert="horz" wrap="square" anchor="ctr" anchorCtr="0" upright="1"/>
                    </wps:wsp>
                  </a:graphicData>
                </a:graphic>
              </wp:anchor>
            </w:drawing>
          </mc:Choice>
          <mc:Fallback>
            <w:pict>
              <v:shape id="圆角矩形标注 292" o:spid="_x0000_s1026" o:spt="62" type="#_x0000_t62" style="position:absolute;left:0pt;margin-left:326.3pt;margin-top:194.05pt;height:28.25pt;width:76.15pt;z-index:251665408;v-text-anchor:middle;mso-width-relative:page;mso-height-relative:page;" fillcolor="#FFFFFF" filled="t" stroked="t" coordsize="21600,21600" o:gfxdata="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BdP5orbAAAACwEAAA8AAAAAAAAAAQAgAAAAIgAAAGRycy9k&#10;b3ducmV2LnhtbFBLAQIUABQAAAAIAIdO4kDiZJBRcQIAAPMEAAAOAAAAAAAAAAEAIAAAACoBAABk&#10;cnMvZTJvRG9jLnhtbFBLBQYAAAAABgAGAFkBAAANBgAAAAA=&#10;" adj="-6750,53828,14400">
                <v:fill on="t" focussize="0,0"/>
                <v:stroke color="#000000" joinstyle="round"/>
                <v:imagedata o:title=""/>
                <o:lock v:ext="edit" aspectratio="f"/>
                <v:textbox>
                  <w:txbxContent>
                    <w:p w14:paraId="05DA48DB">
                      <w:pPr>
                        <w:keepNext w:val="0"/>
                        <w:keepLines w:val="0"/>
                        <w:pageBreakBefore w:val="0"/>
                        <w:widowControl w:val="0"/>
                        <w:kinsoku/>
                        <w:wordWrap/>
                        <w:overflowPunct/>
                        <w:topLinePunct w:val="0"/>
                        <w:bidi w:val="0"/>
                        <w:adjustRightInd/>
                        <w:snapToGrid w:val="0"/>
                        <w:jc w:val="center"/>
                        <w:textAlignment w:val="auto"/>
                        <w:rPr>
                          <w:b/>
                          <w:bCs/>
                          <w:color w:val="000000"/>
                          <w:sz w:val="28"/>
                          <w:szCs w:val="28"/>
                        </w:rPr>
                      </w:pPr>
                      <w:r>
                        <w:rPr>
                          <w:rFonts w:hint="eastAsia"/>
                          <w:b/>
                          <w:bCs/>
                          <w:color w:val="000000"/>
                          <w:sz w:val="28"/>
                          <w:szCs w:val="28"/>
                        </w:rPr>
                        <w:t>项目位置</w:t>
                      </w:r>
                    </w:p>
                  </w:txbxContent>
                </v:textbox>
              </v:shape>
            </w:pict>
          </mc:Fallback>
        </mc:AlternateContent>
      </w:r>
      <w:r>
        <w:rPr>
          <w:rFonts w:ascii="宋体....." w:hAnsi="Times New Roman" w:eastAsia="宋体....." w:cs="宋体....."/>
          <w:color w:val="000000"/>
          <w:kern w:val="2"/>
          <w:position w:val="-263"/>
          <w:sz w:val="24"/>
          <w:szCs w:val="24"/>
          <w:lang w:val="en-US" w:eastAsia="zh-CN" w:bidi="ar-SA"/>
        </w:rPr>
        <w:drawing>
          <wp:inline distT="0" distB="0" distL="0" distR="0">
            <wp:extent cx="5266690" cy="8353425"/>
            <wp:effectExtent l="0" t="0" r="10160" b="9525"/>
            <wp:docPr id="277" name="IM 22"/>
            <wp:cNvGraphicFramePr/>
            <a:graphic xmlns:a="http://schemas.openxmlformats.org/drawingml/2006/main">
              <a:graphicData uri="http://schemas.openxmlformats.org/drawingml/2006/picture">
                <pic:pic xmlns:pic="http://schemas.openxmlformats.org/drawingml/2006/picture">
                  <pic:nvPicPr>
                    <pic:cNvPr id="277" name="IM 22"/>
                    <pic:cNvPicPr/>
                  </pic:nvPicPr>
                  <pic:blipFill>
                    <a:blip r:embed="rId73"/>
                    <a:stretch>
                      <a:fillRect/>
                    </a:stretch>
                  </pic:blipFill>
                  <pic:spPr>
                    <a:xfrm>
                      <a:off x="0" y="0"/>
                      <a:ext cx="5266690" cy="8354059"/>
                    </a:xfrm>
                    <a:prstGeom prst="rect">
                      <a:avLst/>
                    </a:prstGeom>
                  </pic:spPr>
                </pic:pic>
              </a:graphicData>
            </a:graphic>
          </wp:inline>
        </w:drawing>
      </w:r>
    </w:p>
    <w:p w14:paraId="5CAB3F73">
      <w:pPr>
        <w:spacing w:line="240" w:lineRule="auto"/>
        <w:jc w:val="center"/>
        <w:outlineLvl w:val="0"/>
        <w:rPr>
          <w:rFonts w:hint="default" w:ascii="Times New Roman" w:hAnsi="Times New Roman" w:cs="Times New Roman"/>
          <w:b/>
          <w:bCs/>
          <w:color w:val="auto"/>
          <w:sz w:val="24"/>
          <w:highlight w:val="none"/>
        </w:rPr>
        <w:sectPr>
          <w:pgSz w:w="11850" w:h="16783"/>
          <w:pgMar w:top="1440" w:right="1080" w:bottom="1440" w:left="1080" w:header="850" w:footer="850" w:gutter="340"/>
          <w:pgBorders>
            <w:top w:val="none" w:sz="0" w:space="0"/>
            <w:left w:val="none" w:sz="0" w:space="0"/>
            <w:bottom w:val="none" w:sz="0" w:space="0"/>
            <w:right w:val="none" w:sz="0" w:space="0"/>
          </w:pgBorders>
          <w:pgNumType w:fmt="decimal"/>
          <w:cols w:space="720" w:num="1"/>
          <w:docGrid w:type="lines" w:linePitch="412" w:charSpace="0"/>
        </w:sectPr>
      </w:pPr>
      <w:bookmarkStart w:id="85" w:name="_Toc4763"/>
      <w:bookmarkStart w:id="86" w:name="_Toc359"/>
      <w:bookmarkStart w:id="87" w:name="_Toc12692"/>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6</w:t>
      </w:r>
      <w:r>
        <w:rPr>
          <w:rFonts w:hint="default" w:ascii="Times New Roman" w:hAnsi="Times New Roman" w:cs="Times New Roman"/>
          <w:b/>
          <w:bCs/>
          <w:color w:val="auto"/>
          <w:sz w:val="24"/>
          <w:highlight w:val="none"/>
        </w:rPr>
        <w:t xml:space="preserve"> </w:t>
      </w:r>
      <w:r>
        <w:rPr>
          <w:rFonts w:hint="eastAsia" w:cs="Times New Roman"/>
          <w:b/>
          <w:bCs/>
          <w:color w:val="auto"/>
          <w:sz w:val="24"/>
          <w:highlight w:val="none"/>
          <w:lang w:val="en-US" w:eastAsia="zh-CN"/>
        </w:rPr>
        <w:t>项目所在区域大气</w:t>
      </w:r>
      <w:r>
        <w:rPr>
          <w:rFonts w:hint="eastAsia" w:ascii="Times New Roman" w:hAnsi="Times New Roman" w:cs="Times New Roman"/>
          <w:b/>
          <w:bCs/>
          <w:color w:val="auto"/>
          <w:sz w:val="24"/>
          <w:highlight w:val="none"/>
          <w:lang w:val="en-US" w:eastAsia="zh-CN"/>
        </w:rPr>
        <w:t>环境</w:t>
      </w:r>
      <w:r>
        <w:rPr>
          <w:rFonts w:hint="default" w:ascii="Times New Roman" w:hAnsi="Times New Roman" w:cs="Times New Roman"/>
          <w:b/>
          <w:bCs/>
          <w:color w:val="auto"/>
          <w:sz w:val="24"/>
          <w:highlight w:val="none"/>
        </w:rPr>
        <w:t>功能区划图</w:t>
      </w:r>
      <w:bookmarkEnd w:id="81"/>
      <w:bookmarkEnd w:id="85"/>
      <w:bookmarkEnd w:id="86"/>
      <w:bookmarkEnd w:id="87"/>
    </w:p>
    <w:p w14:paraId="23A92793">
      <w:pPr>
        <w:tabs>
          <w:tab w:val="left" w:pos="0"/>
        </w:tabs>
        <w:adjustRightInd w:val="0"/>
        <w:snapToGrid w:val="0"/>
        <w:spacing w:line="240" w:lineRule="auto"/>
        <w:ind w:right="26"/>
        <w:jc w:val="center"/>
        <w:rPr>
          <w:rFonts w:hint="default" w:ascii="Times New Roman" w:hAnsi="Times New Roman" w:eastAsia="宋体" w:cs="Times New Roman"/>
          <w:color w:val="auto"/>
          <w:highlight w:val="none"/>
        </w:rPr>
      </w:pPr>
      <w:bookmarkStart w:id="88" w:name="_Toc2916"/>
      <w:bookmarkStart w:id="89" w:name="_Toc17786"/>
      <w:bookmarkStart w:id="90" w:name="_Toc2027"/>
      <w:r>
        <w:rPr>
          <w:sz w:val="21"/>
        </w:rPr>
        <mc:AlternateContent>
          <mc:Choice Requires="wps">
            <w:drawing>
              <wp:anchor distT="0" distB="0" distL="114300" distR="114300" simplePos="0" relativeHeight="251759616" behindDoc="0" locked="0" layoutInCell="1" allowOverlap="1">
                <wp:simplePos x="0" y="0"/>
                <wp:positionH relativeFrom="column">
                  <wp:posOffset>4773295</wp:posOffset>
                </wp:positionH>
                <wp:positionV relativeFrom="paragraph">
                  <wp:posOffset>1914525</wp:posOffset>
                </wp:positionV>
                <wp:extent cx="1016000" cy="391795"/>
                <wp:effectExtent l="0" t="0" r="0" b="0"/>
                <wp:wrapNone/>
                <wp:docPr id="192" name="文本框 192"/>
                <wp:cNvGraphicFramePr/>
                <a:graphic xmlns:a="http://schemas.openxmlformats.org/drawingml/2006/main">
                  <a:graphicData uri="http://schemas.microsoft.com/office/word/2010/wordprocessingShape">
                    <wps:wsp>
                      <wps:cNvSpPr txBox="1"/>
                      <wps:spPr>
                        <a:xfrm>
                          <a:off x="5845810" y="3209290"/>
                          <a:ext cx="1016000" cy="3917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B0F406">
                            <w:pPr>
                              <w:rPr>
                                <w:rFonts w:hint="default" w:eastAsia="宋体"/>
                                <w:b/>
                                <w:bCs/>
                                <w:color w:val="FFFF00"/>
                                <w:lang w:val="en-US" w:eastAsia="zh-CN"/>
                              </w:rPr>
                            </w:pPr>
                            <w:r>
                              <w:rPr>
                                <w:rFonts w:hint="eastAsia" w:ascii="Times New Roman" w:eastAsia="宋体"/>
                                <w:b/>
                                <w:bCs/>
                                <w:color w:val="FFFF00"/>
                                <w:lang w:val="en-US" w:eastAsia="zh-CN"/>
                              </w:rPr>
                              <w:t>距离4472m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5.85pt;margin-top:150.75pt;height:30.85pt;width:80pt;z-index:251759616;mso-width-relative:page;mso-height-relative:page;" filled="f" stroked="f" coordsize="21600,21600" o:gfxdata="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T61XytwAAAALAQAA&#10;DwAAAAAAAAABACAAAAAiAAAAZHJzL2Rvd25yZXYueG1sUEsBAhQAFAAAAAgAh07iQHDWOLJOAgAA&#10;hAQAAA4AAAAAAAAAAQAgAAAAKwEAAGRycy9lMm9Eb2MueG1sUEsFBgAAAAAGAAYAWQEAAOsFAAAA&#10;AA==&#10;">
                <v:fill on="f" focussize="0,0"/>
                <v:stroke on="f" weight="0.5pt"/>
                <v:imagedata o:title=""/>
                <o:lock v:ext="edit" aspectratio="f"/>
                <v:textbox>
                  <w:txbxContent>
                    <w:p w14:paraId="7FB0F406">
                      <w:pPr>
                        <w:rPr>
                          <w:rFonts w:hint="default" w:eastAsia="宋体"/>
                          <w:b/>
                          <w:bCs/>
                          <w:color w:val="FFFF00"/>
                          <w:lang w:val="en-US" w:eastAsia="zh-CN"/>
                        </w:rPr>
                      </w:pPr>
                      <w:r>
                        <w:rPr>
                          <w:rFonts w:hint="eastAsia" w:ascii="Times New Roman" w:eastAsia="宋体"/>
                          <w:b/>
                          <w:bCs/>
                          <w:color w:val="FFFF00"/>
                          <w:lang w:val="en-US" w:eastAsia="zh-CN"/>
                        </w:rPr>
                        <w:t>距离4472m</w:t>
                      </w:r>
                    </w:p>
                  </w:txbxContent>
                </v:textbox>
              </v:shape>
            </w:pict>
          </mc:Fallback>
        </mc:AlternateContent>
      </w:r>
      <w:r>
        <w:rPr>
          <w:sz w:val="21"/>
        </w:rPr>
        <mc:AlternateContent>
          <mc:Choice Requires="wps">
            <w:drawing>
              <wp:anchor distT="0" distB="0" distL="114300" distR="114300" simplePos="0" relativeHeight="251758592" behindDoc="0" locked="0" layoutInCell="1" allowOverlap="1">
                <wp:simplePos x="0" y="0"/>
                <wp:positionH relativeFrom="column">
                  <wp:posOffset>4660265</wp:posOffset>
                </wp:positionH>
                <wp:positionV relativeFrom="paragraph">
                  <wp:posOffset>971550</wp:posOffset>
                </wp:positionV>
                <wp:extent cx="190500" cy="4148455"/>
                <wp:effectExtent l="52705" t="635" r="23495" b="3810"/>
                <wp:wrapNone/>
                <wp:docPr id="191" name="直接箭头连接符 191"/>
                <wp:cNvGraphicFramePr/>
                <a:graphic xmlns:a="http://schemas.openxmlformats.org/drawingml/2006/main">
                  <a:graphicData uri="http://schemas.microsoft.com/office/word/2010/wordprocessingShape">
                    <wps:wsp>
                      <wps:cNvCnPr/>
                      <wps:spPr>
                        <a:xfrm flipH="1">
                          <a:off x="5560060" y="1748790"/>
                          <a:ext cx="190500" cy="4148455"/>
                        </a:xfrm>
                        <a:prstGeom prst="straightConnector1">
                          <a:avLst/>
                        </a:prstGeom>
                        <a:noFill/>
                        <a:ln w="25400" cap="flat" cmpd="sng" algn="ctr">
                          <a:solidFill>
                            <a:srgbClr val="FFFF00"/>
                          </a:solidFill>
                          <a:prstDash val="solid"/>
                          <a:tailEnd type="arrow"/>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66.95pt;margin-top:76.5pt;height:326.65pt;width:15pt;z-index:251758592;mso-width-relative:page;mso-height-relative:page;" filled="f" stroked="t" coordsize="21600,21600" o:gfxdata="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Aw7Z2tgAAAALAQAA&#10;DwAAAAAAAAABACAAAAAiAAAAZHJzL2Rvd25yZXYueG1sUEsBAhQAFAAAAAgAh07iQDsfGb0ZAgAA&#10;9QMAAA4AAAAAAAAAAQAgAAAAJwEAAGRycy9lMm9Eb2MueG1sUEsFBgAAAAAGAAYAWQEAALIFAAAA&#10;AA==&#10;">
                <v:fill on="f" focussize="0,0"/>
                <v:stroke weight="2pt" color="#FFFF00 [3204]" joinstyle="round" endarrow="open"/>
                <v:imagedata o:title=""/>
                <o:lock v:ext="edit" aspectratio="f"/>
              </v:shape>
            </w:pict>
          </mc:Fallback>
        </mc:AlternateContent>
      </w:r>
      <w:r>
        <w:rPr>
          <w:color w:val="auto"/>
          <w:highlight w:val="none"/>
        </w:rPr>
        <w:drawing>
          <wp:anchor distT="0" distB="0" distL="114300" distR="114300" simplePos="0" relativeHeight="251699200" behindDoc="0" locked="0" layoutInCell="1" allowOverlap="1">
            <wp:simplePos x="0" y="0"/>
            <wp:positionH relativeFrom="column">
              <wp:posOffset>7675245</wp:posOffset>
            </wp:positionH>
            <wp:positionV relativeFrom="paragraph">
              <wp:posOffset>28575</wp:posOffset>
            </wp:positionV>
            <wp:extent cx="1138555" cy="1067435"/>
            <wp:effectExtent l="0" t="0" r="4445" b="18415"/>
            <wp:wrapNone/>
            <wp:docPr id="4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3"/>
                    <pic:cNvPicPr>
                      <a:picLocks noChangeAspect="1"/>
                    </pic:cNvPicPr>
                  </pic:nvPicPr>
                  <pic:blipFill>
                    <a:blip r:embed="rId74"/>
                    <a:stretch>
                      <a:fillRect/>
                    </a:stretch>
                  </pic:blipFill>
                  <pic:spPr>
                    <a:xfrm>
                      <a:off x="0" y="0"/>
                      <a:ext cx="1138555" cy="1067435"/>
                    </a:xfrm>
                    <a:prstGeom prst="rect">
                      <a:avLst/>
                    </a:prstGeom>
                    <a:noFill/>
                    <a:ln>
                      <a:noFill/>
                    </a:ln>
                  </pic:spPr>
                </pic:pic>
              </a:graphicData>
            </a:graphic>
          </wp:anchor>
        </w:drawing>
      </w:r>
      <w:r>
        <w:rPr>
          <w:rFonts w:hint="default" w:ascii="Times New Roman" w:hAnsi="Times New Roman" w:cs="Times New Roman"/>
          <w:color w:val="auto"/>
          <w:sz w:val="24"/>
          <w:highlight w:val="none"/>
        </w:rPr>
        <mc:AlternateContent>
          <mc:Choice Requires="wps">
            <w:drawing>
              <wp:anchor distT="0" distB="0" distL="114300" distR="114300" simplePos="0" relativeHeight="251698176" behindDoc="0" locked="0" layoutInCell="1" allowOverlap="1">
                <wp:simplePos x="0" y="0"/>
                <wp:positionH relativeFrom="column">
                  <wp:posOffset>827405</wp:posOffset>
                </wp:positionH>
                <wp:positionV relativeFrom="paragraph">
                  <wp:posOffset>5333365</wp:posOffset>
                </wp:positionV>
                <wp:extent cx="278130" cy="130810"/>
                <wp:effectExtent l="7620" t="8255" r="19050" b="13335"/>
                <wp:wrapNone/>
                <wp:docPr id="44" name="矩形 24"/>
                <wp:cNvGraphicFramePr/>
                <a:graphic xmlns:a="http://schemas.openxmlformats.org/drawingml/2006/main">
                  <a:graphicData uri="http://schemas.microsoft.com/office/word/2010/wordprocessingShape">
                    <wps:wsp>
                      <wps:cNvSpPr/>
                      <wps:spPr>
                        <a:xfrm>
                          <a:off x="0" y="0"/>
                          <a:ext cx="278130" cy="130810"/>
                        </a:xfrm>
                        <a:prstGeom prst="rect">
                          <a:avLst/>
                        </a:prstGeom>
                        <a:noFill/>
                        <a:ln w="15875" cap="flat" cmpd="sng">
                          <a:solidFill>
                            <a:srgbClr val="FF0000"/>
                          </a:solidFill>
                          <a:prstDash val="solid"/>
                          <a:miter/>
                          <a:headEnd type="none" w="med" len="med"/>
                          <a:tailEnd type="none" w="med" len="med"/>
                        </a:ln>
                      </wps:spPr>
                      <wps:bodyPr wrap="square" upright="1"/>
                    </wps:wsp>
                  </a:graphicData>
                </a:graphic>
              </wp:anchor>
            </w:drawing>
          </mc:Choice>
          <mc:Fallback>
            <w:pict>
              <v:rect id="矩形 24" o:spid="_x0000_s1026" o:spt="1" style="position:absolute;left:0pt;margin-left:65.15pt;margin-top:419.95pt;height:10.3pt;width:21.9pt;z-index:251698176;mso-width-relative:page;mso-height-relative:page;" filled="f" stroked="t" coordsize="21600,21600" o:gfxdata="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nbyptcAAAALAQAADwAAAAAAAAABACAAAAAiAAAAZHJzL2Rv&#10;d25yZXYueG1sUEsBAhQAFAAAAAgAh07iQPTat54CAgAABQQAAA4AAAAAAAAAAQAgAAAAJgEAAGRy&#10;cy9lMm9Eb2MueG1sUEsFBgAAAAAGAAYAWQEAAJoFAAAAAA==&#10;">
                <v:fill on="f" focussize="0,0"/>
                <v:stroke weight="1.25pt" color="#FF0000" joinstyle="miter"/>
                <v:imagedata o:title=""/>
                <o:lock v:ext="edit" aspectratio="f"/>
              </v:rect>
            </w:pict>
          </mc:Fallback>
        </mc:AlternateContent>
      </w:r>
      <w:r>
        <w:rPr>
          <w:rFonts w:hint="default" w:ascii="Times New Roman" w:hAnsi="Times New Roman" w:eastAsia="宋体" w:cs="Times New Roman"/>
          <w:color w:val="auto"/>
          <w:highlight w:val="none"/>
        </w:rPr>
        <mc:AlternateContent>
          <mc:Choice Requires="wps">
            <w:drawing>
              <wp:anchor distT="0" distB="0" distL="114300" distR="114300" simplePos="0" relativeHeight="251697152" behindDoc="0" locked="0" layoutInCell="1" allowOverlap="1">
                <wp:simplePos x="0" y="0"/>
                <wp:positionH relativeFrom="column">
                  <wp:posOffset>52070</wp:posOffset>
                </wp:positionH>
                <wp:positionV relativeFrom="paragraph">
                  <wp:posOffset>4969510</wp:posOffset>
                </wp:positionV>
                <wp:extent cx="1219200" cy="614045"/>
                <wp:effectExtent l="4445" t="4445" r="14605" b="10160"/>
                <wp:wrapNone/>
                <wp:docPr id="43" name="矩形 25"/>
                <wp:cNvGraphicFramePr/>
                <a:graphic xmlns:a="http://schemas.openxmlformats.org/drawingml/2006/main">
                  <a:graphicData uri="http://schemas.microsoft.com/office/word/2010/wordprocessingShape">
                    <wps:wsp>
                      <wps:cNvSpPr/>
                      <wps:spPr>
                        <a:xfrm>
                          <a:off x="0" y="0"/>
                          <a:ext cx="1219200" cy="6140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49F82C">
                            <w:pPr>
                              <w:spacing w:line="240" w:lineRule="auto"/>
                              <w:jc w:val="center"/>
                              <w:rPr>
                                <w:b/>
                              </w:rPr>
                            </w:pPr>
                            <w:r>
                              <w:rPr>
                                <w:rFonts w:hint="eastAsia"/>
                                <w:b/>
                              </w:rPr>
                              <w:t>图</w:t>
                            </w:r>
                            <w:r>
                              <w:rPr>
                                <w:rFonts w:hint="eastAsia" w:ascii="Times New Roman" w:eastAsia="宋体"/>
                                <w:b/>
                                <w:lang w:val="en-US" w:eastAsia="zh-CN"/>
                              </w:rPr>
                              <w:t xml:space="preserve"> </w:t>
                            </w:r>
                            <w:r>
                              <w:rPr>
                                <w:rFonts w:hint="eastAsia"/>
                                <w:b/>
                              </w:rPr>
                              <w:t>例</w:t>
                            </w:r>
                          </w:p>
                          <w:p w14:paraId="2AC82E88">
                            <w:pPr>
                              <w:spacing w:line="240" w:lineRule="auto"/>
                              <w:rPr>
                                <w:rFonts w:hint="default"/>
                                <w:b/>
                                <w:lang w:val="en-US" w:eastAsia="zh-CN"/>
                              </w:rPr>
                            </w:pPr>
                            <w:r>
                              <w:rPr>
                                <w:rFonts w:hint="eastAsia"/>
                                <w:b/>
                              </w:rPr>
                              <w:t>项目位置：</w:t>
                            </w:r>
                          </w:p>
                        </w:txbxContent>
                      </wps:txbx>
                      <wps:bodyPr wrap="square" upright="1"/>
                    </wps:wsp>
                  </a:graphicData>
                </a:graphic>
              </wp:anchor>
            </w:drawing>
          </mc:Choice>
          <mc:Fallback>
            <w:pict>
              <v:rect id="矩形 25" o:spid="_x0000_s1026" o:spt="1" style="position:absolute;left:0pt;margin-left:4.1pt;margin-top:391.3pt;height:48.35pt;width:96pt;z-index:251697152;mso-width-relative:page;mso-height-relative:page;" fillcolor="#FFFFFF" filled="t" stroked="t" coordsize="21600,21600" o:gfxdata="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292Lt1gAAAAkBAAAPAAAAAAAAAAEAIAAA&#10;ACIAAABkcnMvZG93bnJldi54bWxQSwECFAAUAAAACACHTuJAQK4r2w4CAAA5BAAADgAAAAAAAAAB&#10;ACAAAAAlAQAAZHJzL2Uyb0RvYy54bWxQSwUGAAAAAAYABgBZAQAApQUAAAAA&#10;">
                <v:fill on="t" focussize="0,0"/>
                <v:stroke color="#000000" joinstyle="miter"/>
                <v:imagedata o:title=""/>
                <o:lock v:ext="edit" aspectratio="f"/>
                <v:textbox>
                  <w:txbxContent>
                    <w:p w14:paraId="4849F82C">
                      <w:pPr>
                        <w:spacing w:line="240" w:lineRule="auto"/>
                        <w:jc w:val="center"/>
                        <w:rPr>
                          <w:b/>
                        </w:rPr>
                      </w:pPr>
                      <w:r>
                        <w:rPr>
                          <w:rFonts w:hint="eastAsia"/>
                          <w:b/>
                        </w:rPr>
                        <w:t>图</w:t>
                      </w:r>
                      <w:r>
                        <w:rPr>
                          <w:rFonts w:hint="eastAsia" w:ascii="Times New Roman" w:eastAsia="宋体"/>
                          <w:b/>
                          <w:lang w:val="en-US" w:eastAsia="zh-CN"/>
                        </w:rPr>
                        <w:t xml:space="preserve"> </w:t>
                      </w:r>
                      <w:r>
                        <w:rPr>
                          <w:rFonts w:hint="eastAsia"/>
                          <w:b/>
                        </w:rPr>
                        <w:t>例</w:t>
                      </w:r>
                    </w:p>
                    <w:p w14:paraId="2AC82E88">
                      <w:pPr>
                        <w:spacing w:line="240" w:lineRule="auto"/>
                        <w:rPr>
                          <w:rFonts w:hint="default"/>
                          <w:b/>
                          <w:lang w:val="en-US" w:eastAsia="zh-CN"/>
                        </w:rPr>
                      </w:pPr>
                      <w:r>
                        <w:rPr>
                          <w:rFonts w:hint="eastAsia"/>
                          <w:b/>
                        </w:rPr>
                        <w:t>项目位置：</w:t>
                      </w:r>
                    </w:p>
                  </w:txbxContent>
                </v:textbox>
              </v:rect>
            </w:pict>
          </mc:Fallback>
        </mc:AlternateContent>
      </w:r>
      <w:r>
        <w:drawing>
          <wp:inline distT="0" distB="0" distL="114300" distR="114300">
            <wp:extent cx="8857615" cy="5583555"/>
            <wp:effectExtent l="0" t="0" r="635" b="17145"/>
            <wp:docPr id="19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4"/>
                    <pic:cNvPicPr>
                      <a:picLocks noChangeAspect="1"/>
                    </pic:cNvPicPr>
                  </pic:nvPicPr>
                  <pic:blipFill>
                    <a:blip r:embed="rId75"/>
                    <a:stretch>
                      <a:fillRect/>
                    </a:stretch>
                  </pic:blipFill>
                  <pic:spPr>
                    <a:xfrm>
                      <a:off x="0" y="0"/>
                      <a:ext cx="8857615" cy="5583555"/>
                    </a:xfrm>
                    <a:prstGeom prst="rect">
                      <a:avLst/>
                    </a:prstGeom>
                    <a:noFill/>
                    <a:ln>
                      <a:noFill/>
                    </a:ln>
                  </pic:spPr>
                </pic:pic>
              </a:graphicData>
            </a:graphic>
          </wp:inline>
        </w:drawing>
      </w:r>
    </w:p>
    <w:p w14:paraId="6F7EF127">
      <w:pPr>
        <w:jc w:val="center"/>
        <w:outlineLvl w:val="0"/>
        <w:rPr>
          <w:rFonts w:hint="default" w:ascii="Times New Roman" w:hAnsi="Times New Roman" w:cs="Times New Roman"/>
          <w:color w:val="auto"/>
          <w:highlight w:val="none"/>
        </w:rPr>
      </w:pPr>
      <w:bookmarkStart w:id="91" w:name="_Toc24705"/>
      <w:bookmarkStart w:id="92" w:name="_Toc31670"/>
      <w:bookmarkStart w:id="93" w:name="_Toc24394"/>
      <w:bookmarkStart w:id="94" w:name="_Toc26460"/>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7</w:t>
      </w:r>
      <w:r>
        <w:rPr>
          <w:rFonts w:hint="default" w:ascii="Times New Roman" w:hAnsi="Times New Roman" w:cs="Times New Roman"/>
          <w:b/>
          <w:bCs/>
          <w:color w:val="auto"/>
          <w:sz w:val="24"/>
          <w:highlight w:val="none"/>
        </w:rPr>
        <w:t xml:space="preserve"> 环境空气质量现状</w:t>
      </w:r>
      <w:r>
        <w:rPr>
          <w:rFonts w:hint="eastAsia" w:ascii="Times New Roman" w:hAnsi="Times New Roman" w:cs="Times New Roman"/>
          <w:b/>
          <w:bCs/>
          <w:color w:val="auto"/>
          <w:sz w:val="24"/>
          <w:highlight w:val="none"/>
          <w:lang w:val="en-US" w:eastAsia="zh-CN"/>
        </w:rPr>
        <w:t>引用</w:t>
      </w:r>
      <w:r>
        <w:rPr>
          <w:rFonts w:hint="default" w:ascii="Times New Roman" w:hAnsi="Times New Roman" w:cs="Times New Roman"/>
          <w:b/>
          <w:bCs/>
          <w:color w:val="auto"/>
          <w:sz w:val="24"/>
          <w:highlight w:val="none"/>
        </w:rPr>
        <w:t>监测布点示意图</w:t>
      </w:r>
      <w:bookmarkEnd w:id="91"/>
      <w:bookmarkEnd w:id="92"/>
      <w:bookmarkEnd w:id="93"/>
      <w:bookmarkEnd w:id="94"/>
    </w:p>
    <w:p w14:paraId="2F7C3301">
      <w:pPr>
        <w:rPr>
          <w:rFonts w:hint="default" w:ascii="Times New Roman" w:hAnsi="Times New Roman" w:cs="Times New Roman"/>
          <w:color w:val="auto"/>
          <w:highlight w:val="none"/>
        </w:rPr>
        <w:sectPr>
          <w:pgSz w:w="16783" w:h="11850" w:orient="landscape"/>
          <w:pgMar w:top="1191" w:right="1417" w:bottom="1134" w:left="1417" w:header="850" w:footer="850" w:gutter="340"/>
          <w:pgBorders>
            <w:top w:val="none" w:sz="0" w:space="0"/>
            <w:left w:val="none" w:sz="0" w:space="0"/>
            <w:bottom w:val="none" w:sz="0" w:space="0"/>
            <w:right w:val="none" w:sz="0" w:space="0"/>
          </w:pgBorders>
          <w:pgNumType w:fmt="decimal"/>
          <w:cols w:space="720" w:num="1"/>
          <w:docGrid w:type="lines" w:linePitch="412" w:charSpace="0"/>
        </w:sectPr>
      </w:pPr>
    </w:p>
    <w:p w14:paraId="08B32691">
      <w:pPr>
        <w:kinsoku w:val="0"/>
        <w:overflowPunct w:val="0"/>
        <w:adjustRightInd w:val="0"/>
        <w:snapToGrid w:val="0"/>
        <w:ind w:firstLine="420" w:firstLineChars="200"/>
        <w:jc w:val="center"/>
        <w:rPr>
          <w:color w:val="auto"/>
          <w:highlight w:val="none"/>
        </w:rPr>
      </w:pPr>
      <w:r>
        <w:rPr>
          <w:sz w:val="21"/>
        </w:rPr>
        <mc:AlternateContent>
          <mc:Choice Requires="wps">
            <w:drawing>
              <wp:anchor distT="0" distB="0" distL="114300" distR="114300" simplePos="0" relativeHeight="251774976" behindDoc="0" locked="0" layoutInCell="1" allowOverlap="1">
                <wp:simplePos x="0" y="0"/>
                <wp:positionH relativeFrom="column">
                  <wp:posOffset>2943225</wp:posOffset>
                </wp:positionH>
                <wp:positionV relativeFrom="paragraph">
                  <wp:posOffset>2451100</wp:posOffset>
                </wp:positionV>
                <wp:extent cx="76835" cy="97790"/>
                <wp:effectExtent l="4445" t="4445" r="13970" b="12065"/>
                <wp:wrapNone/>
                <wp:docPr id="283" name="矩形 1049"/>
                <wp:cNvGraphicFramePr/>
                <a:graphic xmlns:a="http://schemas.openxmlformats.org/drawingml/2006/main">
                  <a:graphicData uri="http://schemas.microsoft.com/office/word/2010/wordprocessingShape">
                    <wps:wsp>
                      <wps:cNvSpPr/>
                      <wps:spPr>
                        <a:xfrm>
                          <a:off x="5495925" y="2402205"/>
                          <a:ext cx="76835" cy="97790"/>
                        </a:xfrm>
                        <a:prstGeom prst="rect">
                          <a:avLst/>
                        </a:prstGeom>
                        <a:solidFill>
                          <a:srgbClr val="FF0000"/>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049" o:spid="_x0000_s1026" o:spt="1" style="position:absolute;left:0pt;margin-left:231.75pt;margin-top:193pt;height:7.7pt;width:6.05pt;z-index:251774976;mso-width-relative:page;mso-height-relative:page;" fillcolor="#FF0000" filled="t" stroked="t" coordsize="21600,21600" o:gfxdata="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OjwCu9oAAAALAQAADwAAAAAAAAABACAAAAAiAAAAZHJzL2Rvd25yZXYueG1sUEsBAhQA&#10;FAAAAAgAh07iQB2fcZkpAgAAXwQAAA4AAAAAAAAAAQAgAAAAKQEAAGRycy9lMm9Eb2MueG1sUEsF&#10;BgAAAAAGAAYAWQEAAMQFAAAAAA==&#10;">
                <v:fill on="t" focussize="0,0"/>
                <v:stroke color="#000000" joinstyle="miter"/>
                <v:imagedata o:title=""/>
                <o:lock v:ext="edit" aspectratio="f"/>
              </v:rect>
            </w:pict>
          </mc:Fallback>
        </mc:AlternateContent>
      </w:r>
      <w:r>
        <w:rPr>
          <w:sz w:val="21"/>
        </w:rPr>
        <mc:AlternateContent>
          <mc:Choice Requires="wps">
            <w:drawing>
              <wp:anchor distT="0" distB="0" distL="114300" distR="114300" simplePos="0" relativeHeight="251776000" behindDoc="0" locked="0" layoutInCell="1" allowOverlap="1">
                <wp:simplePos x="0" y="0"/>
                <wp:positionH relativeFrom="column">
                  <wp:posOffset>3227705</wp:posOffset>
                </wp:positionH>
                <wp:positionV relativeFrom="paragraph">
                  <wp:posOffset>3662045</wp:posOffset>
                </wp:positionV>
                <wp:extent cx="1070610" cy="334645"/>
                <wp:effectExtent l="237490" t="1126490" r="6350" b="5715"/>
                <wp:wrapNone/>
                <wp:docPr id="284" name="自选图形 1048"/>
                <wp:cNvGraphicFramePr/>
                <a:graphic xmlns:a="http://schemas.openxmlformats.org/drawingml/2006/main">
                  <a:graphicData uri="http://schemas.microsoft.com/office/word/2010/wordprocessingShape">
                    <wps:wsp>
                      <wps:cNvSpPr/>
                      <wps:spPr>
                        <a:xfrm>
                          <a:off x="3886200" y="2713990"/>
                          <a:ext cx="1070610" cy="334645"/>
                        </a:xfrm>
                        <a:prstGeom prst="wedgeRoundRectCallout">
                          <a:avLst>
                            <a:gd name="adj1" fmla="val -70581"/>
                            <a:gd name="adj2" fmla="val -376185"/>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061E81B4">
                            <w:pPr>
                              <w:jc w:val="left"/>
                              <w:rPr>
                                <w:rFonts w:hint="default" w:eastAsia="宋体"/>
                                <w:b/>
                                <w:bCs/>
                                <w:lang w:val="en-US" w:eastAsia="zh-CN"/>
                              </w:rPr>
                            </w:pPr>
                            <w:r>
                              <w:rPr>
                                <w:rFonts w:hint="eastAsia" w:ascii="Times New Roman" w:eastAsia="宋体"/>
                                <w:b/>
                                <w:bCs/>
                                <w:lang w:val="en-US" w:eastAsia="zh-CN"/>
                              </w:rPr>
                              <w:t>项目选址位置</w:t>
                            </w:r>
                          </w:p>
                        </w:txbxContent>
                      </wps:txbx>
                      <wps:bodyPr vert="horz" wrap="square" anchor="t" anchorCtr="0" upright="1"/>
                    </wps:wsp>
                  </a:graphicData>
                </a:graphic>
              </wp:anchor>
            </w:drawing>
          </mc:Choice>
          <mc:Fallback>
            <w:pict>
              <v:shape id="自选图形 1048" o:spid="_x0000_s1026" o:spt="62" type="#_x0000_t62" style="position:absolute;left:0pt;margin-left:254.15pt;margin-top:288.35pt;height:26.35pt;width:84.3pt;z-index:251776000;mso-width-relative:page;mso-height-relative:page;" fillcolor="#FFFFFF" filled="t" stroked="t" coordsize="21600,21600" o:gfxdata="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EaJOirYAAAACwEAAA8AAAAAAAAAAQAgAAAAIgAA&#10;AGRycy9kb3ducmV2LnhtbFBLAQIUABQAAAAIAIdO4kDP5+AQegIAAPwEAAAOAAAAAAAAAAEAIAAA&#10;ACcBAABkcnMvZTJvRG9jLnhtbFBLBQYAAAAABgAGAFkBAAATBgAAAAA=&#10;" adj="-4445,-70456,14400">
                <v:fill on="t" focussize="0,0"/>
                <v:stroke color="#000000" joinstyle="miter"/>
                <v:imagedata o:title=""/>
                <o:lock v:ext="edit" aspectratio="f"/>
                <v:textbox>
                  <w:txbxContent>
                    <w:p w14:paraId="061E81B4">
                      <w:pPr>
                        <w:jc w:val="left"/>
                        <w:rPr>
                          <w:rFonts w:hint="default" w:eastAsia="宋体"/>
                          <w:b/>
                          <w:bCs/>
                          <w:lang w:val="en-US" w:eastAsia="zh-CN"/>
                        </w:rPr>
                      </w:pPr>
                      <w:r>
                        <w:rPr>
                          <w:rFonts w:hint="eastAsia" w:ascii="Times New Roman" w:eastAsia="宋体"/>
                          <w:b/>
                          <w:bCs/>
                          <w:lang w:val="en-US" w:eastAsia="zh-CN"/>
                        </w:rPr>
                        <w:t>项目选址位置</w:t>
                      </w:r>
                    </w:p>
                  </w:txbxContent>
                </v:textbox>
              </v:shape>
            </w:pict>
          </mc:Fallback>
        </mc:AlternateContent>
      </w:r>
      <w:r>
        <w:rPr>
          <w:position w:val="-263"/>
        </w:rPr>
        <w:drawing>
          <wp:inline distT="0" distB="0" distL="0" distR="0">
            <wp:extent cx="5266690" cy="8353425"/>
            <wp:effectExtent l="0" t="0" r="10160" b="9525"/>
            <wp:docPr id="281" name="IM 12"/>
            <wp:cNvGraphicFramePr/>
            <a:graphic xmlns:a="http://schemas.openxmlformats.org/drawingml/2006/main">
              <a:graphicData uri="http://schemas.openxmlformats.org/drawingml/2006/picture">
                <pic:pic xmlns:pic="http://schemas.openxmlformats.org/drawingml/2006/picture">
                  <pic:nvPicPr>
                    <pic:cNvPr id="281" name="IM 12"/>
                    <pic:cNvPicPr/>
                  </pic:nvPicPr>
                  <pic:blipFill>
                    <a:blip r:embed="rId76"/>
                    <a:stretch>
                      <a:fillRect/>
                    </a:stretch>
                  </pic:blipFill>
                  <pic:spPr>
                    <a:xfrm>
                      <a:off x="0" y="0"/>
                      <a:ext cx="5266690" cy="8354059"/>
                    </a:xfrm>
                    <a:prstGeom prst="rect">
                      <a:avLst/>
                    </a:prstGeom>
                  </pic:spPr>
                </pic:pic>
              </a:graphicData>
            </a:graphic>
          </wp:inline>
        </w:drawing>
      </w:r>
    </w:p>
    <w:p w14:paraId="1E67C51F">
      <w:pPr>
        <w:spacing w:line="240" w:lineRule="auto"/>
        <w:jc w:val="center"/>
        <w:outlineLvl w:val="0"/>
        <w:rPr>
          <w:rFonts w:hint="default" w:ascii="Times New Roman" w:hAnsi="Times New Roman" w:cs="Times New Roman"/>
          <w:b/>
          <w:bCs/>
          <w:color w:val="auto"/>
          <w:sz w:val="24"/>
          <w:highlight w:val="none"/>
        </w:rPr>
        <w:sectPr>
          <w:pgSz w:w="11850" w:h="16783"/>
          <w:pgMar w:top="1440" w:right="1080" w:bottom="1440" w:left="1080" w:header="850" w:footer="850" w:gutter="340"/>
          <w:pgBorders>
            <w:top w:val="none" w:sz="0" w:space="0"/>
            <w:left w:val="none" w:sz="0" w:space="0"/>
            <w:bottom w:val="none" w:sz="0" w:space="0"/>
            <w:right w:val="none" w:sz="0" w:space="0"/>
          </w:pgBorders>
          <w:pgNumType w:fmt="decimal"/>
          <w:cols w:space="720" w:num="1"/>
          <w:docGrid w:type="lines" w:linePitch="412" w:charSpace="0"/>
        </w:sectPr>
      </w:pPr>
      <w:bookmarkStart w:id="95" w:name="_Toc12408"/>
      <w:bookmarkStart w:id="96" w:name="_Toc30060"/>
      <w:bookmarkStart w:id="97" w:name="_Toc14457"/>
      <w:r>
        <w:rPr>
          <w:rFonts w:hint="default" w:ascii="Times New Roman" w:hAnsi="Times New Roman" w:cs="Times New Roman"/>
          <w:b/>
          <w:bCs/>
          <w:color w:val="auto"/>
          <w:sz w:val="24"/>
          <w:highlight w:val="none"/>
        </w:rPr>
        <w:t>附图</w:t>
      </w:r>
      <w:r>
        <w:rPr>
          <w:rFonts w:hint="eastAsia" w:ascii="Times New Roman" w:hAnsi="Times New Roman" w:cs="Times New Roman"/>
          <w:b/>
          <w:bCs/>
          <w:color w:val="auto"/>
          <w:sz w:val="24"/>
          <w:highlight w:val="none"/>
          <w:lang w:val="en-US" w:eastAsia="zh-CN"/>
        </w:rPr>
        <w:t>8</w:t>
      </w:r>
      <w:r>
        <w:rPr>
          <w:rFonts w:hint="default" w:ascii="Times New Roman" w:hAnsi="Times New Roman" w:cs="Times New Roman"/>
          <w:b/>
          <w:bCs/>
          <w:color w:val="auto"/>
          <w:sz w:val="24"/>
          <w:highlight w:val="none"/>
        </w:rPr>
        <w:t xml:space="preserve"> </w:t>
      </w:r>
      <w:bookmarkEnd w:id="88"/>
      <w:bookmarkEnd w:id="89"/>
      <w:r>
        <w:rPr>
          <w:rFonts w:hint="eastAsia" w:cs="Times New Roman"/>
          <w:b/>
          <w:bCs/>
          <w:color w:val="auto"/>
          <w:sz w:val="24"/>
          <w:highlight w:val="none"/>
          <w:lang w:val="en-US" w:eastAsia="zh-CN"/>
        </w:rPr>
        <w:t>项目周边水系</w:t>
      </w:r>
      <w:r>
        <w:rPr>
          <w:rFonts w:hint="default" w:ascii="Times New Roman" w:hAnsi="Times New Roman" w:cs="Times New Roman"/>
          <w:b/>
          <w:bCs/>
          <w:color w:val="auto"/>
          <w:sz w:val="24"/>
          <w:highlight w:val="none"/>
        </w:rPr>
        <w:t>图</w:t>
      </w:r>
      <w:bookmarkEnd w:id="90"/>
      <w:bookmarkEnd w:id="95"/>
      <w:bookmarkEnd w:id="96"/>
      <w:bookmarkEnd w:id="97"/>
    </w:p>
    <w:p w14:paraId="43BC44DF">
      <w:pPr>
        <w:widowControl w:val="0"/>
        <w:spacing w:line="240" w:lineRule="auto"/>
        <w:jc w:val="center"/>
        <w:rPr>
          <w:rFonts w:hint="eastAsia" w:ascii="宋体" w:hAnsi="Courier New" w:eastAsia="宋体" w:cs="Times New Roman"/>
          <w:color w:val="auto"/>
          <w:kern w:val="2"/>
          <w:sz w:val="21"/>
          <w:szCs w:val="20"/>
          <w:highlight w:val="none"/>
          <w:lang w:val="en-US" w:eastAsia="zh-CN" w:bidi="ar-SA"/>
        </w:rPr>
      </w:pPr>
      <w:r>
        <w:rPr>
          <w:rFonts w:ascii="宋体" w:hAnsi="Courier New" w:eastAsia="宋体" w:cs="Times New Roman"/>
          <w:kern w:val="2"/>
          <w:sz w:val="21"/>
          <w:szCs w:val="20"/>
          <w:lang w:val="en-US" w:eastAsia="zh-CN" w:bidi="ar-SA"/>
        </w:rPr>
        <mc:AlternateContent>
          <mc:Choice Requires="wpg">
            <w:drawing>
              <wp:anchor distT="0" distB="0" distL="114300" distR="114300" simplePos="0" relativeHeight="251666432" behindDoc="0" locked="0" layoutInCell="1" allowOverlap="1">
                <wp:simplePos x="0" y="0"/>
                <wp:positionH relativeFrom="column">
                  <wp:posOffset>2892425</wp:posOffset>
                </wp:positionH>
                <wp:positionV relativeFrom="paragraph">
                  <wp:posOffset>1650365</wp:posOffset>
                </wp:positionV>
                <wp:extent cx="1685925" cy="645795"/>
                <wp:effectExtent l="4445" t="4445" r="24130" b="16510"/>
                <wp:wrapNone/>
                <wp:docPr id="122" name="组合 122"/>
                <wp:cNvGraphicFramePr/>
                <a:graphic xmlns:a="http://schemas.openxmlformats.org/drawingml/2006/main">
                  <a:graphicData uri="http://schemas.microsoft.com/office/word/2010/wordprocessingGroup">
                    <wpg:wgp>
                      <wpg:cNvGrpSpPr/>
                      <wpg:grpSpPr>
                        <a:xfrm>
                          <a:off x="0" y="0"/>
                          <a:ext cx="1685925" cy="645795"/>
                          <a:chOff x="10320" y="2647067"/>
                          <a:chExt cx="2655" cy="1017"/>
                        </a:xfrm>
                      </wpg:grpSpPr>
                      <wps:wsp>
                        <wps:cNvPr id="8" name="矩形 1049"/>
                        <wps:cNvSpPr/>
                        <wps:spPr>
                          <a:xfrm>
                            <a:off x="12855" y="2647067"/>
                            <a:ext cx="121" cy="154"/>
                          </a:xfrm>
                          <a:prstGeom prst="rect">
                            <a:avLst/>
                          </a:prstGeom>
                          <a:solidFill>
                            <a:srgbClr val="FFFFFF"/>
                          </a:solidFill>
                          <a:ln w="9525" cap="flat" cmpd="sng">
                            <a:solidFill>
                              <a:srgbClr val="000000"/>
                            </a:solidFill>
                            <a:prstDash val="solid"/>
                            <a:miter/>
                            <a:headEnd type="none" w="med" len="med"/>
                            <a:tailEnd type="none" w="med" len="med"/>
                          </a:ln>
                        </wps:spPr>
                        <wps:bodyPr vert="horz" wrap="square" anchor="t" anchorCtr="0" upright="1"/>
                      </wps:wsp>
                      <wps:wsp>
                        <wps:cNvPr id="9" name="自选图形 1048"/>
                        <wps:cNvSpPr/>
                        <wps:spPr>
                          <a:xfrm>
                            <a:off x="10320" y="2647558"/>
                            <a:ext cx="1686" cy="527"/>
                          </a:xfrm>
                          <a:prstGeom prst="wedgeRoundRectCallout">
                            <a:avLst>
                              <a:gd name="adj1" fmla="val 98458"/>
                              <a:gd name="adj2" fmla="val -126278"/>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4706FE07">
                              <w:pPr>
                                <w:jc w:val="left"/>
                                <w:rPr>
                                  <w:rFonts w:hint="default" w:eastAsia="宋体"/>
                                  <w:b/>
                                  <w:bCs/>
                                  <w:lang w:val="en-US" w:eastAsia="zh-CN"/>
                                </w:rPr>
                              </w:pPr>
                              <w:r>
                                <w:rPr>
                                  <w:rFonts w:hint="eastAsia" w:ascii="Times New Roman" w:eastAsia="宋体"/>
                                  <w:b/>
                                  <w:bCs/>
                                  <w:lang w:val="en-US" w:eastAsia="zh-CN"/>
                                </w:rPr>
                                <w:t>项目选址位置</w:t>
                              </w:r>
                            </w:p>
                          </w:txbxContent>
                        </wps:txbx>
                        <wps:bodyPr vert="horz" wrap="square" anchor="t" anchorCtr="0" upright="1"/>
                      </wps:wsp>
                    </wpg:wgp>
                  </a:graphicData>
                </a:graphic>
              </wp:anchor>
            </w:drawing>
          </mc:Choice>
          <mc:Fallback>
            <w:pict>
              <v:group id="_x0000_s1026" o:spid="_x0000_s1026" o:spt="203" style="position:absolute;left:0pt;margin-left:227.75pt;margin-top:129.95pt;height:50.85pt;width:132.75pt;z-index:251666432;mso-width-relative:page;mso-height-relative:page;" coordorigin="10320,2647067" coordsize="2655,1017" o:gfxdata="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">
                <o:lock v:ext="edit" aspectratio="f"/>
                <v:rect id="矩形 1049" o:spid="_x0000_s1026" o:spt="1" style="position:absolute;left:12855;top:2647067;height:154;width:121;" fillcolor="#FFFFFF" filled="t" stroked="t" coordsize="21600,21600" o:gfxdata="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laNdS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rect>
                <v:shape id="自选图形 1048" o:spid="_x0000_s1026" o:spt="62" type="#_x0000_t62" style="position:absolute;left:10320;top:2647558;height:527;width:1686;" fillcolor="#FFFFFF" filled="t" stroked="t" coordsize="21600,21600" o:gfxdata="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mQQwL4A&#10;AADaAAAADwAAAAAAAAABACAAAAAiAAAAZHJzL2Rvd25yZXYueG1sUEsBAhQAFAAAAAgAh07iQDMv&#10;BZ47AAAAOQAAABAAAAAAAAAAAQAgAAAADQEAAGRycy9zaGFwZXhtbC54bWxQSwUGAAAAAAYABgBb&#10;AQAAtwMAAAAA&#10;" adj="32067,-16476,14400">
                  <v:fill on="t" focussize="0,0"/>
                  <v:stroke color="#000000" joinstyle="miter"/>
                  <v:imagedata o:title=""/>
                  <o:lock v:ext="edit" aspectratio="f"/>
                  <v:textbox>
                    <w:txbxContent>
                      <w:p w14:paraId="4706FE07">
                        <w:pPr>
                          <w:jc w:val="left"/>
                          <w:rPr>
                            <w:rFonts w:hint="default" w:eastAsia="宋体"/>
                            <w:b/>
                            <w:bCs/>
                            <w:lang w:val="en-US" w:eastAsia="zh-CN"/>
                          </w:rPr>
                        </w:pPr>
                        <w:r>
                          <w:rPr>
                            <w:rFonts w:hint="eastAsia" w:ascii="Times New Roman" w:eastAsia="宋体"/>
                            <w:b/>
                            <w:bCs/>
                            <w:lang w:val="en-US" w:eastAsia="zh-CN"/>
                          </w:rPr>
                          <w:t>项目选址位置</w:t>
                        </w:r>
                      </w:p>
                    </w:txbxContent>
                  </v:textbox>
                </v:shape>
              </v:group>
            </w:pict>
          </mc:Fallback>
        </mc:AlternateContent>
      </w:r>
      <w:r>
        <w:rPr>
          <w:rFonts w:ascii="宋体" w:hAnsi="Courier New" w:eastAsia="宋体" w:cs="Times New Roman"/>
          <w:kern w:val="2"/>
          <w:sz w:val="21"/>
          <w:szCs w:val="20"/>
          <w:lang w:val="en-US" w:eastAsia="zh-CN" w:bidi="ar-SA"/>
        </w:rPr>
        <w:drawing>
          <wp:inline distT="0" distB="0" distL="114300" distR="114300">
            <wp:extent cx="5505450" cy="7839075"/>
            <wp:effectExtent l="0" t="0" r="0" b="9525"/>
            <wp:docPr id="1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3"/>
                    <pic:cNvPicPr>
                      <a:picLocks noChangeAspect="1"/>
                    </pic:cNvPicPr>
                  </pic:nvPicPr>
                  <pic:blipFill>
                    <a:blip r:embed="rId77"/>
                    <a:stretch>
                      <a:fillRect/>
                    </a:stretch>
                  </pic:blipFill>
                  <pic:spPr>
                    <a:xfrm>
                      <a:off x="0" y="0"/>
                      <a:ext cx="5505450" cy="7839075"/>
                    </a:xfrm>
                    <a:prstGeom prst="rect">
                      <a:avLst/>
                    </a:prstGeom>
                    <a:noFill/>
                    <a:ln>
                      <a:noFill/>
                    </a:ln>
                  </pic:spPr>
                </pic:pic>
              </a:graphicData>
            </a:graphic>
          </wp:inline>
        </w:drawing>
      </w:r>
    </w:p>
    <w:p w14:paraId="72709BEB">
      <w:pPr>
        <w:widowControl w:val="0"/>
        <w:spacing w:line="240" w:lineRule="auto"/>
        <w:jc w:val="center"/>
        <w:outlineLvl w:val="0"/>
        <w:rPr>
          <w:rFonts w:hint="default" w:ascii="Times New Roman" w:hAnsi="Times New Roman" w:eastAsia="宋体" w:cs="Times New Roman"/>
          <w:b/>
          <w:bCs/>
          <w:color w:val="auto"/>
          <w:kern w:val="2"/>
          <w:sz w:val="24"/>
          <w:szCs w:val="20"/>
          <w:highlight w:val="none"/>
          <w:lang w:val="en-US" w:eastAsia="zh-CN" w:bidi="ar-SA"/>
        </w:rPr>
      </w:pPr>
      <w:bookmarkStart w:id="98" w:name="_Toc14682"/>
      <w:bookmarkStart w:id="99" w:name="_Toc13007"/>
      <w:bookmarkStart w:id="100" w:name="_Toc7123"/>
      <w:bookmarkStart w:id="101" w:name="_Toc26349"/>
      <w:r>
        <w:rPr>
          <w:rFonts w:hint="default" w:ascii="Times New Roman" w:hAnsi="Times New Roman" w:eastAsia="宋体" w:cs="Times New Roman"/>
          <w:b/>
          <w:bCs/>
          <w:color w:val="auto"/>
          <w:kern w:val="2"/>
          <w:sz w:val="24"/>
          <w:szCs w:val="20"/>
          <w:highlight w:val="none"/>
          <w:lang w:val="en-US" w:eastAsia="zh-CN" w:bidi="ar-SA"/>
        </w:rPr>
        <w:t>附图</w:t>
      </w:r>
      <w:r>
        <w:rPr>
          <w:rFonts w:hint="eastAsia" w:ascii="Times New Roman" w:hAnsi="Times New Roman" w:eastAsia="宋体" w:cs="Times New Roman"/>
          <w:b/>
          <w:bCs/>
          <w:color w:val="auto"/>
          <w:kern w:val="2"/>
          <w:sz w:val="24"/>
          <w:szCs w:val="20"/>
          <w:highlight w:val="none"/>
          <w:lang w:val="en-US" w:eastAsia="zh-CN" w:bidi="ar-SA"/>
        </w:rPr>
        <w:t>9</w:t>
      </w:r>
      <w:r>
        <w:rPr>
          <w:rFonts w:hint="default" w:ascii="Times New Roman" w:hAnsi="Times New Roman" w:eastAsia="宋体" w:cs="Times New Roman"/>
          <w:b/>
          <w:bCs/>
          <w:color w:val="auto"/>
          <w:kern w:val="2"/>
          <w:sz w:val="24"/>
          <w:szCs w:val="20"/>
          <w:highlight w:val="none"/>
          <w:lang w:val="en-US" w:eastAsia="zh-CN" w:bidi="ar-SA"/>
        </w:rPr>
        <w:t xml:space="preserve"> </w:t>
      </w:r>
      <w:r>
        <w:rPr>
          <w:rFonts w:hint="eastAsia" w:ascii="Times New Roman" w:hAnsi="Times New Roman" w:eastAsia="宋体" w:cs="Times New Roman"/>
          <w:b/>
          <w:bCs/>
          <w:color w:val="auto"/>
          <w:kern w:val="2"/>
          <w:sz w:val="24"/>
          <w:szCs w:val="20"/>
          <w:highlight w:val="none"/>
          <w:lang w:val="en-US" w:eastAsia="zh-CN" w:bidi="ar-SA"/>
        </w:rPr>
        <w:t>项目所在区域声环境</w:t>
      </w:r>
      <w:r>
        <w:rPr>
          <w:rFonts w:hint="default" w:ascii="Times New Roman" w:hAnsi="Times New Roman" w:eastAsia="宋体" w:cs="Times New Roman"/>
          <w:b/>
          <w:bCs/>
          <w:color w:val="auto"/>
          <w:kern w:val="2"/>
          <w:sz w:val="24"/>
          <w:szCs w:val="20"/>
          <w:highlight w:val="none"/>
          <w:lang w:val="en-US" w:eastAsia="zh-CN" w:bidi="ar-SA"/>
        </w:rPr>
        <w:t>功能区</w:t>
      </w:r>
      <w:r>
        <w:rPr>
          <w:rFonts w:hint="eastAsia" w:ascii="Times New Roman" w:hAnsi="Times New Roman" w:eastAsia="宋体" w:cs="Times New Roman"/>
          <w:b/>
          <w:bCs/>
          <w:color w:val="auto"/>
          <w:kern w:val="2"/>
          <w:sz w:val="24"/>
          <w:szCs w:val="20"/>
          <w:highlight w:val="none"/>
          <w:lang w:val="en-US" w:eastAsia="zh-CN" w:bidi="ar-SA"/>
        </w:rPr>
        <w:t>区</w:t>
      </w:r>
      <w:r>
        <w:rPr>
          <w:rFonts w:hint="default" w:ascii="Times New Roman" w:hAnsi="Times New Roman" w:eastAsia="宋体" w:cs="Times New Roman"/>
          <w:b/>
          <w:bCs/>
          <w:color w:val="auto"/>
          <w:kern w:val="2"/>
          <w:sz w:val="24"/>
          <w:szCs w:val="20"/>
          <w:highlight w:val="none"/>
          <w:lang w:val="en-US" w:eastAsia="zh-CN" w:bidi="ar-SA"/>
        </w:rPr>
        <w:t>划图</w:t>
      </w:r>
      <w:bookmarkEnd w:id="98"/>
      <w:bookmarkEnd w:id="99"/>
      <w:bookmarkEnd w:id="100"/>
      <w:bookmarkEnd w:id="101"/>
    </w:p>
    <w:p w14:paraId="71B30ED1">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b/>
          <w:bCs/>
          <w:color w:val="auto"/>
          <w:kern w:val="2"/>
          <w:sz w:val="24"/>
          <w:szCs w:val="20"/>
          <w:highlight w:val="none"/>
          <w:lang w:val="en-US" w:eastAsia="zh-CN" w:bidi="ar-SA"/>
        </w:rPr>
      </w:pPr>
      <w:r>
        <w:rPr>
          <w:rFonts w:ascii="宋体" w:hAnsi="Courier New" w:eastAsia="宋体" w:cs="Times New Roman"/>
          <w:kern w:val="2"/>
          <w:sz w:val="21"/>
          <w:szCs w:val="20"/>
          <w:lang w:val="en-US" w:eastAsia="zh-CN" w:bidi="ar-SA"/>
        </w:rPr>
        <mc:AlternateContent>
          <mc:Choice Requires="wpg">
            <w:drawing>
              <wp:anchor distT="0" distB="0" distL="114300" distR="114300" simplePos="0" relativeHeight="251777024" behindDoc="0" locked="0" layoutInCell="1" allowOverlap="1">
                <wp:simplePos x="0" y="0"/>
                <wp:positionH relativeFrom="column">
                  <wp:posOffset>2231390</wp:posOffset>
                </wp:positionH>
                <wp:positionV relativeFrom="paragraph">
                  <wp:posOffset>392430</wp:posOffset>
                </wp:positionV>
                <wp:extent cx="1207135" cy="749300"/>
                <wp:effectExtent l="4445" t="5080" r="7620" b="7620"/>
                <wp:wrapNone/>
                <wp:docPr id="124" name="组合 124"/>
                <wp:cNvGraphicFramePr/>
                <a:graphic xmlns:a="http://schemas.openxmlformats.org/drawingml/2006/main">
                  <a:graphicData uri="http://schemas.microsoft.com/office/word/2010/wordprocessingGroup">
                    <wpg:wgp>
                      <wpg:cNvGrpSpPr/>
                      <wpg:grpSpPr>
                        <a:xfrm>
                          <a:off x="0" y="0"/>
                          <a:ext cx="1207135" cy="749300"/>
                          <a:chOff x="10105" y="2647558"/>
                          <a:chExt cx="1901" cy="1180"/>
                        </a:xfrm>
                      </wpg:grpSpPr>
                      <wps:wsp>
                        <wps:cNvPr id="287" name="矩形 1049"/>
                        <wps:cNvSpPr/>
                        <wps:spPr>
                          <a:xfrm>
                            <a:off x="10105" y="2648584"/>
                            <a:ext cx="121" cy="154"/>
                          </a:xfrm>
                          <a:prstGeom prst="rect">
                            <a:avLst/>
                          </a:prstGeom>
                          <a:solidFill>
                            <a:srgbClr val="FF0000"/>
                          </a:solidFill>
                          <a:ln w="9525" cap="flat" cmpd="sng">
                            <a:solidFill>
                              <a:srgbClr val="000000"/>
                            </a:solidFill>
                            <a:prstDash val="solid"/>
                            <a:miter/>
                            <a:headEnd type="none" w="med" len="med"/>
                            <a:tailEnd type="none" w="med" len="med"/>
                          </a:ln>
                        </wps:spPr>
                        <wps:bodyPr vert="horz" wrap="square" anchor="t" anchorCtr="0" upright="1"/>
                      </wps:wsp>
                      <wps:wsp>
                        <wps:cNvPr id="288" name="自选图形 1048"/>
                        <wps:cNvSpPr/>
                        <wps:spPr>
                          <a:xfrm>
                            <a:off x="10320" y="2647558"/>
                            <a:ext cx="1686" cy="527"/>
                          </a:xfrm>
                          <a:prstGeom prst="wedgeRoundRectCallout">
                            <a:avLst>
                              <a:gd name="adj1" fmla="val -55753"/>
                              <a:gd name="adj2" fmla="val 145635"/>
                              <a:gd name="adj3" fmla="val 16667"/>
                            </a:avLst>
                          </a:prstGeom>
                          <a:solidFill>
                            <a:srgbClr val="FFFF00"/>
                          </a:solidFill>
                          <a:ln w="9525" cap="flat" cmpd="sng">
                            <a:solidFill>
                              <a:srgbClr val="000000"/>
                            </a:solidFill>
                            <a:prstDash val="solid"/>
                            <a:miter/>
                            <a:headEnd type="none" w="med" len="med"/>
                            <a:tailEnd type="none" w="med" len="med"/>
                          </a:ln>
                        </wps:spPr>
                        <wps:txbx>
                          <w:txbxContent>
                            <w:p w14:paraId="1AAFDFF0">
                              <w:pPr>
                                <w:jc w:val="left"/>
                                <w:rPr>
                                  <w:rFonts w:hint="default" w:eastAsia="宋体"/>
                                  <w:b/>
                                  <w:bCs/>
                                  <w:lang w:val="en-US" w:eastAsia="zh-CN"/>
                                </w:rPr>
                              </w:pPr>
                              <w:r>
                                <w:rPr>
                                  <w:rFonts w:hint="eastAsia" w:ascii="Times New Roman" w:eastAsia="宋体"/>
                                  <w:b/>
                                  <w:bCs/>
                                  <w:lang w:val="en-US" w:eastAsia="zh-CN"/>
                                </w:rPr>
                                <w:t>项目选址位置</w:t>
                              </w:r>
                            </w:p>
                          </w:txbxContent>
                        </wps:txbx>
                        <wps:bodyPr vert="horz" wrap="square" anchor="t" anchorCtr="0" upright="1"/>
                      </wps:wsp>
                    </wpg:wgp>
                  </a:graphicData>
                </a:graphic>
              </wp:anchor>
            </w:drawing>
          </mc:Choice>
          <mc:Fallback>
            <w:pict>
              <v:group id="_x0000_s1026" o:spid="_x0000_s1026" o:spt="203" style="position:absolute;left:0pt;margin-left:175.7pt;margin-top:30.9pt;height:59pt;width:95.05pt;z-index:251777024;mso-width-relative:page;mso-height-relative:page;" coordorigin="10105,2647558" coordsize="1901,1180" o:gfxdata="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">
                <o:lock v:ext="edit" aspectratio="f"/>
                <v:rect id="矩形 1049" o:spid="_x0000_s1026" o:spt="1" style="position:absolute;left:10105;top:2648584;height:154;width:121;" fillcolor="#FF0000" filled="t" stroked="t" coordsize="21600,21600" o:gfxdata="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WZ0e/&#10;AAAA3AAAAA8AAAAAAAAAAQAgAAAAIgAAAGRycy9kb3ducmV2LnhtbFBLAQIUABQAAAAIAIdO4kAz&#10;LwWeOwAAADkAAAAQAAAAAAAAAAEAIAAAAA4BAABkcnMvc2hhcGV4bWwueG1sUEsFBgAAAAAGAAYA&#10;WwEAALgDAAAAAA==&#10;">
                  <v:fill on="t" focussize="0,0"/>
                  <v:stroke color="#000000" joinstyle="miter"/>
                  <v:imagedata o:title=""/>
                  <o:lock v:ext="edit" aspectratio="f"/>
                </v:rect>
                <v:shape id="自选图形 1048" o:spid="_x0000_s1026" o:spt="62" type="#_x0000_t62" style="position:absolute;left:10320;top:2647558;height:527;width:1686;" fillcolor="#FFFF00" filled="t" stroked="t" coordsize="21600,21600" o:gfxdata="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ZEGTrsAAADc&#10;AAAADwAAAAAAAAABACAAAAAiAAAAZHJzL2Rvd25yZXYueG1sUEsBAhQAFAAAAAgAh07iQDMvBZ47&#10;AAAAOQAAABAAAAAAAAAAAQAgAAAACgEAAGRycy9zaGFwZXhtbC54bWxQSwUGAAAAAAYABgBbAQAA&#10;tAMAAAAA&#10;" adj="-1243,42257,14400">
                  <v:fill on="t" focussize="0,0"/>
                  <v:stroke color="#000000" joinstyle="miter"/>
                  <v:imagedata o:title=""/>
                  <o:lock v:ext="edit" aspectratio="f"/>
                  <v:textbox>
                    <w:txbxContent>
                      <w:p w14:paraId="1AAFDFF0">
                        <w:pPr>
                          <w:jc w:val="left"/>
                          <w:rPr>
                            <w:rFonts w:hint="default" w:eastAsia="宋体"/>
                            <w:b/>
                            <w:bCs/>
                            <w:lang w:val="en-US" w:eastAsia="zh-CN"/>
                          </w:rPr>
                        </w:pPr>
                        <w:r>
                          <w:rPr>
                            <w:rFonts w:hint="eastAsia" w:ascii="Times New Roman" w:eastAsia="宋体"/>
                            <w:b/>
                            <w:bCs/>
                            <w:lang w:val="en-US" w:eastAsia="zh-CN"/>
                          </w:rPr>
                          <w:t>项目选址位置</w:t>
                        </w:r>
                      </w:p>
                    </w:txbxContent>
                  </v:textbox>
                </v:shape>
              </v:group>
            </w:pict>
          </mc:Fallback>
        </mc:AlternateContent>
      </w:r>
      <w:r>
        <w:rPr>
          <w:rFonts w:ascii="宋体" w:hAnsi="Courier New" w:eastAsia="宋体" w:cs="Times New Roman"/>
          <w:kern w:val="2"/>
          <w:position w:val="-263"/>
          <w:sz w:val="21"/>
          <w:szCs w:val="20"/>
          <w:lang w:val="en-US" w:eastAsia="zh-CN" w:bidi="ar-SA"/>
        </w:rPr>
        <w:drawing>
          <wp:inline distT="0" distB="0" distL="0" distR="0">
            <wp:extent cx="5274945" cy="8242300"/>
            <wp:effectExtent l="0" t="0" r="1905" b="6350"/>
            <wp:docPr id="285" name="IM 18"/>
            <wp:cNvGraphicFramePr/>
            <a:graphic xmlns:a="http://schemas.openxmlformats.org/drawingml/2006/main">
              <a:graphicData uri="http://schemas.openxmlformats.org/drawingml/2006/picture">
                <pic:pic xmlns:pic="http://schemas.openxmlformats.org/drawingml/2006/picture">
                  <pic:nvPicPr>
                    <pic:cNvPr id="285" name="IM 18"/>
                    <pic:cNvPicPr/>
                  </pic:nvPicPr>
                  <pic:blipFill>
                    <a:blip r:embed="rId78"/>
                    <a:stretch>
                      <a:fillRect/>
                    </a:stretch>
                  </pic:blipFill>
                  <pic:spPr>
                    <a:xfrm>
                      <a:off x="0" y="0"/>
                      <a:ext cx="5275579" cy="8242300"/>
                    </a:xfrm>
                    <a:prstGeom prst="rect">
                      <a:avLst/>
                    </a:prstGeom>
                  </pic:spPr>
                </pic:pic>
              </a:graphicData>
            </a:graphic>
          </wp:inline>
        </w:drawing>
      </w:r>
    </w:p>
    <w:p w14:paraId="18C1C0D9">
      <w:pPr>
        <w:spacing w:line="240" w:lineRule="auto"/>
        <w:jc w:val="center"/>
        <w:outlineLvl w:val="0"/>
        <w:rPr>
          <w:rFonts w:hint="default" w:ascii="Times New Roman" w:hAnsi="Times New Roman" w:eastAsia="宋体" w:cs="Times New Roman"/>
          <w:b/>
          <w:bCs/>
          <w:color w:val="auto"/>
          <w:sz w:val="24"/>
          <w:highlight w:val="none"/>
          <w:lang w:val="en-US" w:eastAsia="zh-CN"/>
        </w:rPr>
        <w:sectPr>
          <w:pgSz w:w="11850" w:h="16783"/>
          <w:pgMar w:top="1440" w:right="969" w:bottom="1440" w:left="969" w:header="737" w:footer="850" w:gutter="340"/>
          <w:pgBorders>
            <w:top w:val="none" w:sz="0" w:space="0"/>
            <w:left w:val="none" w:sz="0" w:space="0"/>
            <w:bottom w:val="none" w:sz="0" w:space="0"/>
            <w:right w:val="none" w:sz="0" w:space="0"/>
          </w:pgBorders>
          <w:pgNumType w:fmt="decimal"/>
          <w:cols w:space="720" w:num="1"/>
          <w:docGrid w:type="lines" w:linePitch="412" w:charSpace="0"/>
        </w:sectPr>
      </w:pPr>
      <w:bookmarkStart w:id="102" w:name="_Toc1661"/>
      <w:r>
        <w:rPr>
          <w:rFonts w:hint="eastAsia" w:ascii="Times New Roman" w:hAnsi="Times New Roman" w:eastAsia="宋体" w:cs="Times New Roman"/>
          <w:b/>
          <w:bCs/>
          <w:color w:val="auto"/>
          <w:kern w:val="2"/>
          <w:sz w:val="24"/>
          <w:szCs w:val="20"/>
          <w:highlight w:val="none"/>
          <w:lang w:val="en-US" w:eastAsia="zh-CN" w:bidi="ar-SA"/>
        </w:rPr>
        <w:t>附图10 韶关乐昌经济开发区周边主要饮用水源保护区分布图</w:t>
      </w:r>
      <w:bookmarkEnd w:id="102"/>
    </w:p>
    <w:p w14:paraId="3ECE1FAA">
      <w:pPr>
        <w:widowControl w:val="0"/>
        <w:spacing w:line="240" w:lineRule="auto"/>
        <w:jc w:val="center"/>
        <w:rPr>
          <w:rFonts w:ascii="Times New Roman" w:hAnsi="Times New Roman" w:eastAsia="宋体" w:cs="宋体"/>
          <w:color w:val="auto"/>
          <w:kern w:val="2"/>
          <w:sz w:val="21"/>
          <w:szCs w:val="24"/>
          <w:highlight w:val="none"/>
          <w:lang w:val="en-US" w:eastAsia="zh-CN" w:bidi="ar-SA"/>
        </w:rPr>
      </w:pPr>
      <w:bookmarkStart w:id="103" w:name="_Toc30196"/>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6439535</wp:posOffset>
                </wp:positionH>
                <wp:positionV relativeFrom="paragraph">
                  <wp:posOffset>695325</wp:posOffset>
                </wp:positionV>
                <wp:extent cx="76835" cy="97790"/>
                <wp:effectExtent l="4445" t="4445" r="13970" b="12065"/>
                <wp:wrapNone/>
                <wp:docPr id="10" name="矩形 1051"/>
                <wp:cNvGraphicFramePr/>
                <a:graphic xmlns:a="http://schemas.openxmlformats.org/drawingml/2006/main">
                  <a:graphicData uri="http://schemas.microsoft.com/office/word/2010/wordprocessingShape">
                    <wps:wsp>
                      <wps:cNvSpPr/>
                      <wps:spPr>
                        <a:xfrm>
                          <a:off x="0" y="0"/>
                          <a:ext cx="76835" cy="97790"/>
                        </a:xfrm>
                        <a:prstGeom prst="rect">
                          <a:avLst/>
                        </a:prstGeom>
                        <a:solidFill>
                          <a:srgbClr val="FFFFFF"/>
                        </a:solidFill>
                        <a:ln w="9525" cap="flat" cmpd="sng">
                          <a:solidFill>
                            <a:srgbClr val="000000"/>
                          </a:solidFill>
                          <a:prstDash val="solid"/>
                          <a:miter/>
                          <a:headEnd type="none" w="med" len="med"/>
                          <a:tailEnd type="none" w="med" len="med"/>
                        </a:ln>
                      </wps:spPr>
                      <wps:bodyPr vert="horz" wrap="square" anchor="t" anchorCtr="0" upright="1"/>
                    </wps:wsp>
                  </a:graphicData>
                </a:graphic>
              </wp:anchor>
            </w:drawing>
          </mc:Choice>
          <mc:Fallback>
            <w:pict>
              <v:rect id="矩形 1051" o:spid="_x0000_s1026" o:spt="1" style="position:absolute;left:0pt;margin-left:507.05pt;margin-top:54.75pt;height:7.7pt;width:6.05pt;z-index:251668480;mso-width-relative:page;mso-height-relative:page;" fillcolor="#FFFFFF" filled="t" stroked="t" coordsize="21600,21600" o:gfxdata="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wO+rzYAAAADQEA&#10;AA8AAAAAAAAAAQAgAAAAIgAAAGRycy9kb3ducmV2LnhtbFBLAQIUABQAAAAIAIdO4kDhW+/lGgIA&#10;AFIEAAAOAAAAAAAAAAEAIAAAACcBAABkcnMvZTJvRG9jLnhtbFBLBQYAAAAABgAGAFkBAACzBQAA&#10;AAA=&#10;">
                <v:fill on="t" focussize="0,0"/>
                <v:stroke color="#000000" joinstyle="miter"/>
                <v:imagedata o:title=""/>
                <o:lock v:ext="edit" aspectratio="f"/>
              </v:rect>
            </w:pict>
          </mc:Fallback>
        </mc:AlternateContent>
      </w:r>
      <w:r>
        <w:rPr>
          <w:rFonts w:ascii="宋体" w:hAnsi="Times New Roman" w:eastAsia="宋体" w:cs="宋体"/>
          <w:color w:val="auto"/>
          <w:kern w:val="2"/>
          <w:sz w:val="24"/>
          <w:szCs w:val="24"/>
          <w:highlight w:val="none"/>
          <w:lang w:val="en-US" w:eastAsia="zh-CN" w:bidi="ar-SA"/>
        </w:rPr>
        <mc:AlternateContent>
          <mc:Choice Requires="wps">
            <w:drawing>
              <wp:anchor distT="0" distB="0" distL="114300" distR="114300" simplePos="0" relativeHeight="251712512" behindDoc="0" locked="0" layoutInCell="1" allowOverlap="1">
                <wp:simplePos x="0" y="0"/>
                <wp:positionH relativeFrom="column">
                  <wp:posOffset>6294120</wp:posOffset>
                </wp:positionH>
                <wp:positionV relativeFrom="paragraph">
                  <wp:posOffset>3924935</wp:posOffset>
                </wp:positionV>
                <wp:extent cx="1511935" cy="1400175"/>
                <wp:effectExtent l="6350" t="6350" r="24765" b="22225"/>
                <wp:wrapNone/>
                <wp:docPr id="171" name="矩形 171"/>
                <wp:cNvGraphicFramePr/>
                <a:graphic xmlns:a="http://schemas.openxmlformats.org/drawingml/2006/main">
                  <a:graphicData uri="http://schemas.microsoft.com/office/word/2010/wordprocessingShape">
                    <wps:wsp>
                      <wps:cNvSpPr/>
                      <wps:spPr>
                        <a:xfrm>
                          <a:off x="8428355" y="5351145"/>
                          <a:ext cx="1511935" cy="1400175"/>
                        </a:xfrm>
                        <a:prstGeom prst="rect">
                          <a:avLst/>
                        </a:prstGeom>
                        <a:solidFill>
                          <a:srgbClr val="E7E6E6"/>
                        </a:solid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95.6pt;margin-top:309.05pt;height:110.25pt;width:119.05pt;z-index:251712512;v-text-anchor:middle;mso-width-relative:page;mso-height-relative:page;" fillcolor="#E7E6E6" filled="t" stroked="t" coordsize="21600,21600" o:gfxdata="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jthNv9oAAAAMAQAADwAA&#10;AAAAAAABACAAAAAiAAAAZHJzL2Rvd25yZXYueG1sUEsBAhQAFAAAAAgAh07iQIaCraqGAgAAEwUA&#10;AA4AAAAAAAAAAQAgAAAAKQEAAGRycy9lMm9Eb2MueG1sUEsFBgAAAAAGAAYAWQEAACEGAAAAAA==&#10;">
                <v:fill on="t" focussize="0,0"/>
                <v:stroke weight="1pt" color="#000000" miterlimit="8" joinstyle="miter"/>
                <v:imagedata o:title=""/>
                <o:lock v:ext="edit" aspectratio="f"/>
              </v:rect>
            </w:pict>
          </mc:Fallback>
        </mc:AlternateContent>
      </w:r>
      <w:r>
        <w:rPr>
          <w:rFonts w:ascii="宋体" w:hAnsi="Courier New" w:eastAsia="宋体" w:cs="Times New Roman"/>
          <w:kern w:val="2"/>
          <w:sz w:val="24"/>
          <w:szCs w:val="20"/>
          <w:lang w:val="en-US" w:eastAsia="zh-CN" w:bidi="ar-SA"/>
        </w:rPr>
        <mc:AlternateContent>
          <mc:Choice Requires="wpg">
            <w:drawing>
              <wp:anchor distT="0" distB="0" distL="114300" distR="114300" simplePos="0" relativeHeight="251717632" behindDoc="0" locked="0" layoutInCell="1" allowOverlap="1">
                <wp:simplePos x="0" y="0"/>
                <wp:positionH relativeFrom="column">
                  <wp:posOffset>6223000</wp:posOffset>
                </wp:positionH>
                <wp:positionV relativeFrom="paragraph">
                  <wp:posOffset>3872865</wp:posOffset>
                </wp:positionV>
                <wp:extent cx="1534160" cy="1474470"/>
                <wp:effectExtent l="0" t="0" r="0" b="0"/>
                <wp:wrapNone/>
                <wp:docPr id="125" name="组合 125"/>
                <wp:cNvGraphicFramePr/>
                <a:graphic xmlns:a="http://schemas.openxmlformats.org/drawingml/2006/main">
                  <a:graphicData uri="http://schemas.microsoft.com/office/word/2010/wordprocessingGroup">
                    <wpg:wgp>
                      <wpg:cNvGrpSpPr/>
                      <wpg:grpSpPr>
                        <a:xfrm>
                          <a:off x="0" y="0"/>
                          <a:ext cx="1534160" cy="1474470"/>
                          <a:chOff x="12749" y="2690222"/>
                          <a:chExt cx="2416" cy="2322"/>
                        </a:xfrm>
                      </wpg:grpSpPr>
                      <wps:wsp>
                        <wps:cNvPr id="172" name="文本框 172"/>
                        <wps:cNvSpPr txBox="1"/>
                        <wps:spPr>
                          <a:xfrm>
                            <a:off x="12749" y="2690222"/>
                            <a:ext cx="2416" cy="2322"/>
                          </a:xfrm>
                          <a:prstGeom prst="rect">
                            <a:avLst/>
                          </a:prstGeom>
                          <a:noFill/>
                          <a:ln w="6350">
                            <a:noFill/>
                          </a:ln>
                          <a:effectLst/>
                        </wps:spPr>
                        <wps:txbx>
                          <w:txbxContent>
                            <w:p w14:paraId="384AF60F">
                              <w:pPr>
                                <w:spacing w:line="360" w:lineRule="auto"/>
                                <w:jc w:val="center"/>
                                <w:rPr>
                                  <w:rFonts w:hint="eastAsia"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图例</w:t>
                              </w:r>
                            </w:p>
                            <w:p w14:paraId="46720216">
                              <w:pPr>
                                <w:keepNext/>
                                <w:keepLines/>
                                <w:widowControl w:val="0"/>
                                <w:numPr>
                                  <w:ilvl w:val="2"/>
                                  <w:numId w:val="0"/>
                                </w:numPr>
                                <w:tabs>
                                  <w:tab w:val="left" w:pos="0"/>
                                  <w:tab w:val="left" w:pos="420"/>
                                </w:tabs>
                                <w:spacing w:line="360" w:lineRule="auto"/>
                                <w:ind w:firstLine="422" w:firstLineChars="200"/>
                                <w:jc w:val="both"/>
                                <w:outlineLvl w:val="2"/>
                                <w:rPr>
                                  <w:rFonts w:hint="eastAsia"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项目范围：</w:t>
                              </w:r>
                            </w:p>
                            <w:p w14:paraId="10BD87A1">
                              <w:pPr>
                                <w:spacing w:line="360" w:lineRule="auto"/>
                                <w:rPr>
                                  <w:rFonts w:hint="eastAsia"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环境保护目标：</w:t>
                              </w:r>
                            </w:p>
                            <w:p w14:paraId="21611B5A">
                              <w:pPr>
                                <w:keepNext/>
                                <w:keepLines/>
                                <w:widowControl w:val="0"/>
                                <w:numPr>
                                  <w:ilvl w:val="2"/>
                                  <w:numId w:val="0"/>
                                </w:numPr>
                                <w:tabs>
                                  <w:tab w:val="left" w:pos="0"/>
                                  <w:tab w:val="left" w:pos="420"/>
                                </w:tabs>
                                <w:spacing w:line="360" w:lineRule="auto"/>
                                <w:ind w:firstLine="422" w:firstLineChars="200"/>
                                <w:jc w:val="both"/>
                                <w:outlineLvl w:val="2"/>
                                <w:rPr>
                                  <w:rFonts w:hint="default"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500m范围：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矩形 173"/>
                        <wps:cNvSpPr/>
                        <wps:spPr>
                          <a:xfrm>
                            <a:off x="14381" y="2690910"/>
                            <a:ext cx="540" cy="330"/>
                          </a:xfrm>
                          <a:prstGeom prst="rect">
                            <a:avLst/>
                          </a:prstGeom>
                          <a:noFill/>
                          <a:ln w="19050" cap="flat" cmpd="sng">
                            <a:solidFill>
                              <a:srgbClr val="FF0000"/>
                            </a:solidFill>
                            <a:prstDash val="solid"/>
                            <a:miter/>
                            <a:headEnd type="none" w="med" len="med"/>
                            <a:tailEnd type="none" w="med" len="med"/>
                          </a:ln>
                        </wps:spPr>
                        <wps:bodyPr vert="horz" wrap="square" anchor="ctr" anchorCtr="0" upright="1"/>
                      </wps:wsp>
                      <wps:wsp>
                        <wps:cNvPr id="59" name="矩形 176"/>
                        <wps:cNvSpPr/>
                        <wps:spPr>
                          <a:xfrm>
                            <a:off x="14351" y="2691915"/>
                            <a:ext cx="540" cy="330"/>
                          </a:xfrm>
                          <a:prstGeom prst="rect">
                            <a:avLst/>
                          </a:prstGeom>
                          <a:noFill/>
                          <a:ln w="19050" cap="flat" cmpd="sng">
                            <a:solidFill>
                              <a:srgbClr val="1CDBE2"/>
                            </a:solidFill>
                            <a:prstDash val="solid"/>
                            <a:miter/>
                            <a:headEnd type="none" w="med" len="med"/>
                            <a:tailEnd type="none" w="med" len="med"/>
                          </a:ln>
                        </wps:spPr>
                        <wps:bodyPr vert="horz" wrap="square" anchor="ctr" anchorCtr="0" upright="1"/>
                      </wps:wsp>
                      <wps:wsp>
                        <wps:cNvPr id="60" name="矩形 175"/>
                        <wps:cNvSpPr/>
                        <wps:spPr>
                          <a:xfrm>
                            <a:off x="14366" y="2691405"/>
                            <a:ext cx="540" cy="330"/>
                          </a:xfrm>
                          <a:prstGeom prst="rect">
                            <a:avLst/>
                          </a:prstGeom>
                          <a:noFill/>
                          <a:ln w="19050" cap="flat" cmpd="sng">
                            <a:solidFill>
                              <a:srgbClr val="FFFF00"/>
                            </a:solidFill>
                            <a:prstDash val="solid"/>
                            <a:miter/>
                            <a:headEnd type="none" w="med" len="med"/>
                            <a:tailEnd type="none" w="med" len="med"/>
                          </a:ln>
                        </wps:spPr>
                        <wps:bodyPr vert="horz" wrap="square" anchor="ctr" anchorCtr="0" upright="1"/>
                      </wps:wsp>
                    </wpg:wgp>
                  </a:graphicData>
                </a:graphic>
              </wp:anchor>
            </w:drawing>
          </mc:Choice>
          <mc:Fallback>
            <w:pict>
              <v:group id="_x0000_s1026" o:spid="_x0000_s1026" o:spt="203" style="position:absolute;left:0pt;margin-left:490pt;margin-top:304.95pt;height:116.1pt;width:120.8pt;z-index:251717632;mso-width-relative:page;mso-height-relative:page;" coordorigin="12749,2690222" coordsize="2416,2322" o:gfxdata="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">
                <o:lock v:ext="edit" aspectratio="f"/>
                <v:shape id="_x0000_s1026" o:spid="_x0000_s1026" o:spt="202" type="#_x0000_t202" style="position:absolute;left:12749;top:2690222;height:2322;width:2416;" filled="f" stroked="f" coordsize="21600,21600" o:gfxdata="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hSRR+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384AF60F">
                        <w:pPr>
                          <w:spacing w:line="360" w:lineRule="auto"/>
                          <w:jc w:val="center"/>
                          <w:rPr>
                            <w:rFonts w:hint="eastAsia"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图例</w:t>
                        </w:r>
                      </w:p>
                      <w:p w14:paraId="46720216">
                        <w:pPr>
                          <w:keepNext/>
                          <w:keepLines/>
                          <w:widowControl w:val="0"/>
                          <w:numPr>
                            <w:ilvl w:val="2"/>
                            <w:numId w:val="0"/>
                          </w:numPr>
                          <w:tabs>
                            <w:tab w:val="left" w:pos="0"/>
                            <w:tab w:val="left" w:pos="420"/>
                          </w:tabs>
                          <w:spacing w:line="360" w:lineRule="auto"/>
                          <w:ind w:firstLine="422" w:firstLineChars="200"/>
                          <w:jc w:val="both"/>
                          <w:outlineLvl w:val="2"/>
                          <w:rPr>
                            <w:rFonts w:hint="eastAsia"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项目范围：</w:t>
                        </w:r>
                      </w:p>
                      <w:p w14:paraId="10BD87A1">
                        <w:pPr>
                          <w:spacing w:line="360" w:lineRule="auto"/>
                          <w:rPr>
                            <w:rFonts w:hint="eastAsia" w:ascii="Times New Roman" w:hAnsi="Times New Roman" w:eastAsia="宋体" w:cs="Times New Roman"/>
                            <w:b/>
                            <w:bCs/>
                            <w:color w:val="000000"/>
                            <w:sz w:val="21"/>
                            <w:szCs w:val="21"/>
                            <w:lang w:val="en-US" w:eastAsia="zh-CN"/>
                          </w:rPr>
                        </w:pPr>
                        <w:r>
                          <w:rPr>
                            <w:rFonts w:hint="eastAsia" w:ascii="Times New Roman" w:hAnsi="Times New Roman" w:eastAsia="宋体" w:cs="Times New Roman"/>
                            <w:b/>
                            <w:bCs/>
                            <w:color w:val="000000"/>
                            <w:sz w:val="21"/>
                            <w:szCs w:val="21"/>
                            <w:lang w:val="en-US" w:eastAsia="zh-CN"/>
                          </w:rPr>
                          <w:t>环境保护目标：</w:t>
                        </w:r>
                      </w:p>
                      <w:p w14:paraId="21611B5A">
                        <w:pPr>
                          <w:keepNext/>
                          <w:keepLines/>
                          <w:widowControl w:val="0"/>
                          <w:numPr>
                            <w:ilvl w:val="2"/>
                            <w:numId w:val="0"/>
                          </w:numPr>
                          <w:tabs>
                            <w:tab w:val="left" w:pos="0"/>
                            <w:tab w:val="left" w:pos="420"/>
                          </w:tabs>
                          <w:spacing w:line="360" w:lineRule="auto"/>
                          <w:ind w:firstLine="422" w:firstLineChars="200"/>
                          <w:jc w:val="both"/>
                          <w:outlineLvl w:val="2"/>
                          <w:rPr>
                            <w:rFonts w:hint="default" w:ascii="Times New Roman" w:hAnsi="Times New Roman" w:eastAsia="宋体" w:cs="Times New Roman"/>
                            <w:b/>
                            <w:bCs/>
                            <w:color w:val="000000"/>
                            <w:kern w:val="2"/>
                            <w:sz w:val="21"/>
                            <w:szCs w:val="21"/>
                            <w:lang w:val="en-US" w:eastAsia="zh-CN" w:bidi="ar-SA"/>
                          </w:rPr>
                        </w:pPr>
                        <w:r>
                          <w:rPr>
                            <w:rFonts w:hint="eastAsia" w:ascii="Times New Roman" w:hAnsi="Times New Roman" w:eastAsia="宋体" w:cs="Times New Roman"/>
                            <w:b/>
                            <w:bCs/>
                            <w:color w:val="000000"/>
                            <w:kern w:val="2"/>
                            <w:sz w:val="21"/>
                            <w:szCs w:val="21"/>
                            <w:lang w:val="en-US" w:eastAsia="zh-CN" w:bidi="ar-SA"/>
                          </w:rPr>
                          <w:t>500m范围：</w:t>
                        </w:r>
                      </w:p>
                    </w:txbxContent>
                  </v:textbox>
                </v:shape>
                <v:rect id="矩形 173" o:spid="_x0000_s1026" o:spt="1" style="position:absolute;left:14381;top:2690910;height:330;width:540;v-text-anchor:middle;" filled="f" stroked="t" coordsize="21600,21600" o:gfxdata="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WybdpugAAANsA&#10;AAAPAAAAAAAAAAEAIAAAACIAAABkcnMvZG93bnJldi54bWxQSwECFAAUAAAACACHTuJAMy8FnjsA&#10;AAA5AAAAEAAAAAAAAAABACAAAAAJAQAAZHJzL3NoYXBleG1sLnhtbFBLBQYAAAAABgAGAFsBAACz&#10;AwAAAAA=&#10;">
                  <v:fill on="f" focussize="0,0"/>
                  <v:stroke weight="1.5pt" color="#FF0000" joinstyle="miter"/>
                  <v:imagedata o:title=""/>
                  <o:lock v:ext="edit" aspectratio="f"/>
                </v:rect>
                <v:rect id="矩形 176" o:spid="_x0000_s1026" o:spt="1" style="position:absolute;left:14351;top:2691915;height:330;width:540;v-text-anchor:middle;" filled="f" stroked="t" coordsize="21600,21600" o:gfxdata="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0Nl8W/&#10;AAAA2wAAAA8AAAAAAAAAAQAgAAAAIgAAAGRycy9kb3ducmV2LnhtbFBLAQIUABQAAAAIAIdO4kAz&#10;LwWeOwAAADkAAAAQAAAAAAAAAAEAIAAAAA4BAABkcnMvc2hhcGV4bWwueG1sUEsFBgAAAAAGAAYA&#10;WwEAALgDAAAAAA==&#10;">
                  <v:fill on="f" focussize="0,0"/>
                  <v:stroke weight="1.5pt" color="#1CDBE2" joinstyle="miter"/>
                  <v:imagedata o:title=""/>
                  <o:lock v:ext="edit" aspectratio="f"/>
                </v:rect>
                <v:rect id="矩形 175" o:spid="_x0000_s1026" o:spt="1" style="position:absolute;left:14366;top:2691405;height:330;width:540;v-text-anchor:middle;" filled="f" stroked="t" coordsize="21600,21600" o:gfxdata="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THhxubUAAADbAAAADwAA&#10;AAAAAAABACAAAAAiAAAAZHJzL2Rvd25yZXYueG1sUEsBAhQAFAAAAAgAh07iQDMvBZ47AAAAOQAA&#10;ABAAAAAAAAAAAQAgAAAABAEAAGRycy9zaGFwZXhtbC54bWxQSwUGAAAAAAYABgBbAQAArgMAAAAA&#10;">
                  <v:fill on="f" focussize="0,0"/>
                  <v:stroke weight="1.5pt" color="#FFFF00" joinstyle="miter"/>
                  <v:imagedata o:title=""/>
                  <o:lock v:ext="edit" aspectratio="f"/>
                </v:rect>
              </v:group>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8352" behindDoc="0" locked="0" layoutInCell="1" allowOverlap="1">
                <wp:simplePos x="0" y="0"/>
                <wp:positionH relativeFrom="column">
                  <wp:posOffset>4665980</wp:posOffset>
                </wp:positionH>
                <wp:positionV relativeFrom="paragraph">
                  <wp:posOffset>1536700</wp:posOffset>
                </wp:positionV>
                <wp:extent cx="692785" cy="914400"/>
                <wp:effectExtent l="0" t="0" r="0" b="0"/>
                <wp:wrapNone/>
                <wp:docPr id="80" name="文本框 175"/>
                <wp:cNvGraphicFramePr/>
                <a:graphic xmlns:a="http://schemas.openxmlformats.org/drawingml/2006/main">
                  <a:graphicData uri="http://schemas.microsoft.com/office/word/2010/wordprocessingShape">
                    <wps:wsp>
                      <wps:cNvSpPr txBox="1"/>
                      <wps:spPr>
                        <a:xfrm>
                          <a:off x="0" y="0"/>
                          <a:ext cx="692785" cy="914400"/>
                        </a:xfrm>
                        <a:prstGeom prst="rect">
                          <a:avLst/>
                        </a:prstGeom>
                        <a:noFill/>
                        <a:ln>
                          <a:noFill/>
                        </a:ln>
                      </wps:spPr>
                      <wps:txbx>
                        <w:txbxContent>
                          <w:p w14:paraId="6B3D0C7A">
                            <w:pPr>
                              <w:rPr>
                                <w:rFonts w:hint="default" w:eastAsia="宋体"/>
                                <w:b/>
                                <w:bCs/>
                                <w:color w:val="FF0000"/>
                                <w:shd w:val="clear" w:color="FFFFFF" w:fill="D9D9D9"/>
                                <w:lang w:val="en-US" w:eastAsia="zh-CN"/>
                              </w:rPr>
                            </w:pPr>
                            <w:r>
                              <w:rPr>
                                <w:rFonts w:hint="eastAsia" w:ascii="Times New Roman" w:eastAsia="宋体"/>
                                <w:b/>
                                <w:bCs/>
                                <w:color w:val="FF0000"/>
                                <w:shd w:val="clear" w:color="FFFFFF" w:fill="D9D9D9"/>
                                <w:lang w:val="en-US" w:eastAsia="zh-CN"/>
                              </w:rPr>
                              <w:t>4</w:t>
                            </w:r>
                            <w:r>
                              <w:rPr>
                                <w:rFonts w:hint="eastAsia"/>
                                <w:b/>
                                <w:bCs/>
                                <w:color w:val="FF0000"/>
                                <w:shd w:val="clear" w:color="FFFFFF" w:fill="D9D9D9"/>
                                <w:lang w:val="en-US" w:eastAsia="zh-CN"/>
                              </w:rPr>
                              <w:t>63</w:t>
                            </w:r>
                            <w:r>
                              <w:rPr>
                                <w:rFonts w:hint="eastAsia" w:ascii="Times New Roman" w:eastAsia="宋体"/>
                                <w:b/>
                                <w:bCs/>
                                <w:color w:val="FF0000"/>
                                <w:shd w:val="clear" w:color="FFFFFF" w:fill="D9D9D9"/>
                                <w:lang w:val="en-US" w:eastAsia="zh-CN"/>
                              </w:rPr>
                              <w:t>米</w:t>
                            </w:r>
                          </w:p>
                        </w:txbxContent>
                      </wps:txbx>
                      <wps:bodyPr wrap="square" upright="0">
                        <a:spAutoFit/>
                      </wps:bodyPr>
                    </wps:wsp>
                  </a:graphicData>
                </a:graphic>
              </wp:anchor>
            </w:drawing>
          </mc:Choice>
          <mc:Fallback>
            <w:pict>
              <v:shape id="文本框 175" o:spid="_x0000_s1026" o:spt="202" type="#_x0000_t202" style="position:absolute;left:0pt;margin-left:367.4pt;margin-top:121pt;height:72pt;width:54.55pt;z-index:251748352;mso-width-relative:page;mso-height-relative:page;" filled="f" stroked="f" coordsize="21600,21600" o:gfxdata="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RlRlvZAAAACwEAAA8AAAAAAAAAAQAgAAAAIgAAAGRycy9kb3du&#10;cmV2LnhtbFBLAQIUABQAAAAIAIdO4kAE9u1DxQEAAHgDAAAOAAAAAAAAAAEAIAAAACgBAABkcnMv&#10;ZTJvRG9jLnhtbFBLBQYAAAAABgAGAFkBAABfBQAAAAA=&#10;">
                <v:fill on="f" focussize="0,0"/>
                <v:stroke on="f"/>
                <v:imagedata o:title=""/>
                <o:lock v:ext="edit" aspectratio="f"/>
                <v:textbox style="mso-fit-shape-to-text:t;">
                  <w:txbxContent>
                    <w:p w14:paraId="6B3D0C7A">
                      <w:pPr>
                        <w:rPr>
                          <w:rFonts w:hint="default" w:eastAsia="宋体"/>
                          <w:b/>
                          <w:bCs/>
                          <w:color w:val="FF0000"/>
                          <w:shd w:val="clear" w:color="FFFFFF" w:fill="D9D9D9"/>
                          <w:lang w:val="en-US" w:eastAsia="zh-CN"/>
                        </w:rPr>
                      </w:pPr>
                      <w:r>
                        <w:rPr>
                          <w:rFonts w:hint="eastAsia" w:ascii="Times New Roman" w:eastAsia="宋体"/>
                          <w:b/>
                          <w:bCs/>
                          <w:color w:val="FF0000"/>
                          <w:shd w:val="clear" w:color="FFFFFF" w:fill="D9D9D9"/>
                          <w:lang w:val="en-US" w:eastAsia="zh-CN"/>
                        </w:rPr>
                        <w:t>4</w:t>
                      </w:r>
                      <w:r>
                        <w:rPr>
                          <w:rFonts w:hint="eastAsia"/>
                          <w:b/>
                          <w:bCs/>
                          <w:color w:val="FF0000"/>
                          <w:shd w:val="clear" w:color="FFFFFF" w:fill="D9D9D9"/>
                          <w:lang w:val="en-US" w:eastAsia="zh-CN"/>
                        </w:rPr>
                        <w:t>63</w:t>
                      </w:r>
                      <w:r>
                        <w:rPr>
                          <w:rFonts w:hint="eastAsia" w:ascii="Times New Roman" w:eastAsia="宋体"/>
                          <w:b/>
                          <w:bCs/>
                          <w:color w:val="FF0000"/>
                          <w:shd w:val="clear" w:color="FFFFFF" w:fill="D9D9D9"/>
                          <w:lang w:val="en-US" w:eastAsia="zh-CN"/>
                        </w:rPr>
                        <w:t>米</w:t>
                      </w:r>
                    </w:p>
                  </w:txbxContent>
                </v:textbox>
              </v:shape>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7328" behindDoc="0" locked="0" layoutInCell="1" allowOverlap="1">
                <wp:simplePos x="0" y="0"/>
                <wp:positionH relativeFrom="column">
                  <wp:posOffset>4411980</wp:posOffset>
                </wp:positionH>
                <wp:positionV relativeFrom="paragraph">
                  <wp:posOffset>1225550</wp:posOffset>
                </wp:positionV>
                <wp:extent cx="692785" cy="914400"/>
                <wp:effectExtent l="0" t="0" r="0" b="0"/>
                <wp:wrapNone/>
                <wp:docPr id="79" name="文本框 174"/>
                <wp:cNvGraphicFramePr/>
                <a:graphic xmlns:a="http://schemas.openxmlformats.org/drawingml/2006/main">
                  <a:graphicData uri="http://schemas.microsoft.com/office/word/2010/wordprocessingShape">
                    <wps:wsp>
                      <wps:cNvSpPr txBox="1"/>
                      <wps:spPr>
                        <a:xfrm>
                          <a:off x="0" y="0"/>
                          <a:ext cx="692785" cy="914400"/>
                        </a:xfrm>
                        <a:prstGeom prst="rect">
                          <a:avLst/>
                        </a:prstGeom>
                        <a:noFill/>
                        <a:ln>
                          <a:noFill/>
                        </a:ln>
                      </wps:spPr>
                      <wps:txbx>
                        <w:txbxContent>
                          <w:p w14:paraId="1F492FF3">
                            <w:pPr>
                              <w:rPr>
                                <w:rFonts w:hint="default" w:eastAsia="宋体"/>
                                <w:b/>
                                <w:bCs/>
                                <w:color w:val="FF0000"/>
                                <w:shd w:val="clear" w:color="FFFFFF" w:fill="D9D9D9"/>
                                <w:lang w:val="en-US" w:eastAsia="zh-CN"/>
                              </w:rPr>
                            </w:pPr>
                            <w:r>
                              <w:rPr>
                                <w:rFonts w:hint="eastAsia"/>
                                <w:b/>
                                <w:bCs/>
                                <w:color w:val="FF0000"/>
                                <w:shd w:val="clear" w:color="FFFFFF" w:fill="D9D9D9"/>
                                <w:lang w:val="en-US" w:eastAsia="zh-CN"/>
                              </w:rPr>
                              <w:t>377</w:t>
                            </w:r>
                            <w:r>
                              <w:rPr>
                                <w:rFonts w:hint="eastAsia" w:ascii="Times New Roman" w:eastAsia="宋体"/>
                                <w:b/>
                                <w:bCs/>
                                <w:color w:val="FF0000"/>
                                <w:shd w:val="clear" w:color="FFFFFF" w:fill="D9D9D9"/>
                                <w:lang w:val="en-US" w:eastAsia="zh-CN"/>
                              </w:rPr>
                              <w:t>米</w:t>
                            </w:r>
                          </w:p>
                        </w:txbxContent>
                      </wps:txbx>
                      <wps:bodyPr vert="horz" wrap="square" anchor="t" anchorCtr="0" upright="0">
                        <a:spAutoFit/>
                      </wps:bodyPr>
                    </wps:wsp>
                  </a:graphicData>
                </a:graphic>
              </wp:anchor>
            </w:drawing>
          </mc:Choice>
          <mc:Fallback>
            <w:pict>
              <v:shape id="文本框 174" o:spid="_x0000_s1026" o:spt="202" type="#_x0000_t202" style="position:absolute;left:0pt;margin-left:347.4pt;margin-top:96.5pt;height:72pt;width:54.55pt;z-index:251747328;mso-width-relative:page;mso-height-relative:page;" filled="f" stroked="f" coordsize="21600,21600" o:gfxdata="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4Pa4QtgAAAALAQAADwAAAAAA&#10;AAABACAAAAAiAAAAZHJzL2Rvd25yZXYueG1sUEsBAhQAFAAAAAgAh07iQOkKwLHaAQAAnQMAAA4A&#10;AAAAAAAAAQAgAAAAJwEAAGRycy9lMm9Eb2MueG1sUEsFBgAAAAAGAAYAWQEAAHMFAAAAAA==&#10;">
                <v:fill on="f" focussize="0,0"/>
                <v:stroke on="f"/>
                <v:imagedata o:title=""/>
                <o:lock v:ext="edit" aspectratio="f"/>
                <v:textbox style="mso-fit-shape-to-text:t;">
                  <w:txbxContent>
                    <w:p w14:paraId="1F492FF3">
                      <w:pPr>
                        <w:rPr>
                          <w:rFonts w:hint="default" w:eastAsia="宋体"/>
                          <w:b/>
                          <w:bCs/>
                          <w:color w:val="FF0000"/>
                          <w:shd w:val="clear" w:color="FFFFFF" w:fill="D9D9D9"/>
                          <w:lang w:val="en-US" w:eastAsia="zh-CN"/>
                        </w:rPr>
                      </w:pPr>
                      <w:r>
                        <w:rPr>
                          <w:rFonts w:hint="eastAsia"/>
                          <w:b/>
                          <w:bCs/>
                          <w:color w:val="FF0000"/>
                          <w:shd w:val="clear" w:color="FFFFFF" w:fill="D9D9D9"/>
                          <w:lang w:val="en-US" w:eastAsia="zh-CN"/>
                        </w:rPr>
                        <w:t>377</w:t>
                      </w:r>
                      <w:r>
                        <w:rPr>
                          <w:rFonts w:hint="eastAsia" w:ascii="Times New Roman" w:eastAsia="宋体"/>
                          <w:b/>
                          <w:bCs/>
                          <w:color w:val="FF0000"/>
                          <w:shd w:val="clear" w:color="FFFFFF" w:fill="D9D9D9"/>
                          <w:lang w:val="en-US" w:eastAsia="zh-CN"/>
                        </w:rPr>
                        <w:t>米</w:t>
                      </w:r>
                    </w:p>
                  </w:txbxContent>
                </v:textbox>
              </v:shape>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6304" behindDoc="0" locked="0" layoutInCell="1" allowOverlap="1">
                <wp:simplePos x="0" y="0"/>
                <wp:positionH relativeFrom="column">
                  <wp:posOffset>4368165</wp:posOffset>
                </wp:positionH>
                <wp:positionV relativeFrom="paragraph">
                  <wp:posOffset>1108075</wp:posOffset>
                </wp:positionV>
                <wp:extent cx="455930" cy="1218565"/>
                <wp:effectExtent l="4445" t="1905" r="15875" b="17780"/>
                <wp:wrapNone/>
                <wp:docPr id="78" name="任意多边形 173"/>
                <wp:cNvGraphicFramePr/>
                <a:graphic xmlns:a="http://schemas.openxmlformats.org/drawingml/2006/main">
                  <a:graphicData uri="http://schemas.microsoft.com/office/word/2010/wordprocessingShape">
                    <wps:wsp>
                      <wps:cNvSpPr/>
                      <wps:spPr>
                        <a:xfrm>
                          <a:off x="0" y="0"/>
                          <a:ext cx="455930" cy="1218565"/>
                        </a:xfrm>
                        <a:custGeom>
                          <a:avLst/>
                          <a:gdLst/>
                          <a:ahLst/>
                          <a:cxnLst/>
                          <a:pathLst>
                            <a:path w="718" h="1919">
                              <a:moveTo>
                                <a:pt x="718" y="0"/>
                              </a:moveTo>
                              <a:lnTo>
                                <a:pt x="0" y="1919"/>
                              </a:lnTo>
                            </a:path>
                          </a:pathLst>
                        </a:custGeom>
                        <a:solidFill>
                          <a:srgbClr val="21DDDB"/>
                        </a:solidFill>
                        <a:ln w="9525" cap="flat" cmpd="sng">
                          <a:solidFill>
                            <a:srgbClr val="21DDDB"/>
                          </a:solidFill>
                          <a:prstDash val="solid"/>
                          <a:headEnd type="none" w="med" len="med"/>
                          <a:tailEnd type="none" w="med" len="med"/>
                        </a:ln>
                      </wps:spPr>
                      <wps:bodyPr vert="horz" wrap="square" anchor="t" anchorCtr="0" upright="1"/>
                    </wps:wsp>
                  </a:graphicData>
                </a:graphic>
              </wp:anchor>
            </w:drawing>
          </mc:Choice>
          <mc:Fallback>
            <w:pict>
              <v:shape id="任意多边形 173" o:spid="_x0000_s1026" o:spt="100" style="position:absolute;left:0pt;margin-left:343.95pt;margin-top:87.25pt;height:95.95pt;width:35.9pt;z-index:251746304;mso-width-relative:page;mso-height-relative:page;" fillcolor="#21DDDB" filled="t" stroked="t" coordsize="718,1919" o:gfxdata="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6KhhZ2QAAAAsBAAAPAAAAAAAAAAEAIAAAACIAAABkcnMvZG93bnJldi54bWxQSwECFAAUAAAA&#10;CACHTuJAxkDWFl8CAADwBAAADgAAAAAAAAABACAAAAAoAQAAZHJzL2Uyb0RvYy54bWxQSwUGAAAA&#10;AAYABgBZAQAA+QUAAAAA&#10;" path="m718,0l0,1919e">
                <v:fill on="t" focussize="0,0"/>
                <v:stroke color="#21DDDB" joinstyle="round"/>
                <v:imagedata o:title=""/>
                <o:lock v:ext="edit" aspectratio="f"/>
              </v:shape>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5280" behindDoc="0" locked="0" layoutInCell="1" allowOverlap="1">
                <wp:simplePos x="0" y="0"/>
                <wp:positionH relativeFrom="column">
                  <wp:posOffset>4723130</wp:posOffset>
                </wp:positionH>
                <wp:positionV relativeFrom="paragraph">
                  <wp:posOffset>833120</wp:posOffset>
                </wp:positionV>
                <wp:extent cx="914400" cy="914400"/>
                <wp:effectExtent l="0" t="0" r="0" b="0"/>
                <wp:wrapNone/>
                <wp:docPr id="77" name="文本框 172"/>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a:noFill/>
                        </a:ln>
                      </wps:spPr>
                      <wps:txbx>
                        <w:txbxContent>
                          <w:p w14:paraId="5CBF366F">
                            <w:pPr>
                              <w:rPr>
                                <w:rFonts w:hint="default" w:eastAsia="宋体"/>
                                <w:b/>
                                <w:bCs/>
                                <w:color w:val="FF0000"/>
                                <w:lang w:val="en-US" w:eastAsia="zh-CN"/>
                              </w:rPr>
                            </w:pPr>
                            <w:r>
                              <w:rPr>
                                <w:rFonts w:hint="eastAsia" w:ascii="Times New Roman" w:eastAsia="宋体"/>
                                <w:b/>
                                <w:bCs/>
                                <w:color w:val="FF0000"/>
                                <w:lang w:val="en-US" w:eastAsia="zh-CN"/>
                              </w:rPr>
                              <w:t>村落</w:t>
                            </w:r>
                          </w:p>
                        </w:txbxContent>
                      </wps:txbx>
                      <wps:bodyPr vert="horz" wrap="square" anchor="t" anchorCtr="0" upright="0">
                        <a:spAutoFit/>
                      </wps:bodyPr>
                    </wps:wsp>
                  </a:graphicData>
                </a:graphic>
              </wp:anchor>
            </w:drawing>
          </mc:Choice>
          <mc:Fallback>
            <w:pict>
              <v:shape id="文本框 172" o:spid="_x0000_s1026" o:spt="202" type="#_x0000_t202" style="position:absolute;left:0pt;margin-left:371.9pt;margin-top:65.6pt;height:72pt;width:72pt;z-index:251745280;mso-width-relative:page;mso-height-relative:page;" filled="f" stroked="f" coordsize="21600,21600" o:gfxdata="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bNRIvtgAAAALAQAADwAAAAAAAAABACAA&#10;AAAiAAAAZHJzL2Rvd25yZXYueG1sUEsBAhQAFAAAAAgAh07iQBOcyAvUAQAAnQMAAA4AAAAAAAAA&#10;AQAgAAAAJwEAAGRycy9lMm9Eb2MueG1sUEsFBgAAAAAGAAYAWQEAAG0FAAAAAA==&#10;">
                <v:fill on="f" focussize="0,0"/>
                <v:stroke on="f"/>
                <v:imagedata o:title=""/>
                <o:lock v:ext="edit" aspectratio="f"/>
                <v:textbox style="mso-fit-shape-to-text:t;">
                  <w:txbxContent>
                    <w:p w14:paraId="5CBF366F">
                      <w:pPr>
                        <w:rPr>
                          <w:rFonts w:hint="default" w:eastAsia="宋体"/>
                          <w:b/>
                          <w:bCs/>
                          <w:color w:val="FF0000"/>
                          <w:lang w:val="en-US" w:eastAsia="zh-CN"/>
                        </w:rPr>
                      </w:pPr>
                      <w:r>
                        <w:rPr>
                          <w:rFonts w:hint="eastAsia" w:ascii="Times New Roman" w:eastAsia="宋体"/>
                          <w:b/>
                          <w:bCs/>
                          <w:color w:val="FF0000"/>
                          <w:lang w:val="en-US" w:eastAsia="zh-CN"/>
                        </w:rPr>
                        <w:t>村落</w:t>
                      </w:r>
                    </w:p>
                  </w:txbxContent>
                </v:textbox>
              </v:shape>
            </w:pict>
          </mc:Fallback>
        </mc:AlternateContent>
      </w:r>
      <w:r>
        <w:rPr>
          <w:rFonts w:ascii="宋体" w:hAnsi="Courier New" w:eastAsia="宋体" w:cs="Times New Roman"/>
          <w:color w:val="auto"/>
          <w:kern w:val="2"/>
          <w:sz w:val="21"/>
          <w:szCs w:val="20"/>
          <w:highlight w:val="none"/>
          <w:lang w:val="en-US" w:eastAsia="zh-CN" w:bidi="ar-SA"/>
        </w:rPr>
        <mc:AlternateContent>
          <mc:Choice Requires="wps">
            <w:drawing>
              <wp:anchor distT="0" distB="0" distL="114300" distR="114300" simplePos="0" relativeHeight="251744256" behindDoc="0" locked="0" layoutInCell="1" allowOverlap="1">
                <wp:simplePos x="0" y="0"/>
                <wp:positionH relativeFrom="column">
                  <wp:posOffset>4832350</wp:posOffset>
                </wp:positionH>
                <wp:positionV relativeFrom="paragraph">
                  <wp:posOffset>836295</wp:posOffset>
                </wp:positionV>
                <wp:extent cx="259080" cy="271780"/>
                <wp:effectExtent l="4445" t="4445" r="22225" b="9525"/>
                <wp:wrapNone/>
                <wp:docPr id="76" name="任意多边形 169"/>
                <wp:cNvGraphicFramePr/>
                <a:graphic xmlns:a="http://schemas.openxmlformats.org/drawingml/2006/main">
                  <a:graphicData uri="http://schemas.microsoft.com/office/word/2010/wordprocessingShape">
                    <wps:wsp>
                      <wps:cNvSpPr/>
                      <wps:spPr>
                        <a:xfrm>
                          <a:off x="0" y="0"/>
                          <a:ext cx="259080" cy="271780"/>
                        </a:xfrm>
                        <a:custGeom>
                          <a:avLst/>
                          <a:gdLst/>
                          <a:ahLst/>
                          <a:cxnLst/>
                          <a:pathLst>
                            <a:path w="408" h="428">
                              <a:moveTo>
                                <a:pt x="8" y="428"/>
                              </a:moveTo>
                              <a:lnTo>
                                <a:pt x="0" y="22"/>
                              </a:lnTo>
                              <a:lnTo>
                                <a:pt x="322" y="0"/>
                              </a:lnTo>
                              <a:lnTo>
                                <a:pt x="408" y="378"/>
                              </a:lnTo>
                              <a:lnTo>
                                <a:pt x="315" y="428"/>
                              </a:lnTo>
                              <a:lnTo>
                                <a:pt x="8" y="428"/>
                              </a:lnTo>
                              <a:close/>
                            </a:path>
                          </a:pathLst>
                        </a:custGeom>
                        <a:noFill/>
                        <a:ln w="9525" cap="flat" cmpd="sng">
                          <a:solidFill>
                            <a:srgbClr val="FFFF00"/>
                          </a:solidFill>
                          <a:prstDash val="solid"/>
                          <a:headEnd type="none" w="med" len="med"/>
                          <a:tailEnd type="none" w="med" len="med"/>
                        </a:ln>
                      </wps:spPr>
                      <wps:bodyPr vert="horz" wrap="square" anchor="t" anchorCtr="0" upright="1"/>
                    </wps:wsp>
                  </a:graphicData>
                </a:graphic>
              </wp:anchor>
            </w:drawing>
          </mc:Choice>
          <mc:Fallback>
            <w:pict>
              <v:shape id="任意多边形 169" o:spid="_x0000_s1026" o:spt="100" style="position:absolute;left:0pt;margin-left:380.5pt;margin-top:65.85pt;height:21.4pt;width:20.4pt;z-index:251744256;mso-width-relative:page;mso-height-relative:page;" filled="f" stroked="t" coordsize="408,428" o:gfxdata="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ByVIML2gAAAAsBAAAP&#10;AAAAAAAAAAEAIAAAACIAAABkcnMvZG93bnJldi54bWxQSwECFAAUAAAACACHTuJATDi+yIgCAABp&#10;BQAADgAAAAAAAAABACAAAAApAQAAZHJzL2Uyb0RvYy54bWxQSwUGAAAAAAYABgBZAQAAIwYAAAAA&#10;" path="m8,428l0,22,322,0,408,378,315,428,8,428xe">
                <v:fill on="f" focussize="0,0"/>
                <v:stroke color="#FFFF00" joinstyle="round"/>
                <v:imagedata o:title=""/>
                <o:lock v:ext="edit" aspectratio="f"/>
              </v:shape>
            </w:pict>
          </mc:Fallback>
        </mc:AlternateContent>
      </w:r>
      <w:r>
        <w:rPr>
          <w:rFonts w:ascii="宋体" w:hAnsi="Courier New" w:eastAsia="宋体" w:cs="Times New Roman"/>
          <w:color w:val="auto"/>
          <w:kern w:val="2"/>
          <w:sz w:val="21"/>
          <w:szCs w:val="20"/>
          <w:highlight w:val="none"/>
          <w:lang w:val="en-US" w:eastAsia="zh-CN" w:bidi="ar-SA"/>
        </w:rPr>
        <w:drawing>
          <wp:inline distT="0" distB="0" distL="114300" distR="114300">
            <wp:extent cx="7306310" cy="5487670"/>
            <wp:effectExtent l="0" t="0" r="8890" b="17780"/>
            <wp:docPr id="126"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609"/>
                    <pic:cNvPicPr>
                      <a:picLocks noChangeAspect="1"/>
                    </pic:cNvPicPr>
                  </pic:nvPicPr>
                  <pic:blipFill>
                    <a:blip r:embed="rId79"/>
                    <a:stretch>
                      <a:fillRect/>
                    </a:stretch>
                  </pic:blipFill>
                  <pic:spPr>
                    <a:xfrm>
                      <a:off x="0" y="0"/>
                      <a:ext cx="7306310" cy="5487670"/>
                    </a:xfrm>
                    <a:prstGeom prst="rect">
                      <a:avLst/>
                    </a:prstGeom>
                    <a:noFill/>
                    <a:ln>
                      <a:noFill/>
                    </a:ln>
                  </pic:spPr>
                </pic:pic>
              </a:graphicData>
            </a:graphic>
          </wp:inline>
        </w:drawing>
      </w:r>
      <w:r>
        <w:rPr>
          <w:rFonts w:ascii="宋体" w:hAnsi="Courier New" w:eastAsia="宋体" w:cs="Times New Roman"/>
          <w:color w:val="auto"/>
          <w:kern w:val="2"/>
          <w:sz w:val="21"/>
          <w:szCs w:val="20"/>
          <w:highlight w:val="none"/>
          <w:lang w:val="en-US" w:eastAsia="zh-CN" w:bidi="ar-SA"/>
        </w:rPr>
        <w:drawing>
          <wp:anchor distT="0" distB="0" distL="114300" distR="114300" simplePos="0" relativeHeight="251713536" behindDoc="0" locked="0" layoutInCell="1" allowOverlap="1">
            <wp:simplePos x="0" y="0"/>
            <wp:positionH relativeFrom="column">
              <wp:posOffset>6791960</wp:posOffset>
            </wp:positionH>
            <wp:positionV relativeFrom="paragraph">
              <wp:posOffset>34925</wp:posOffset>
            </wp:positionV>
            <wp:extent cx="1039495" cy="975360"/>
            <wp:effectExtent l="0" t="0" r="8255" b="15240"/>
            <wp:wrapNone/>
            <wp:docPr id="61" name="图片 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88"/>
                    <pic:cNvPicPr>
                      <a:picLocks noChangeAspect="1"/>
                    </pic:cNvPicPr>
                  </pic:nvPicPr>
                  <pic:blipFill>
                    <a:blip r:embed="rId80"/>
                    <a:stretch>
                      <a:fillRect/>
                    </a:stretch>
                  </pic:blipFill>
                  <pic:spPr>
                    <a:xfrm>
                      <a:off x="0" y="0"/>
                      <a:ext cx="1039495" cy="975360"/>
                    </a:xfrm>
                    <a:prstGeom prst="rect">
                      <a:avLst/>
                    </a:prstGeom>
                    <a:noFill/>
                    <a:ln>
                      <a:noFill/>
                    </a:ln>
                  </pic:spPr>
                </pic:pic>
              </a:graphicData>
            </a:graphic>
          </wp:anchor>
        </w:drawing>
      </w:r>
      <w:bookmarkStart w:id="104" w:name="_Toc31546"/>
    </w:p>
    <w:bookmarkEnd w:id="104"/>
    <w:p w14:paraId="6F619C7E">
      <w:pPr>
        <w:spacing w:line="240" w:lineRule="auto"/>
        <w:jc w:val="center"/>
        <w:outlineLvl w:val="0"/>
        <w:rPr>
          <w:rFonts w:hint="default" w:ascii="Times New Roman" w:hAnsi="Times New Roman" w:eastAsia="宋体" w:cs="Times New Roman"/>
          <w:color w:val="auto"/>
          <w:highlight w:val="none"/>
        </w:rPr>
      </w:pPr>
      <w:bookmarkStart w:id="105" w:name="_Toc23610"/>
      <w:r>
        <w:rPr>
          <w:rFonts w:hint="default" w:ascii="Times New Roman" w:hAnsi="Times New Roman" w:eastAsia="宋体" w:cs="Times New Roman"/>
          <w:b/>
          <w:bCs/>
          <w:color w:val="auto"/>
          <w:sz w:val="24"/>
          <w:highlight w:val="none"/>
        </w:rPr>
        <w:t>附</w:t>
      </w:r>
      <w:r>
        <w:rPr>
          <w:rFonts w:hint="default" w:ascii="Times New Roman" w:hAnsi="Times New Roman" w:eastAsia="宋体" w:cs="Times New Roman"/>
          <w:b/>
          <w:bCs/>
          <w:color w:val="auto"/>
          <w:kern w:val="2"/>
          <w:sz w:val="24"/>
          <w:szCs w:val="20"/>
          <w:highlight w:val="none"/>
          <w:lang w:val="en-US" w:eastAsia="zh-CN" w:bidi="ar-SA"/>
        </w:rPr>
        <w:t>图</w:t>
      </w:r>
      <w:r>
        <w:rPr>
          <w:rFonts w:hint="eastAsia" w:ascii="Times New Roman" w:hAnsi="Times New Roman" w:eastAsia="宋体" w:cs="Times New Roman"/>
          <w:b/>
          <w:bCs/>
          <w:color w:val="auto"/>
          <w:kern w:val="2"/>
          <w:sz w:val="24"/>
          <w:szCs w:val="20"/>
          <w:highlight w:val="none"/>
          <w:lang w:val="en-US" w:eastAsia="zh-CN" w:bidi="ar-SA"/>
        </w:rPr>
        <w:t>11</w:t>
      </w:r>
      <w:r>
        <w:rPr>
          <w:rFonts w:hint="default" w:ascii="Times New Roman" w:hAnsi="Times New Roman" w:eastAsia="宋体" w:cs="Times New Roman"/>
          <w:b/>
          <w:bCs/>
          <w:color w:val="auto"/>
          <w:kern w:val="2"/>
          <w:sz w:val="24"/>
          <w:szCs w:val="20"/>
          <w:highlight w:val="none"/>
          <w:lang w:val="en-US" w:eastAsia="zh-CN" w:bidi="ar-SA"/>
        </w:rPr>
        <w:t xml:space="preserve"> </w:t>
      </w:r>
      <w:r>
        <w:rPr>
          <w:rFonts w:hint="eastAsia" w:ascii="Times New Roman" w:hAnsi="Times New Roman" w:eastAsia="宋体" w:cs="Times New Roman"/>
          <w:b/>
          <w:bCs/>
          <w:color w:val="auto"/>
          <w:kern w:val="2"/>
          <w:sz w:val="24"/>
          <w:szCs w:val="20"/>
          <w:highlight w:val="none"/>
          <w:lang w:val="en-US" w:eastAsia="zh-CN" w:bidi="ar-SA"/>
        </w:rPr>
        <w:t>项目周边</w:t>
      </w:r>
      <w:r>
        <w:rPr>
          <w:rFonts w:hint="default" w:ascii="Times New Roman" w:hAnsi="Times New Roman" w:eastAsia="宋体" w:cs="Times New Roman"/>
          <w:b/>
          <w:bCs/>
          <w:color w:val="auto"/>
          <w:kern w:val="2"/>
          <w:sz w:val="24"/>
          <w:szCs w:val="20"/>
          <w:highlight w:val="none"/>
          <w:lang w:val="en-US" w:eastAsia="zh-CN" w:bidi="ar-SA"/>
        </w:rPr>
        <w:t>环境</w:t>
      </w:r>
      <w:r>
        <w:rPr>
          <w:rFonts w:hint="default" w:ascii="Times New Roman" w:hAnsi="Times New Roman" w:eastAsia="宋体" w:cs="Times New Roman"/>
          <w:b/>
          <w:bCs/>
          <w:color w:val="auto"/>
          <w:sz w:val="24"/>
          <w:highlight w:val="none"/>
          <w:lang w:val="en-US" w:eastAsia="zh-CN"/>
        </w:rPr>
        <w:t>保护目标分布</w:t>
      </w:r>
      <w:r>
        <w:rPr>
          <w:rFonts w:hint="default" w:ascii="Times New Roman" w:hAnsi="Times New Roman" w:eastAsia="宋体" w:cs="Times New Roman"/>
          <w:b/>
          <w:bCs/>
          <w:color w:val="auto"/>
          <w:sz w:val="24"/>
          <w:highlight w:val="none"/>
        </w:rPr>
        <w:t>示意图</w:t>
      </w:r>
      <w:bookmarkEnd w:id="105"/>
    </w:p>
    <w:p w14:paraId="0B2884C0">
      <w:pPr>
        <w:jc w:val="center"/>
        <w:rPr>
          <w:rFonts w:ascii="Times New Roman"/>
          <w:color w:val="auto"/>
          <w:highlight w:val="none"/>
        </w:rPr>
        <w:sectPr>
          <w:pgSz w:w="16838" w:h="11906" w:orient="landscape"/>
          <w:pgMar w:top="1440" w:right="1800" w:bottom="1440" w:left="1800" w:header="851" w:footer="992" w:gutter="0"/>
          <w:pgBorders>
            <w:top w:val="none" w:sz="0" w:space="0"/>
            <w:left w:val="none" w:sz="0" w:space="0"/>
            <w:bottom w:val="none" w:sz="0" w:space="0"/>
            <w:right w:val="none" w:sz="0" w:space="0"/>
          </w:pgBorders>
          <w:pgNumType w:fmt="decimal"/>
          <w:cols w:space="720" w:num="1"/>
          <w:rtlGutter w:val="0"/>
          <w:docGrid w:type="lines" w:linePitch="334" w:charSpace="0"/>
        </w:sectPr>
      </w:pPr>
    </w:p>
    <w:bookmarkEnd w:id="103"/>
    <w:p w14:paraId="0C3845A7">
      <w:pPr>
        <w:keepNext w:val="0"/>
        <w:keepLines w:val="0"/>
        <w:pageBreakBefore w:val="0"/>
        <w:widowControl w:val="0"/>
        <w:kinsoku/>
        <w:wordWrap/>
        <w:overflowPunct/>
        <w:topLinePunct w:val="0"/>
        <w:autoSpaceDE w:val="0"/>
        <w:autoSpaceDN w:val="0"/>
        <w:bidi w:val="0"/>
        <w:adjustRightInd w:val="0"/>
        <w:snapToGrid w:val="0"/>
        <w:jc w:val="center"/>
        <w:textAlignment w:val="auto"/>
        <w:rPr>
          <w:rFonts w:ascii="Times New Roman" w:hAnsi="Times New Roman" w:eastAsia="宋体....." w:cs="Times New Roman"/>
          <w:color w:val="auto"/>
          <w:kern w:val="2"/>
          <w:sz w:val="24"/>
          <w:szCs w:val="24"/>
          <w:highlight w:val="none"/>
          <w:lang w:val="en-US" w:eastAsia="zh-CN" w:bidi="ar-SA"/>
        </w:rPr>
      </w:pPr>
      <w:r>
        <w:rPr>
          <w:rFonts w:ascii="宋体....." w:hAnsi="Times New Roman" w:eastAsia="宋体....." w:cs="宋体....."/>
          <w:color w:val="auto"/>
          <w:kern w:val="2"/>
          <w:sz w:val="24"/>
          <w:szCs w:val="24"/>
          <w:highlight w:val="none"/>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6282055</wp:posOffset>
                </wp:positionH>
                <wp:positionV relativeFrom="paragraph">
                  <wp:posOffset>1232535</wp:posOffset>
                </wp:positionV>
                <wp:extent cx="777875" cy="365760"/>
                <wp:effectExtent l="541020" t="4445" r="14605" b="239395"/>
                <wp:wrapNone/>
                <wp:docPr id="11" name="自选图形 1119"/>
                <wp:cNvGraphicFramePr/>
                <a:graphic xmlns:a="http://schemas.openxmlformats.org/drawingml/2006/main">
                  <a:graphicData uri="http://schemas.microsoft.com/office/word/2010/wordprocessingShape">
                    <wps:wsp>
                      <wps:cNvSpPr/>
                      <wps:spPr>
                        <a:xfrm>
                          <a:off x="0" y="0"/>
                          <a:ext cx="777875" cy="365760"/>
                        </a:xfrm>
                        <a:prstGeom prst="wedgeRoundRectCallout">
                          <a:avLst>
                            <a:gd name="adj1" fmla="val -115218"/>
                            <a:gd name="adj2" fmla="val 105384"/>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67F7B1BD">
                            <w:pPr>
                              <w:rPr>
                                <w:rFonts w:hint="default" w:eastAsia="宋体"/>
                                <w:b/>
                                <w:bCs/>
                                <w:color w:val="auto"/>
                                <w:lang w:val="en-US" w:eastAsia="zh-CN"/>
                              </w:rPr>
                            </w:pPr>
                            <w:r>
                              <w:rPr>
                                <w:rFonts w:hint="eastAsia" w:ascii="Times New Roman" w:eastAsia="宋体"/>
                                <w:b/>
                                <w:bCs/>
                                <w:color w:val="auto"/>
                                <w:lang w:val="en-US" w:eastAsia="zh-CN"/>
                              </w:rPr>
                              <w:t>项目选址</w:t>
                            </w:r>
                          </w:p>
                        </w:txbxContent>
                      </wps:txbx>
                      <wps:bodyPr vert="horz" wrap="square" anchor="t" anchorCtr="0" upright="1"/>
                    </wps:wsp>
                  </a:graphicData>
                </a:graphic>
              </wp:anchor>
            </w:drawing>
          </mc:Choice>
          <mc:Fallback>
            <w:pict>
              <v:shape id="自选图形 1119" o:spid="_x0000_s1026" o:spt="62" type="#_x0000_t62" style="position:absolute;left:0pt;margin-left:494.65pt;margin-top:97.05pt;height:28.8pt;width:61.25pt;z-index:251667456;mso-width-relative:page;mso-height-relative:page;" fillcolor="#FFFFFF" filled="t" stroked="t" coordsize="21600,21600" o:gfxdata="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urYFx1wAAAAwBAAAPAAAAAAAAAAEAIAAAACIAAABkcnMvZG93bnJldi54bWxQ&#10;SwECFAAUAAAACACHTuJAyoYDTWoCAADuBAAADgAAAAAAAAABACAAAAAmAQAAZHJzL2Uyb0RvYy54&#10;bWxQSwUGAAAAAAYABgBZAQAAAgYAAAAA&#10;" adj="-14087,33563,14400">
                <v:fill on="t" focussize="0,0"/>
                <v:stroke color="#000000" joinstyle="miter"/>
                <v:imagedata o:title=""/>
                <o:lock v:ext="edit" aspectratio="f"/>
                <v:textbox>
                  <w:txbxContent>
                    <w:p w14:paraId="67F7B1BD">
                      <w:pPr>
                        <w:rPr>
                          <w:rFonts w:hint="default" w:eastAsia="宋体"/>
                          <w:b/>
                          <w:bCs/>
                          <w:color w:val="auto"/>
                          <w:lang w:val="en-US" w:eastAsia="zh-CN"/>
                        </w:rPr>
                      </w:pPr>
                      <w:r>
                        <w:rPr>
                          <w:rFonts w:hint="eastAsia" w:ascii="Times New Roman" w:eastAsia="宋体"/>
                          <w:b/>
                          <w:bCs/>
                          <w:color w:val="auto"/>
                          <w:lang w:val="en-US" w:eastAsia="zh-CN"/>
                        </w:rPr>
                        <w:t>项目选址</w:t>
                      </w:r>
                    </w:p>
                  </w:txbxContent>
                </v:textbox>
              </v:shape>
            </w:pict>
          </mc:Fallback>
        </mc:AlternateContent>
      </w:r>
      <w:r>
        <w:rPr>
          <w:rFonts w:ascii="宋体....." w:hAnsi="Times New Roman" w:eastAsia="宋体....." w:cs="宋体....."/>
          <w:color w:val="auto"/>
          <w:kern w:val="2"/>
          <w:sz w:val="21"/>
          <w:szCs w:val="24"/>
          <w:highlight w:val="none"/>
          <w:lang w:val="en-US" w:eastAsia="zh-CN" w:bidi="ar-SA"/>
        </w:rPr>
        <mc:AlternateContent>
          <mc:Choice Requires="wps">
            <w:drawing>
              <wp:anchor distT="0" distB="0" distL="114300" distR="114300" simplePos="0" relativeHeight="251714560" behindDoc="0" locked="0" layoutInCell="1" allowOverlap="1">
                <wp:simplePos x="0" y="0"/>
                <wp:positionH relativeFrom="column">
                  <wp:posOffset>5472430</wp:posOffset>
                </wp:positionH>
                <wp:positionV relativeFrom="paragraph">
                  <wp:posOffset>1755140</wp:posOffset>
                </wp:positionV>
                <wp:extent cx="394970" cy="327025"/>
                <wp:effectExtent l="6350" t="6350" r="17780" b="9525"/>
                <wp:wrapNone/>
                <wp:docPr id="62" name="任意多边形 118"/>
                <wp:cNvGraphicFramePr/>
                <a:graphic xmlns:a="http://schemas.openxmlformats.org/drawingml/2006/main">
                  <a:graphicData uri="http://schemas.microsoft.com/office/word/2010/wordprocessingShape">
                    <wps:wsp>
                      <wps:cNvSpPr/>
                      <wps:spPr>
                        <a:xfrm>
                          <a:off x="0" y="0"/>
                          <a:ext cx="394970" cy="327025"/>
                        </a:xfrm>
                        <a:custGeom>
                          <a:avLst/>
                          <a:gdLst/>
                          <a:ahLst/>
                          <a:cxnLst/>
                          <a:pathLst>
                            <a:path w="622" h="515">
                              <a:moveTo>
                                <a:pt x="504" y="515"/>
                              </a:moveTo>
                              <a:lnTo>
                                <a:pt x="590" y="128"/>
                              </a:lnTo>
                              <a:lnTo>
                                <a:pt x="622" y="0"/>
                              </a:lnTo>
                              <a:lnTo>
                                <a:pt x="11" y="22"/>
                              </a:lnTo>
                              <a:lnTo>
                                <a:pt x="0" y="428"/>
                              </a:lnTo>
                              <a:lnTo>
                                <a:pt x="504" y="515"/>
                              </a:lnTo>
                              <a:close/>
                            </a:path>
                          </a:pathLst>
                        </a:custGeom>
                        <a:noFill/>
                        <a:ln w="12700" cap="flat" cmpd="sng">
                          <a:solidFill>
                            <a:srgbClr val="FF0000"/>
                          </a:solidFill>
                          <a:prstDash val="solid"/>
                          <a:headEnd type="none" w="med" len="med"/>
                          <a:tailEnd type="none" w="med" len="med"/>
                        </a:ln>
                      </wps:spPr>
                      <wps:bodyPr vert="horz" wrap="square" anchor="t" anchorCtr="0" upright="1"/>
                    </wps:wsp>
                  </a:graphicData>
                </a:graphic>
              </wp:anchor>
            </w:drawing>
          </mc:Choice>
          <mc:Fallback>
            <w:pict>
              <v:shape id="任意多边形 118" o:spid="_x0000_s1026" o:spt="100" style="position:absolute;left:0pt;margin-left:430.9pt;margin-top:138.2pt;height:25.75pt;width:31.1pt;z-index:251714560;mso-width-relative:page;mso-height-relative:page;" filled="f" stroked="t" coordsize="622,515" o:gfxdata="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kySf2QAAAAsBAAAPAAAA&#10;AAAAAAEAIAAAACIAAABkcnMvZG93bnJldi54bWxQSwECFAAUAAAACACHTuJACG2A8YYCAABtBQAA&#10;DgAAAAAAAAABACAAAAAoAQAAZHJzL2Uyb0RvYy54bWxQSwUGAAAAAAYABgBZAQAAIAYAAAAA&#10;" path="m504,515l590,128,622,0,11,22,0,428,504,515xe">
                <v:fill on="f" focussize="0,0"/>
                <v:stroke weight="1pt" color="#FF0000" joinstyle="round"/>
                <v:imagedata o:title=""/>
                <o:lock v:ext="edit" aspectratio="f"/>
              </v:shape>
            </w:pict>
          </mc:Fallback>
        </mc:AlternateContent>
      </w:r>
      <w:r>
        <w:rPr>
          <w:rFonts w:hint="eastAsia" w:ascii="宋体....." w:hAnsi="Times New Roman" w:eastAsia="宋体....." w:cs="宋体....."/>
          <w:color w:val="auto"/>
          <w:kern w:val="2"/>
          <w:sz w:val="24"/>
          <w:szCs w:val="24"/>
          <w:highlight w:val="none"/>
          <w:lang w:val="en-US" w:eastAsia="zh-CN" w:bidi="ar-SA"/>
        </w:rPr>
        <w:drawing>
          <wp:inline distT="0" distB="0" distL="114300" distR="114300">
            <wp:extent cx="10999470" cy="8804910"/>
            <wp:effectExtent l="9525" t="9525" r="20955" b="24765"/>
            <wp:docPr id="127" name="图片 410" descr="01城东法定图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410" descr="01城东法定图则"/>
                    <pic:cNvPicPr>
                      <a:picLocks noChangeAspect="1"/>
                    </pic:cNvPicPr>
                  </pic:nvPicPr>
                  <pic:blipFill>
                    <a:blip r:embed="rId81"/>
                    <a:srcRect l="827" t="2052" r="32103" b="21954"/>
                    <a:stretch>
                      <a:fillRect/>
                    </a:stretch>
                  </pic:blipFill>
                  <pic:spPr>
                    <a:xfrm>
                      <a:off x="0" y="0"/>
                      <a:ext cx="10999470" cy="8804910"/>
                    </a:xfrm>
                    <a:prstGeom prst="rect">
                      <a:avLst/>
                    </a:prstGeom>
                    <a:noFill/>
                    <a:ln w="9525" cap="flat" cmpd="sng">
                      <a:solidFill>
                        <a:srgbClr val="000000"/>
                      </a:solidFill>
                      <a:prstDash val="solid"/>
                      <a:miter/>
                      <a:headEnd type="none" w="med" len="med"/>
                      <a:tailEnd type="none" w="med" len="med"/>
                    </a:ln>
                  </pic:spPr>
                </pic:pic>
              </a:graphicData>
            </a:graphic>
          </wp:inline>
        </w:drawing>
      </w:r>
    </w:p>
    <w:p w14:paraId="566FA18E">
      <w:pPr>
        <w:spacing w:line="240" w:lineRule="auto"/>
        <w:jc w:val="center"/>
        <w:outlineLvl w:val="0"/>
        <w:rPr>
          <w:rFonts w:hint="default" w:ascii="Times New Roman" w:hAnsi="Times New Roman" w:cs="Times New Roman"/>
          <w:color w:val="auto"/>
          <w:highlight w:val="none"/>
        </w:rPr>
      </w:pPr>
      <w:bookmarkStart w:id="106" w:name="_Toc28121"/>
      <w:bookmarkStart w:id="107" w:name="_Toc10279"/>
      <w:bookmarkStart w:id="108" w:name="_Toc24107"/>
      <w:bookmarkStart w:id="109" w:name="_Toc1941"/>
      <w:bookmarkStart w:id="110" w:name="_Toc30352"/>
      <w:bookmarkStart w:id="111" w:name="_Toc5413"/>
      <w:r>
        <w:rPr>
          <w:rFonts w:hint="default" w:ascii="Times New Roman" w:hAnsi="Times New Roman" w:eastAsia="宋体" w:cs="Times New Roman"/>
          <w:b/>
          <w:bCs/>
          <w:color w:val="auto"/>
          <w:sz w:val="24"/>
          <w:highlight w:val="none"/>
        </w:rPr>
        <w:t>附图</w:t>
      </w:r>
      <w:r>
        <w:rPr>
          <w:rFonts w:hint="eastAsia" w:ascii="Times New Roman" w:hAnsi="Times New Roman" w:eastAsia="宋体" w:cs="Times New Roman"/>
          <w:b/>
          <w:bCs/>
          <w:color w:val="auto"/>
          <w:sz w:val="24"/>
          <w:highlight w:val="none"/>
          <w:lang w:val="en-US" w:eastAsia="zh-CN"/>
        </w:rPr>
        <w:t>12</w:t>
      </w:r>
      <w:r>
        <w:rPr>
          <w:rFonts w:hint="default" w:ascii="Times New Roman" w:hAnsi="Times New Roman" w:eastAsia="宋体" w:cs="Times New Roman"/>
          <w:b/>
          <w:bCs/>
          <w:color w:val="auto"/>
          <w:sz w:val="24"/>
          <w:highlight w:val="none"/>
        </w:rPr>
        <w:t xml:space="preserve"> </w:t>
      </w:r>
      <w:bookmarkEnd w:id="106"/>
      <w:r>
        <w:rPr>
          <w:rFonts w:hint="eastAsia" w:ascii="Times New Roman" w:hAnsi="Times New Roman" w:cs="Times New Roman"/>
          <w:b/>
          <w:bCs/>
          <w:color w:val="auto"/>
          <w:sz w:val="24"/>
          <w:highlight w:val="none"/>
          <w:lang w:val="en-US" w:eastAsia="zh-CN"/>
        </w:rPr>
        <w:t>韶关乐</w:t>
      </w:r>
      <w:r>
        <w:rPr>
          <w:rFonts w:hint="eastAsia" w:ascii="Times New Roman" w:hAnsi="Times New Roman" w:eastAsia="宋体" w:cs="Times New Roman"/>
          <w:b/>
          <w:bCs/>
          <w:color w:val="auto"/>
          <w:sz w:val="24"/>
          <w:highlight w:val="none"/>
          <w:lang w:val="en-US" w:eastAsia="zh-CN"/>
        </w:rPr>
        <w:t>昌经济开发区</w:t>
      </w:r>
      <w:r>
        <w:rPr>
          <w:rFonts w:hint="default" w:ascii="Times New Roman" w:hAnsi="Times New Roman" w:eastAsia="宋体" w:cs="Times New Roman"/>
          <w:b/>
          <w:bCs/>
          <w:color w:val="auto"/>
          <w:sz w:val="24"/>
          <w:highlight w:val="none"/>
          <w:lang w:val="en-US" w:eastAsia="zh-CN"/>
        </w:rPr>
        <w:t>城东片区控制性详细规划</w:t>
      </w:r>
      <w:r>
        <w:rPr>
          <w:rFonts w:hint="eastAsia" w:ascii="Times New Roman" w:hAnsi="Times New Roman" w:eastAsia="宋体" w:cs="Times New Roman"/>
          <w:b/>
          <w:bCs/>
          <w:color w:val="auto"/>
          <w:sz w:val="24"/>
          <w:highlight w:val="none"/>
        </w:rPr>
        <w:t>图</w:t>
      </w:r>
      <w:bookmarkEnd w:id="107"/>
      <w:bookmarkEnd w:id="108"/>
      <w:bookmarkEnd w:id="109"/>
      <w:bookmarkEnd w:id="110"/>
      <w:bookmarkEnd w:id="111"/>
    </w:p>
    <w:p w14:paraId="78226463">
      <w:pPr>
        <w:spacing w:line="240" w:lineRule="auto"/>
        <w:rPr>
          <w:rFonts w:hint="default" w:ascii="Times New Roman" w:hAnsi="Times New Roman" w:cs="Times New Roman"/>
          <w:color w:val="auto"/>
          <w:highlight w:val="none"/>
        </w:rPr>
        <w:sectPr>
          <w:pgSz w:w="23811" w:h="16838" w:orient="landscape"/>
          <w:pgMar w:top="1134" w:right="1417" w:bottom="1077" w:left="1417" w:header="850" w:footer="907" w:gutter="340"/>
          <w:pgBorders>
            <w:top w:val="none" w:sz="0" w:space="0"/>
            <w:left w:val="none" w:sz="0" w:space="0"/>
            <w:bottom w:val="none" w:sz="0" w:space="0"/>
            <w:right w:val="none" w:sz="0" w:space="0"/>
          </w:pgBorders>
          <w:pgNumType w:fmt="decimal"/>
          <w:cols w:space="720" w:num="1"/>
          <w:docGrid w:type="lines" w:linePitch="412" w:charSpace="0"/>
        </w:sectPr>
      </w:pPr>
    </w:p>
    <w:p w14:paraId="19FF17C2">
      <w:pPr>
        <w:widowControl w:val="0"/>
        <w:spacing w:line="240" w:lineRule="auto"/>
        <w:ind w:left="0" w:leftChars="0" w:firstLine="0" w:firstLineChars="0"/>
        <w:jc w:val="center"/>
        <w:rPr>
          <w:rFonts w:hint="eastAsia" w:ascii="Times New Roman" w:hAnsi="Times New Roman" w:eastAsia="宋体" w:cs="Times New Roman"/>
          <w:b/>
          <w:bCs/>
          <w:color w:val="auto"/>
          <w:kern w:val="2"/>
          <w:sz w:val="24"/>
          <w:szCs w:val="24"/>
          <w:highlight w:val="none"/>
          <w:lang w:val="en-US" w:eastAsia="zh-CN" w:bidi="ar-SA"/>
        </w:rPr>
      </w:pP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710464" behindDoc="0" locked="0" layoutInCell="1" allowOverlap="1">
                <wp:simplePos x="0" y="0"/>
                <wp:positionH relativeFrom="column">
                  <wp:posOffset>981710</wp:posOffset>
                </wp:positionH>
                <wp:positionV relativeFrom="paragraph">
                  <wp:posOffset>5452110</wp:posOffset>
                </wp:positionV>
                <wp:extent cx="266700" cy="142875"/>
                <wp:effectExtent l="4445" t="5080" r="14605" b="4445"/>
                <wp:wrapNone/>
                <wp:docPr id="56" name="矩形 16"/>
                <wp:cNvGraphicFramePr/>
                <a:graphic xmlns:a="http://schemas.openxmlformats.org/drawingml/2006/main">
                  <a:graphicData uri="http://schemas.microsoft.com/office/word/2010/wordprocessingShape">
                    <wps:wsp>
                      <wps:cNvSpPr/>
                      <wps:spPr>
                        <a:xfrm>
                          <a:off x="0" y="0"/>
                          <a:ext cx="266700" cy="142875"/>
                        </a:xfrm>
                        <a:prstGeom prst="rect">
                          <a:avLst/>
                        </a:prstGeom>
                        <a:solidFill>
                          <a:srgbClr val="F3ADAD"/>
                        </a:solidFill>
                        <a:ln w="0" cap="flat" cmpd="sng">
                          <a:solidFill>
                            <a:srgbClr val="FF0000"/>
                          </a:solidFill>
                          <a:prstDash val="solid"/>
                          <a:miter/>
                          <a:headEnd type="none" w="med" len="med"/>
                          <a:tailEnd type="none" w="med" len="med"/>
                        </a:ln>
                      </wps:spPr>
                      <wps:bodyPr wrap="square" upright="1"/>
                    </wps:wsp>
                  </a:graphicData>
                </a:graphic>
              </wp:anchor>
            </w:drawing>
          </mc:Choice>
          <mc:Fallback>
            <w:pict>
              <v:rect id="矩形 16" o:spid="_x0000_s1026" o:spt="1" style="position:absolute;left:0pt;margin-left:77.3pt;margin-top:429.3pt;height:11.25pt;width:21pt;z-index:251710464;mso-width-relative:page;mso-height-relative:page;" fillcolor="#F3ADAD" filled="t" stroked="t" coordsize="21600,21600" o:gfxdata="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XcUidoAAAALAQAADwAAAAAAAAABACAAAAAiAAAA&#10;ZHJzL2Rvd25yZXYueG1sUEsBAhQAFAAAAAgAh07iQF9nB5gFAgAAKgQAAA4AAAAAAAAAAQAgAAAA&#10;KQEAAGRycy9lMm9Eb2MueG1sUEsFBgAAAAAGAAYAWQEAAKAFAAAAAA==&#10;">
                <v:fill on="t" focussize="0,0"/>
                <v:stroke weight="0pt" color="#FF0000" joinstyle="miter"/>
                <v:imagedata o:title=""/>
                <o:lock v:ext="edit" aspectratio="f"/>
              </v:rect>
            </w:pict>
          </mc:Fallback>
        </mc:AlternateContent>
      </w: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711488" behindDoc="0" locked="0" layoutInCell="1" allowOverlap="1">
                <wp:simplePos x="0" y="0"/>
                <wp:positionH relativeFrom="column">
                  <wp:posOffset>974090</wp:posOffset>
                </wp:positionH>
                <wp:positionV relativeFrom="paragraph">
                  <wp:posOffset>5182235</wp:posOffset>
                </wp:positionV>
                <wp:extent cx="266700" cy="142875"/>
                <wp:effectExtent l="4445" t="5080" r="14605" b="4445"/>
                <wp:wrapNone/>
                <wp:docPr id="57" name="矩形 17"/>
                <wp:cNvGraphicFramePr/>
                <a:graphic xmlns:a="http://schemas.openxmlformats.org/drawingml/2006/main">
                  <a:graphicData uri="http://schemas.microsoft.com/office/word/2010/wordprocessingShape">
                    <wps:wsp>
                      <wps:cNvSpPr/>
                      <wps:spPr>
                        <a:xfrm>
                          <a:off x="0" y="0"/>
                          <a:ext cx="266700" cy="142875"/>
                        </a:xfrm>
                        <a:prstGeom prst="rect">
                          <a:avLst/>
                        </a:prstGeom>
                        <a:solidFill>
                          <a:srgbClr val="FFFF00">
                            <a:alpha val="71999"/>
                          </a:srgbClr>
                        </a:solidFill>
                        <a:ln w="0" cap="flat" cmpd="sng">
                          <a:solidFill>
                            <a:srgbClr val="FFFF00"/>
                          </a:solidFill>
                          <a:prstDash val="solid"/>
                          <a:miter/>
                          <a:headEnd type="none" w="med" len="med"/>
                          <a:tailEnd type="none" w="med" len="med"/>
                        </a:ln>
                      </wps:spPr>
                      <wps:bodyPr vert="horz" wrap="square" anchor="t" anchorCtr="0" upright="1"/>
                    </wps:wsp>
                  </a:graphicData>
                </a:graphic>
              </wp:anchor>
            </w:drawing>
          </mc:Choice>
          <mc:Fallback>
            <w:pict>
              <v:rect id="矩形 17" o:spid="_x0000_s1026" o:spt="1" style="position:absolute;left:0pt;margin-left:76.7pt;margin-top:408.05pt;height:11.25pt;width:21pt;z-index:251711488;mso-width-relative:page;mso-height-relative:page;" fillcolor="#FFFF00" filled="t" stroked="t" coordsize="21600,21600" o:gfxdata="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NxyZcDWAAAACwEAAA8AAAAAAAAAAQAgAAAAIgAAAGRycy9kb3ducmV2LnhtbFBLAQIUABQAAAAI&#10;AIdO4kBbJ6xzKAIAAHAEAAAOAAAAAAAAAAEAIAAAACUBAABkcnMvZTJvRG9jLnhtbFBLBQYAAAAA&#10;BgAGAFkBAAC/BQAAAAA=&#10;">
                <v:fill on="t" opacity="47185f" focussize="0,0"/>
                <v:stroke weight="0pt" color="#FFFF00" joinstyle="miter"/>
                <v:imagedata o:title=""/>
                <o:lock v:ext="edit" aspectratio="f"/>
              </v:rect>
            </w:pict>
          </mc:Fallback>
        </mc:AlternateContent>
      </w: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709440" behindDoc="0" locked="0" layoutInCell="1" allowOverlap="1">
                <wp:simplePos x="0" y="0"/>
                <wp:positionH relativeFrom="column">
                  <wp:posOffset>980440</wp:posOffset>
                </wp:positionH>
                <wp:positionV relativeFrom="paragraph">
                  <wp:posOffset>4946650</wp:posOffset>
                </wp:positionV>
                <wp:extent cx="266700" cy="142875"/>
                <wp:effectExtent l="4445" t="5080" r="14605" b="4445"/>
                <wp:wrapNone/>
                <wp:docPr id="55" name="矩形 15"/>
                <wp:cNvGraphicFramePr/>
                <a:graphic xmlns:a="http://schemas.openxmlformats.org/drawingml/2006/main">
                  <a:graphicData uri="http://schemas.microsoft.com/office/word/2010/wordprocessingShape">
                    <wps:wsp>
                      <wps:cNvSpPr/>
                      <wps:spPr>
                        <a:xfrm>
                          <a:off x="0" y="0"/>
                          <a:ext cx="266700" cy="142875"/>
                        </a:xfrm>
                        <a:prstGeom prst="rect">
                          <a:avLst/>
                        </a:prstGeom>
                        <a:solidFill>
                          <a:srgbClr val="00B050">
                            <a:alpha val="71999"/>
                          </a:srgbClr>
                        </a:solidFill>
                        <a:ln w="0" cap="flat" cmpd="sng">
                          <a:solidFill>
                            <a:srgbClr val="00B050"/>
                          </a:solidFill>
                          <a:prstDash val="solid"/>
                          <a:miter/>
                          <a:headEnd type="none" w="med" len="med"/>
                          <a:tailEnd type="none" w="med" len="med"/>
                        </a:ln>
                      </wps:spPr>
                      <wps:bodyPr vert="horz" wrap="square" anchor="t" anchorCtr="0" upright="1"/>
                    </wps:wsp>
                  </a:graphicData>
                </a:graphic>
              </wp:anchor>
            </w:drawing>
          </mc:Choice>
          <mc:Fallback>
            <w:pict>
              <v:rect id="矩形 15" o:spid="_x0000_s1026" o:spt="1" style="position:absolute;left:0pt;margin-left:77.2pt;margin-top:389.5pt;height:11.25pt;width:21pt;z-index:251709440;mso-width-relative:page;mso-height-relative:page;" fillcolor="#00B050" filled="t" stroked="t" coordsize="21600,21600" o:gfxdata="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kSdBE2QAAAAsBAAAPAAAAAAAAAAEAIAAAACIAAABkcnMvZG93bnJldi54bWxQSwECFAAUAAAA&#10;CACHTuJABthZzCYCAABwBAAADgAAAAAAAAABACAAAAAoAQAAZHJzL2Uyb0RvYy54bWxQSwUGAAAA&#10;AAYABgBZAQAAwAUAAAAA&#10;">
                <v:fill on="t" opacity="47185f" focussize="0,0"/>
                <v:stroke weight="0pt" color="#00B050" joinstyle="miter"/>
                <v:imagedata o:title=""/>
                <o:lock v:ext="edit" aspectratio="f"/>
              </v:rect>
            </w:pict>
          </mc:Fallback>
        </mc:AlternateContent>
      </w: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708416" behindDoc="0" locked="0" layoutInCell="1" allowOverlap="1">
                <wp:simplePos x="0" y="0"/>
                <wp:positionH relativeFrom="column">
                  <wp:posOffset>925830</wp:posOffset>
                </wp:positionH>
                <wp:positionV relativeFrom="paragraph">
                  <wp:posOffset>4577715</wp:posOffset>
                </wp:positionV>
                <wp:extent cx="1608455" cy="1123315"/>
                <wp:effectExtent l="4445" t="4445" r="6350" b="15240"/>
                <wp:wrapNone/>
                <wp:docPr id="54" name="矩形 14"/>
                <wp:cNvGraphicFramePr/>
                <a:graphic xmlns:a="http://schemas.openxmlformats.org/drawingml/2006/main">
                  <a:graphicData uri="http://schemas.microsoft.com/office/word/2010/wordprocessingShape">
                    <wps:wsp>
                      <wps:cNvSpPr/>
                      <wps:spPr>
                        <a:xfrm>
                          <a:off x="0" y="0"/>
                          <a:ext cx="1608455" cy="1123315"/>
                        </a:xfrm>
                        <a:prstGeom prst="rect">
                          <a:avLst/>
                        </a:prstGeom>
                        <a:solidFill>
                          <a:srgbClr val="FFFFFF">
                            <a:alpha val="39999"/>
                          </a:srgbClr>
                        </a:solidFill>
                        <a:ln w="9525" cap="flat" cmpd="sng">
                          <a:solidFill>
                            <a:srgbClr val="000000"/>
                          </a:solidFill>
                          <a:prstDash val="solid"/>
                          <a:miter/>
                          <a:headEnd type="none" w="med" len="med"/>
                          <a:tailEnd type="none" w="med" len="med"/>
                        </a:ln>
                      </wps:spPr>
                      <wps:txbx>
                        <w:txbxContent>
                          <w:p w14:paraId="2C358600">
                            <w:pPr>
                              <w:spacing w:line="240" w:lineRule="auto"/>
                              <w:jc w:val="center"/>
                              <w:rPr>
                                <w:rFonts w:hint="eastAsia"/>
                                <w:b/>
                                <w:bCs/>
                                <w:lang w:val="en-US" w:eastAsia="zh-CN"/>
                              </w:rPr>
                            </w:pPr>
                            <w:r>
                              <w:rPr>
                                <w:rFonts w:hint="eastAsia" w:ascii="Times New Roman" w:eastAsia="宋体"/>
                                <w:b/>
                                <w:bCs/>
                                <w:lang w:val="en-US" w:eastAsia="zh-CN"/>
                              </w:rPr>
                              <w:t>图 例</w:t>
                            </w:r>
                          </w:p>
                          <w:p w14:paraId="3124EBEE">
                            <w:pPr>
                              <w:jc w:val="center"/>
                              <w:rPr>
                                <w:rFonts w:hint="eastAsia"/>
                                <w:b/>
                                <w:bCs/>
                                <w:lang w:val="en-US" w:eastAsia="zh-CN"/>
                              </w:rPr>
                            </w:pPr>
                            <w:r>
                              <w:rPr>
                                <w:rFonts w:hint="eastAsia" w:ascii="Times New Roman" w:eastAsia="宋体"/>
                                <w:b/>
                                <w:bCs/>
                                <w:lang w:val="en-US" w:eastAsia="zh-CN"/>
                              </w:rPr>
                              <w:t>：生态保护红线</w:t>
                            </w:r>
                          </w:p>
                          <w:p w14:paraId="2AB08559">
                            <w:pPr>
                              <w:jc w:val="center"/>
                              <w:rPr>
                                <w:rFonts w:hint="default"/>
                                <w:b/>
                                <w:bCs/>
                                <w:lang w:val="en-US" w:eastAsia="zh-CN"/>
                              </w:rPr>
                            </w:pPr>
                            <w:r>
                              <w:rPr>
                                <w:rFonts w:hint="eastAsia" w:ascii="Times New Roman" w:eastAsia="宋体"/>
                                <w:b/>
                                <w:bCs/>
                                <w:lang w:val="en-US" w:eastAsia="zh-CN"/>
                              </w:rPr>
                              <w:t>：永久基本农田</w:t>
                            </w:r>
                          </w:p>
                          <w:p w14:paraId="11E621BE">
                            <w:pPr>
                              <w:jc w:val="center"/>
                              <w:rPr>
                                <w:rFonts w:hint="default"/>
                                <w:b/>
                                <w:bCs/>
                                <w:lang w:val="en-US" w:eastAsia="zh-CN"/>
                              </w:rPr>
                            </w:pPr>
                            <w:r>
                              <w:rPr>
                                <w:rFonts w:hint="eastAsia" w:ascii="Times New Roman" w:eastAsia="宋体"/>
                                <w:b/>
                                <w:bCs/>
                                <w:lang w:val="en-US" w:eastAsia="zh-CN"/>
                              </w:rPr>
                              <w:t>：城镇开发边界</w:t>
                            </w:r>
                          </w:p>
                        </w:txbxContent>
                      </wps:txbx>
                      <wps:bodyPr vert="horz" wrap="square" anchor="t" anchorCtr="0" upright="1"/>
                    </wps:wsp>
                  </a:graphicData>
                </a:graphic>
              </wp:anchor>
            </w:drawing>
          </mc:Choice>
          <mc:Fallback>
            <w:pict>
              <v:rect id="矩形 14" o:spid="_x0000_s1026" o:spt="1" style="position:absolute;left:0pt;margin-left:72.9pt;margin-top:360.45pt;height:88.45pt;width:126.65pt;z-index:251708416;mso-width-relative:page;mso-height-relative:page;" fillcolor="#FFFFFF" filled="t" stroked="t" coordsize="21600,21600" o:gfxdata="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dzekXcAAAACwEAAA8AAAAAAAAAAQAgAAAAIgAAAGRycy9kb3ducmV2&#10;LnhtbFBLAQIUABQAAAAIAIdO4kBo8GL7MQIAAIAEAAAOAAAAAAAAAAEAIAAAACsBAABkcnMvZTJv&#10;RG9jLnhtbFBLBQYAAAAABgAGAFkBAADOBQAAAAA=&#10;">
                <v:fill on="t" opacity="26213f" focussize="0,0"/>
                <v:stroke color="#000000" joinstyle="miter"/>
                <v:imagedata o:title=""/>
                <o:lock v:ext="edit" aspectratio="f"/>
                <v:textbox>
                  <w:txbxContent>
                    <w:p w14:paraId="2C358600">
                      <w:pPr>
                        <w:spacing w:line="240" w:lineRule="auto"/>
                        <w:jc w:val="center"/>
                        <w:rPr>
                          <w:rFonts w:hint="eastAsia"/>
                          <w:b/>
                          <w:bCs/>
                          <w:lang w:val="en-US" w:eastAsia="zh-CN"/>
                        </w:rPr>
                      </w:pPr>
                      <w:r>
                        <w:rPr>
                          <w:rFonts w:hint="eastAsia" w:ascii="Times New Roman" w:eastAsia="宋体"/>
                          <w:b/>
                          <w:bCs/>
                          <w:lang w:val="en-US" w:eastAsia="zh-CN"/>
                        </w:rPr>
                        <w:t>图 例</w:t>
                      </w:r>
                    </w:p>
                    <w:p w14:paraId="3124EBEE">
                      <w:pPr>
                        <w:jc w:val="center"/>
                        <w:rPr>
                          <w:rFonts w:hint="eastAsia"/>
                          <w:b/>
                          <w:bCs/>
                          <w:lang w:val="en-US" w:eastAsia="zh-CN"/>
                        </w:rPr>
                      </w:pPr>
                      <w:r>
                        <w:rPr>
                          <w:rFonts w:hint="eastAsia" w:ascii="Times New Roman" w:eastAsia="宋体"/>
                          <w:b/>
                          <w:bCs/>
                          <w:lang w:val="en-US" w:eastAsia="zh-CN"/>
                        </w:rPr>
                        <w:t>：生态保护红线</w:t>
                      </w:r>
                    </w:p>
                    <w:p w14:paraId="2AB08559">
                      <w:pPr>
                        <w:jc w:val="center"/>
                        <w:rPr>
                          <w:rFonts w:hint="default"/>
                          <w:b/>
                          <w:bCs/>
                          <w:lang w:val="en-US" w:eastAsia="zh-CN"/>
                        </w:rPr>
                      </w:pPr>
                      <w:r>
                        <w:rPr>
                          <w:rFonts w:hint="eastAsia" w:ascii="Times New Roman" w:eastAsia="宋体"/>
                          <w:b/>
                          <w:bCs/>
                          <w:lang w:val="en-US" w:eastAsia="zh-CN"/>
                        </w:rPr>
                        <w:t>：永久基本农田</w:t>
                      </w:r>
                    </w:p>
                    <w:p w14:paraId="11E621BE">
                      <w:pPr>
                        <w:jc w:val="center"/>
                        <w:rPr>
                          <w:rFonts w:hint="default"/>
                          <w:b/>
                          <w:bCs/>
                          <w:lang w:val="en-US" w:eastAsia="zh-CN"/>
                        </w:rPr>
                      </w:pPr>
                      <w:r>
                        <w:rPr>
                          <w:rFonts w:hint="eastAsia" w:ascii="Times New Roman" w:eastAsia="宋体"/>
                          <w:b/>
                          <w:bCs/>
                          <w:lang w:val="en-US" w:eastAsia="zh-CN"/>
                        </w:rPr>
                        <w:t>：城镇开发边界</w:t>
                      </w:r>
                    </w:p>
                  </w:txbxContent>
                </v:textbox>
              </v:rect>
            </w:pict>
          </mc:Fallback>
        </mc:AlternateContent>
      </w:r>
      <w:r>
        <w:rPr>
          <w:rFonts w:ascii="Times New Roman" w:hAnsi="Times New Roman" w:eastAsia="宋体" w:cs="Times New Roman"/>
          <w:color w:val="auto"/>
          <w:kern w:val="2"/>
          <w:sz w:val="24"/>
          <w:szCs w:val="22"/>
          <w:highlight w:val="none"/>
          <w:lang w:val="en-US" w:eastAsia="zh-CN" w:bidi="ar-SA"/>
        </w:rPr>
        <w:drawing>
          <wp:anchor distT="0" distB="0" distL="114300" distR="114300" simplePos="0" relativeHeight="251693056" behindDoc="0" locked="0" layoutInCell="1" allowOverlap="1">
            <wp:simplePos x="0" y="0"/>
            <wp:positionH relativeFrom="column">
              <wp:posOffset>915670</wp:posOffset>
            </wp:positionH>
            <wp:positionV relativeFrom="paragraph">
              <wp:posOffset>53975</wp:posOffset>
            </wp:positionV>
            <wp:extent cx="1073150" cy="1005840"/>
            <wp:effectExtent l="0" t="0" r="12700" b="3810"/>
            <wp:wrapNone/>
            <wp:docPr id="37" name="图片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89"/>
                    <pic:cNvPicPr>
                      <a:picLocks noChangeAspect="1"/>
                    </pic:cNvPicPr>
                  </pic:nvPicPr>
                  <pic:blipFill>
                    <a:blip r:embed="rId82"/>
                    <a:stretch>
                      <a:fillRect/>
                    </a:stretch>
                  </pic:blipFill>
                  <pic:spPr>
                    <a:xfrm>
                      <a:off x="0" y="0"/>
                      <a:ext cx="1073150" cy="1005840"/>
                    </a:xfrm>
                    <a:prstGeom prst="rect">
                      <a:avLst/>
                    </a:prstGeom>
                    <a:noFill/>
                    <a:ln>
                      <a:noFill/>
                    </a:ln>
                  </pic:spPr>
                </pic:pic>
              </a:graphicData>
            </a:graphic>
          </wp:anchor>
        </w:drawing>
      </w:r>
      <w:r>
        <w:rPr>
          <w:rFonts w:ascii="Times New Roman" w:hAnsi="Times New Roman" w:eastAsia="宋体" w:cs="Times New Roman"/>
          <w:color w:val="auto"/>
          <w:kern w:val="2"/>
          <w:sz w:val="24"/>
          <w:szCs w:val="22"/>
          <w:highlight w:val="none"/>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4549775</wp:posOffset>
                </wp:positionH>
                <wp:positionV relativeFrom="paragraph">
                  <wp:posOffset>1430655</wp:posOffset>
                </wp:positionV>
                <wp:extent cx="777875" cy="365760"/>
                <wp:effectExtent l="4445" t="4445" r="246380" b="353695"/>
                <wp:wrapNone/>
                <wp:docPr id="15" name="自选图形 1855"/>
                <wp:cNvGraphicFramePr/>
                <a:graphic xmlns:a="http://schemas.openxmlformats.org/drawingml/2006/main">
                  <a:graphicData uri="http://schemas.microsoft.com/office/word/2010/wordprocessingShape">
                    <wps:wsp>
                      <wps:cNvSpPr/>
                      <wps:spPr>
                        <a:xfrm>
                          <a:off x="0" y="0"/>
                          <a:ext cx="777875" cy="365760"/>
                        </a:xfrm>
                        <a:prstGeom prst="wedgeRoundRectCallout">
                          <a:avLst>
                            <a:gd name="adj1" fmla="val 76366"/>
                            <a:gd name="adj2" fmla="val 137847"/>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08B648D4">
                            <w:pPr>
                              <w:rPr>
                                <w:rFonts w:hint="default" w:eastAsia="宋体"/>
                                <w:b/>
                                <w:bCs/>
                                <w:color w:val="auto"/>
                                <w:lang w:val="en-US" w:eastAsia="zh-CN"/>
                              </w:rPr>
                            </w:pPr>
                            <w:r>
                              <w:rPr>
                                <w:rFonts w:hint="eastAsia" w:ascii="Times New Roman" w:eastAsia="宋体"/>
                                <w:b/>
                                <w:bCs/>
                                <w:color w:val="auto"/>
                                <w:lang w:val="en-US" w:eastAsia="zh-CN"/>
                              </w:rPr>
                              <w:t>项目选址</w:t>
                            </w:r>
                          </w:p>
                        </w:txbxContent>
                      </wps:txbx>
                      <wps:bodyPr vert="horz" wrap="square" anchor="t" anchorCtr="0" upright="1"/>
                    </wps:wsp>
                  </a:graphicData>
                </a:graphic>
              </wp:anchor>
            </w:drawing>
          </mc:Choice>
          <mc:Fallback>
            <w:pict>
              <v:shape id="自选图形 1855" o:spid="_x0000_s1026" o:spt="62" type="#_x0000_t62" style="position:absolute;left:0pt;margin-left:358.25pt;margin-top:112.65pt;height:28.8pt;width:61.25pt;z-index:251672576;mso-width-relative:page;mso-height-relative:page;" fillcolor="#FFFFFF" filled="t" stroked="t" coordsize="21600,21600" o:gfxdata="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4UYSz2QAAAAsBAAAPAAAAAAAAAAEAIAAAACIAAABkcnMvZG93bnJldi54bWxQ&#10;SwECFAAUAAAACACHTuJAiVOximgCAADsBAAADgAAAAAAAAABACAAAAAoAQAAZHJzL2Uyb0RvYy54&#10;bWxQSwUGAAAAAAYABgBZAQAAAgYAAAAA&#10;" adj="27295,40575,14400">
                <v:fill on="t" focussize="0,0"/>
                <v:stroke color="#000000" joinstyle="miter"/>
                <v:imagedata o:title=""/>
                <o:lock v:ext="edit" aspectratio="f"/>
                <v:textbox>
                  <w:txbxContent>
                    <w:p w14:paraId="08B648D4">
                      <w:pPr>
                        <w:rPr>
                          <w:rFonts w:hint="default" w:eastAsia="宋体"/>
                          <w:b/>
                          <w:bCs/>
                          <w:color w:val="auto"/>
                          <w:lang w:val="en-US" w:eastAsia="zh-CN"/>
                        </w:rPr>
                      </w:pPr>
                      <w:r>
                        <w:rPr>
                          <w:rFonts w:hint="eastAsia" w:ascii="Times New Roman" w:eastAsia="宋体"/>
                          <w:b/>
                          <w:bCs/>
                          <w:color w:val="auto"/>
                          <w:lang w:val="en-US" w:eastAsia="zh-CN"/>
                        </w:rPr>
                        <w:t>项目选址</w:t>
                      </w:r>
                    </w:p>
                  </w:txbxContent>
                </v:textbox>
              </v:shape>
            </w:pict>
          </mc:Fallback>
        </mc:AlternateContent>
      </w:r>
      <w:r>
        <w:rPr>
          <w:rFonts w:ascii="Times New Roman" w:hAnsi="Times New Roman" w:eastAsia="宋体" w:cs="Times New Roman"/>
          <w:color w:val="auto"/>
          <w:kern w:val="2"/>
          <w:sz w:val="24"/>
          <w:szCs w:val="22"/>
          <w:highlight w:val="none"/>
          <w:lang w:val="en-US" w:eastAsia="zh-CN" w:bidi="ar-SA"/>
        </w:rPr>
        <w:drawing>
          <wp:inline distT="0" distB="0" distL="114300" distR="114300">
            <wp:extent cx="7082790" cy="5649595"/>
            <wp:effectExtent l="0" t="0" r="3810" b="8255"/>
            <wp:docPr id="128" name="图片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586"/>
                    <pic:cNvPicPr>
                      <a:picLocks noChangeAspect="1"/>
                    </pic:cNvPicPr>
                  </pic:nvPicPr>
                  <pic:blipFill>
                    <a:blip r:embed="rId83"/>
                    <a:stretch>
                      <a:fillRect/>
                    </a:stretch>
                  </pic:blipFill>
                  <pic:spPr>
                    <a:xfrm>
                      <a:off x="0" y="0"/>
                      <a:ext cx="7082790" cy="5649595"/>
                    </a:xfrm>
                    <a:prstGeom prst="rect">
                      <a:avLst/>
                    </a:prstGeom>
                    <a:noFill/>
                    <a:ln>
                      <a:noFill/>
                    </a:ln>
                  </pic:spPr>
                </pic:pic>
              </a:graphicData>
            </a:graphic>
          </wp:inline>
        </w:drawing>
      </w:r>
    </w:p>
    <w:p w14:paraId="17B0AEA2">
      <w:pPr>
        <w:spacing w:line="240" w:lineRule="auto"/>
        <w:jc w:val="center"/>
        <w:outlineLvl w:val="0"/>
        <w:rPr>
          <w:rFonts w:hint="default" w:ascii="Times New Roman" w:hAnsi="Times New Roman" w:eastAsia="宋体" w:cs="Times New Roman"/>
          <w:b/>
          <w:bCs/>
          <w:color w:val="auto"/>
          <w:kern w:val="2"/>
          <w:sz w:val="24"/>
          <w:szCs w:val="24"/>
          <w:highlight w:val="none"/>
          <w:lang w:val="en-US" w:eastAsia="zh-CN" w:bidi="ar-SA"/>
        </w:rPr>
      </w:pPr>
      <w:bookmarkStart w:id="112" w:name="_Toc11664"/>
      <w:bookmarkStart w:id="113" w:name="_Toc5326"/>
      <w:bookmarkStart w:id="114" w:name="_Toc22255"/>
      <w:bookmarkStart w:id="115" w:name="_Toc8794"/>
      <w:r>
        <w:rPr>
          <w:rFonts w:hint="eastAsia" w:ascii="Times New Roman" w:hAnsi="Times New Roman" w:eastAsia="宋体" w:cs="Times New Roman"/>
          <w:b/>
          <w:bCs/>
          <w:color w:val="auto"/>
          <w:kern w:val="2"/>
          <w:sz w:val="24"/>
          <w:szCs w:val="24"/>
          <w:highlight w:val="none"/>
          <w:lang w:val="en-US" w:eastAsia="zh-CN" w:bidi="ar-SA"/>
        </w:rPr>
        <w:t>附图13 项目与广东省“三区三线”的位置关系</w:t>
      </w:r>
      <w:r>
        <w:rPr>
          <w:rFonts w:hint="default" w:ascii="Times New Roman" w:hAnsi="Times New Roman" w:eastAsia="宋体" w:cs="Times New Roman"/>
          <w:b/>
          <w:bCs/>
          <w:color w:val="auto"/>
          <w:kern w:val="2"/>
          <w:sz w:val="24"/>
          <w:szCs w:val="24"/>
          <w:highlight w:val="none"/>
          <w:lang w:val="en-US" w:eastAsia="zh-CN" w:bidi="ar-SA"/>
        </w:rPr>
        <w:t>图</w:t>
      </w:r>
      <w:bookmarkEnd w:id="112"/>
      <w:bookmarkEnd w:id="113"/>
      <w:bookmarkEnd w:id="114"/>
      <w:bookmarkEnd w:id="115"/>
    </w:p>
    <w:p w14:paraId="2D775DE0">
      <w:pPr>
        <w:spacing w:line="240" w:lineRule="auto"/>
        <w:jc w:val="center"/>
        <w:outlineLvl w:val="0"/>
        <w:rPr>
          <w:rFonts w:hint="default" w:ascii="Times New Roman" w:hAnsi="Times New Roman" w:eastAsia="宋体" w:cs="Times New Roman"/>
          <w:b/>
          <w:bCs/>
          <w:color w:val="auto"/>
          <w:kern w:val="2"/>
          <w:sz w:val="24"/>
          <w:szCs w:val="24"/>
          <w:highlight w:val="none"/>
          <w:lang w:val="en-US" w:eastAsia="zh-CN" w:bidi="ar-SA"/>
        </w:rPr>
        <w:sectPr>
          <w:pgSz w:w="16783" w:h="11850" w:orient="landscape"/>
          <w:pgMar w:top="1020" w:right="1417" w:bottom="964" w:left="1417" w:header="850" w:footer="964" w:gutter="340"/>
          <w:pgBorders>
            <w:top w:val="none" w:sz="0" w:space="0"/>
            <w:left w:val="none" w:sz="0" w:space="0"/>
            <w:bottom w:val="none" w:sz="0" w:space="0"/>
            <w:right w:val="none" w:sz="0" w:space="0"/>
          </w:pgBorders>
          <w:pgNumType w:fmt="decimal"/>
          <w:cols w:space="720" w:num="1"/>
          <w:docGrid w:type="lines" w:linePitch="412" w:charSpace="0"/>
        </w:sectPr>
      </w:pPr>
    </w:p>
    <w:bookmarkEnd w:id="82"/>
    <w:bookmarkEnd w:id="83"/>
    <w:p w14:paraId="39CCCB1F">
      <w:pPr>
        <w:spacing w:line="240" w:lineRule="auto"/>
        <w:jc w:val="center"/>
        <w:outlineLvl w:val="9"/>
        <w:rPr>
          <w:color w:val="auto"/>
          <w:highlight w:val="none"/>
        </w:rPr>
      </w:pPr>
      <w:bookmarkStart w:id="116" w:name="_Toc25812"/>
      <w:bookmarkStart w:id="117" w:name="_Toc11854"/>
      <w:bookmarkStart w:id="118" w:name="_Toc23573"/>
      <w:bookmarkStart w:id="119" w:name="_Toc8158"/>
      <w:bookmarkStart w:id="120" w:name="_Toc1930"/>
      <w:r>
        <w:rPr>
          <w:color w:val="auto"/>
          <w:highlight w:val="none"/>
        </w:rPr>
        <w:drawing>
          <wp:inline distT="0" distB="0" distL="114300" distR="114300">
            <wp:extent cx="7844790" cy="5240655"/>
            <wp:effectExtent l="0" t="0" r="3810" b="17145"/>
            <wp:docPr id="129"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583"/>
                    <pic:cNvPicPr>
                      <a:picLocks noChangeAspect="1"/>
                    </pic:cNvPicPr>
                  </pic:nvPicPr>
                  <pic:blipFill>
                    <a:blip r:embed="rId84"/>
                    <a:stretch>
                      <a:fillRect/>
                    </a:stretch>
                  </pic:blipFill>
                  <pic:spPr>
                    <a:xfrm>
                      <a:off x="0" y="0"/>
                      <a:ext cx="7844790" cy="5240655"/>
                    </a:xfrm>
                    <a:prstGeom prst="rect">
                      <a:avLst/>
                    </a:prstGeom>
                    <a:noFill/>
                    <a:ln>
                      <a:noFill/>
                    </a:ln>
                  </pic:spPr>
                </pic:pic>
              </a:graphicData>
            </a:graphic>
          </wp:inline>
        </w:drawing>
      </w:r>
    </w:p>
    <w:p w14:paraId="6258EB3B">
      <w:pPr>
        <w:widowControl w:val="0"/>
        <w:autoSpaceDE w:val="0"/>
        <w:autoSpaceDN w:val="0"/>
        <w:adjustRightInd w:val="0"/>
        <w:jc w:val="center"/>
        <w:outlineLvl w:val="9"/>
        <w:rPr>
          <w:rFonts w:ascii="宋体....." w:hAnsi="Times New Roman" w:eastAsia="宋体....." w:cs="宋体....."/>
          <w:color w:val="auto"/>
          <w:kern w:val="2"/>
          <w:sz w:val="24"/>
          <w:szCs w:val="24"/>
          <w:highlight w:val="none"/>
          <w:lang w:val="en-US" w:eastAsia="zh-CN" w:bidi="ar-SA"/>
        </w:rPr>
      </w:pPr>
      <w:bookmarkStart w:id="121" w:name="_Toc22069"/>
      <w:bookmarkStart w:id="122" w:name="_Toc25232"/>
      <w:r>
        <w:rPr>
          <w:rFonts w:hint="eastAsia" w:ascii="Times New Roman" w:hAnsi="Times New Roman" w:eastAsia="宋体....." w:cs="Times New Roman"/>
          <w:b/>
          <w:bCs/>
          <w:color w:val="auto"/>
          <w:kern w:val="2"/>
          <w:sz w:val="24"/>
          <w:szCs w:val="24"/>
          <w:highlight w:val="none"/>
          <w:lang w:val="en-US" w:eastAsia="zh-CN" w:bidi="ar-SA"/>
        </w:rPr>
        <w:t>附图14-1 广东省</w:t>
      </w:r>
      <w:r>
        <w:rPr>
          <w:rFonts w:hint="eastAsia" w:eastAsia="宋体....." w:cs="Times New Roman"/>
          <w:b/>
          <w:bCs/>
          <w:color w:val="auto"/>
          <w:kern w:val="2"/>
          <w:sz w:val="24"/>
          <w:szCs w:val="24"/>
          <w:highlight w:val="none"/>
          <w:lang w:val="en-US" w:eastAsia="zh-CN" w:bidi="ar-SA"/>
        </w:rPr>
        <w:t>生态环境分区</w:t>
      </w:r>
      <w:r>
        <w:rPr>
          <w:rFonts w:hint="eastAsia" w:ascii="Times New Roman" w:hAnsi="Times New Roman" w:eastAsia="宋体....." w:cs="Times New Roman"/>
          <w:b/>
          <w:bCs/>
          <w:color w:val="auto"/>
          <w:kern w:val="2"/>
          <w:sz w:val="24"/>
          <w:szCs w:val="24"/>
          <w:highlight w:val="none"/>
          <w:lang w:val="en-US" w:eastAsia="zh-CN" w:bidi="ar-SA"/>
        </w:rPr>
        <w:t>管控</w:t>
      </w:r>
      <w:r>
        <w:rPr>
          <w:rFonts w:hint="eastAsia" w:eastAsia="宋体....." w:cs="Times New Roman"/>
          <w:b/>
          <w:bCs/>
          <w:color w:val="auto"/>
          <w:kern w:val="2"/>
          <w:sz w:val="24"/>
          <w:szCs w:val="24"/>
          <w:highlight w:val="none"/>
          <w:lang w:val="en-US" w:eastAsia="zh-CN" w:bidi="ar-SA"/>
        </w:rPr>
        <w:t>信息平台</w:t>
      </w:r>
      <w:r>
        <w:rPr>
          <w:rFonts w:hint="eastAsia" w:ascii="Times New Roman" w:hAnsi="Times New Roman" w:eastAsia="宋体....." w:cs="Times New Roman"/>
          <w:b/>
          <w:bCs/>
          <w:color w:val="auto"/>
          <w:kern w:val="2"/>
          <w:sz w:val="24"/>
          <w:szCs w:val="24"/>
          <w:highlight w:val="none"/>
          <w:lang w:val="en-US" w:eastAsia="zh-CN" w:bidi="ar-SA"/>
        </w:rPr>
        <w:t>陆域环境管控单元截图</w:t>
      </w:r>
      <w:bookmarkEnd w:id="121"/>
      <w:bookmarkEnd w:id="122"/>
      <w:bookmarkStart w:id="123" w:name="_Toc21069"/>
      <w:bookmarkStart w:id="124" w:name="_Toc7275"/>
      <w:r>
        <w:rPr>
          <w:rFonts w:hint="eastAsia" w:ascii="Times New Roman" w:hAnsi="Times New Roman" w:eastAsia="宋体....." w:cs="Times New Roman"/>
          <w:b/>
          <w:bCs/>
          <w:color w:val="auto"/>
          <w:kern w:val="2"/>
          <w:sz w:val="24"/>
          <w:szCs w:val="24"/>
          <w:highlight w:val="none"/>
          <w:lang w:val="en-US" w:eastAsia="zh-CN" w:bidi="ar-SA"/>
        </w:rPr>
        <w:br w:type="page"/>
      </w:r>
      <w:bookmarkEnd w:id="123"/>
      <w:bookmarkEnd w:id="124"/>
      <w:r>
        <w:rPr>
          <w:rFonts w:ascii="宋体....." w:hAnsi="Times New Roman" w:eastAsia="宋体....." w:cs="宋体....."/>
          <w:color w:val="auto"/>
          <w:kern w:val="2"/>
          <w:sz w:val="24"/>
          <w:szCs w:val="24"/>
          <w:highlight w:val="none"/>
          <w:lang w:val="en-US" w:eastAsia="zh-CN" w:bidi="ar-SA"/>
        </w:rPr>
        <w:drawing>
          <wp:inline distT="0" distB="0" distL="114300" distR="114300">
            <wp:extent cx="9058910" cy="5504180"/>
            <wp:effectExtent l="0" t="0" r="8890" b="1270"/>
            <wp:docPr id="130"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585"/>
                    <pic:cNvPicPr>
                      <a:picLocks noChangeAspect="1"/>
                    </pic:cNvPicPr>
                  </pic:nvPicPr>
                  <pic:blipFill>
                    <a:blip r:embed="rId85"/>
                    <a:srcRect r="7420"/>
                    <a:stretch>
                      <a:fillRect/>
                    </a:stretch>
                  </pic:blipFill>
                  <pic:spPr>
                    <a:xfrm>
                      <a:off x="0" y="0"/>
                      <a:ext cx="9058910" cy="5504180"/>
                    </a:xfrm>
                    <a:prstGeom prst="rect">
                      <a:avLst/>
                    </a:prstGeom>
                    <a:noFill/>
                    <a:ln>
                      <a:noFill/>
                    </a:ln>
                  </pic:spPr>
                </pic:pic>
              </a:graphicData>
            </a:graphic>
          </wp:inline>
        </w:drawing>
      </w:r>
    </w:p>
    <w:p w14:paraId="659986EB">
      <w:pPr>
        <w:widowControl w:val="0"/>
        <w:autoSpaceDE w:val="0"/>
        <w:autoSpaceDN w:val="0"/>
        <w:adjustRightInd w:val="0"/>
        <w:spacing w:line="240" w:lineRule="auto"/>
        <w:jc w:val="center"/>
        <w:outlineLvl w:val="9"/>
        <w:rPr>
          <w:rFonts w:ascii="宋体....." w:hAnsi="Times New Roman" w:eastAsia="宋体....." w:cs="宋体....."/>
          <w:color w:val="auto"/>
          <w:kern w:val="2"/>
          <w:sz w:val="24"/>
          <w:szCs w:val="24"/>
          <w:highlight w:val="none"/>
          <w:lang w:val="en-US" w:eastAsia="zh-CN" w:bidi="ar-SA"/>
        </w:rPr>
      </w:pPr>
      <w:bookmarkStart w:id="125" w:name="_Toc19902"/>
      <w:bookmarkStart w:id="126" w:name="_Toc5401"/>
      <w:bookmarkStart w:id="127" w:name="_Toc5474"/>
      <w:bookmarkStart w:id="128" w:name="_Toc32560"/>
      <w:r>
        <w:rPr>
          <w:rFonts w:hint="eastAsia" w:ascii="Times New Roman" w:hAnsi="Times New Roman" w:eastAsia="宋体....." w:cs="Times New Roman"/>
          <w:b/>
          <w:bCs/>
          <w:color w:val="auto"/>
          <w:kern w:val="2"/>
          <w:sz w:val="24"/>
          <w:szCs w:val="24"/>
          <w:highlight w:val="none"/>
          <w:lang w:val="en-US" w:eastAsia="zh-CN" w:bidi="ar-SA"/>
        </w:rPr>
        <w:t>附图14-2 广东省</w:t>
      </w:r>
      <w:r>
        <w:rPr>
          <w:rFonts w:hint="eastAsia" w:eastAsia="宋体....." w:cs="Times New Roman"/>
          <w:b/>
          <w:bCs/>
          <w:color w:val="auto"/>
          <w:kern w:val="2"/>
          <w:sz w:val="24"/>
          <w:szCs w:val="24"/>
          <w:highlight w:val="none"/>
          <w:lang w:val="en-US" w:eastAsia="zh-CN" w:bidi="ar-SA"/>
        </w:rPr>
        <w:t>生态环境分区管控信息平台</w:t>
      </w:r>
      <w:r>
        <w:rPr>
          <w:rFonts w:hint="eastAsia" w:ascii="Times New Roman" w:hAnsi="Times New Roman" w:eastAsia="宋体....." w:cs="Times New Roman"/>
          <w:b/>
          <w:bCs/>
          <w:color w:val="auto"/>
          <w:kern w:val="2"/>
          <w:sz w:val="24"/>
          <w:szCs w:val="24"/>
          <w:highlight w:val="none"/>
          <w:lang w:val="en-US" w:eastAsia="zh-CN" w:bidi="ar-SA"/>
        </w:rPr>
        <w:t>生态空间一般管控区截图</w:t>
      </w:r>
      <w:bookmarkEnd w:id="125"/>
      <w:bookmarkEnd w:id="126"/>
      <w:r>
        <w:rPr>
          <w:rFonts w:hint="eastAsia" w:ascii="Times New Roman" w:hAnsi="Times New Roman" w:eastAsia="宋体....." w:cs="Times New Roman"/>
          <w:b/>
          <w:bCs/>
          <w:color w:val="auto"/>
          <w:kern w:val="2"/>
          <w:sz w:val="24"/>
          <w:szCs w:val="24"/>
          <w:highlight w:val="none"/>
          <w:lang w:val="en-US" w:eastAsia="zh-CN" w:bidi="ar-SA"/>
        </w:rPr>
        <w:br w:type="page"/>
      </w:r>
      <w:bookmarkEnd w:id="127"/>
      <w:bookmarkEnd w:id="128"/>
      <w:r>
        <w:rPr>
          <w:rFonts w:ascii="宋体....." w:hAnsi="Times New Roman" w:eastAsia="宋体....." w:cs="宋体....."/>
          <w:color w:val="auto"/>
          <w:kern w:val="2"/>
          <w:sz w:val="24"/>
          <w:szCs w:val="24"/>
          <w:highlight w:val="none"/>
          <w:lang w:val="en-US" w:eastAsia="zh-CN" w:bidi="ar-SA"/>
        </w:rPr>
        <w:drawing>
          <wp:inline distT="0" distB="0" distL="114300" distR="114300">
            <wp:extent cx="8904605" cy="5494655"/>
            <wp:effectExtent l="0" t="0" r="10795" b="10795"/>
            <wp:docPr id="131"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587"/>
                    <pic:cNvPicPr>
                      <a:picLocks noChangeAspect="1"/>
                    </pic:cNvPicPr>
                  </pic:nvPicPr>
                  <pic:blipFill>
                    <a:blip r:embed="rId86"/>
                    <a:stretch>
                      <a:fillRect/>
                    </a:stretch>
                  </pic:blipFill>
                  <pic:spPr>
                    <a:xfrm>
                      <a:off x="0" y="0"/>
                      <a:ext cx="8904605" cy="5494655"/>
                    </a:xfrm>
                    <a:prstGeom prst="rect">
                      <a:avLst/>
                    </a:prstGeom>
                    <a:noFill/>
                    <a:ln>
                      <a:noFill/>
                    </a:ln>
                  </pic:spPr>
                </pic:pic>
              </a:graphicData>
            </a:graphic>
          </wp:inline>
        </w:drawing>
      </w:r>
    </w:p>
    <w:p w14:paraId="226D24BD">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outlineLvl w:val="0"/>
        <w:rPr>
          <w:rFonts w:hint="eastAsia" w:ascii="Times New Roman" w:hAnsi="Times New Roman" w:eastAsia="宋体....." w:cs="Times New Roman"/>
          <w:b/>
          <w:bCs/>
          <w:color w:val="auto"/>
          <w:kern w:val="2"/>
          <w:sz w:val="24"/>
          <w:szCs w:val="24"/>
          <w:highlight w:val="none"/>
          <w:lang w:val="en-US" w:eastAsia="zh-CN" w:bidi="ar-SA"/>
        </w:rPr>
      </w:pPr>
      <w:bookmarkStart w:id="129" w:name="_Toc17410"/>
      <w:bookmarkStart w:id="130" w:name="_Toc805"/>
      <w:bookmarkStart w:id="131" w:name="_Toc22769"/>
      <w:bookmarkStart w:id="132" w:name="_Toc25512"/>
      <w:bookmarkStart w:id="133" w:name="_Toc6221"/>
      <w:r>
        <w:rPr>
          <w:rFonts w:hint="eastAsia" w:ascii="Times New Roman" w:hAnsi="Times New Roman" w:eastAsia="宋体....." w:cs="Times New Roman"/>
          <w:b/>
          <w:bCs/>
          <w:color w:val="auto"/>
          <w:kern w:val="2"/>
          <w:sz w:val="24"/>
          <w:szCs w:val="24"/>
          <w:highlight w:val="none"/>
          <w:lang w:val="en-US" w:eastAsia="zh-CN" w:bidi="ar-SA"/>
        </w:rPr>
        <w:t>附图14-3 广东省</w:t>
      </w:r>
      <w:r>
        <w:rPr>
          <w:rFonts w:hint="eastAsia" w:eastAsia="宋体....." w:cs="Times New Roman"/>
          <w:b/>
          <w:bCs/>
          <w:color w:val="auto"/>
          <w:kern w:val="2"/>
          <w:sz w:val="24"/>
          <w:szCs w:val="24"/>
          <w:highlight w:val="none"/>
          <w:lang w:val="en-US" w:eastAsia="zh-CN" w:bidi="ar-SA"/>
        </w:rPr>
        <w:t>生态环境分区</w:t>
      </w:r>
      <w:r>
        <w:rPr>
          <w:rFonts w:hint="eastAsia" w:ascii="Times New Roman" w:hAnsi="Times New Roman" w:eastAsia="宋体....." w:cs="Times New Roman"/>
          <w:b/>
          <w:bCs/>
          <w:color w:val="auto"/>
          <w:kern w:val="2"/>
          <w:sz w:val="24"/>
          <w:szCs w:val="24"/>
          <w:highlight w:val="none"/>
          <w:lang w:val="en-US" w:eastAsia="zh-CN" w:bidi="ar-SA"/>
        </w:rPr>
        <w:t>管控</w:t>
      </w:r>
      <w:r>
        <w:rPr>
          <w:rFonts w:hint="eastAsia" w:eastAsia="宋体....." w:cs="Times New Roman"/>
          <w:b/>
          <w:bCs/>
          <w:color w:val="auto"/>
          <w:kern w:val="2"/>
          <w:sz w:val="24"/>
          <w:szCs w:val="24"/>
          <w:highlight w:val="none"/>
          <w:lang w:val="en-US" w:eastAsia="zh-CN" w:bidi="ar-SA"/>
        </w:rPr>
        <w:t>信息平台</w:t>
      </w:r>
      <w:r>
        <w:rPr>
          <w:rFonts w:hint="eastAsia" w:ascii="Times New Roman" w:hAnsi="Times New Roman" w:eastAsia="宋体....." w:cs="Times New Roman"/>
          <w:b/>
          <w:bCs/>
          <w:color w:val="auto"/>
          <w:kern w:val="2"/>
          <w:sz w:val="24"/>
          <w:szCs w:val="24"/>
          <w:highlight w:val="none"/>
          <w:lang w:val="en-US" w:eastAsia="zh-CN" w:bidi="ar-SA"/>
        </w:rPr>
        <w:t>水环境管控分区截图</w:t>
      </w:r>
      <w:bookmarkEnd w:id="129"/>
      <w:bookmarkEnd w:id="130"/>
      <w:bookmarkEnd w:id="131"/>
      <w:bookmarkEnd w:id="132"/>
      <w:bookmarkEnd w:id="133"/>
    </w:p>
    <w:p w14:paraId="4EB5C439">
      <w:pPr>
        <w:keepNext w:val="0"/>
        <w:keepLines w:val="0"/>
        <w:pageBreakBefore w:val="0"/>
        <w:widowControl w:val="0"/>
        <w:kinsoku/>
        <w:wordWrap/>
        <w:overflowPunct/>
        <w:topLinePunct w:val="0"/>
        <w:bidi w:val="0"/>
        <w:snapToGrid/>
        <w:spacing w:line="240" w:lineRule="auto"/>
        <w:ind w:left="200" w:hanging="420" w:hangingChars="200"/>
        <w:jc w:val="center"/>
        <w:textAlignment w:val="auto"/>
        <w:outlineLvl w:val="9"/>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drawing>
          <wp:inline distT="0" distB="0" distL="114300" distR="114300">
            <wp:extent cx="8684260" cy="5390515"/>
            <wp:effectExtent l="0" t="0" r="2540" b="635"/>
            <wp:docPr id="132"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589"/>
                    <pic:cNvPicPr>
                      <a:picLocks noChangeAspect="1"/>
                    </pic:cNvPicPr>
                  </pic:nvPicPr>
                  <pic:blipFill>
                    <a:blip r:embed="rId87"/>
                    <a:stretch>
                      <a:fillRect/>
                    </a:stretch>
                  </pic:blipFill>
                  <pic:spPr>
                    <a:xfrm>
                      <a:off x="0" y="0"/>
                      <a:ext cx="8684260" cy="5390515"/>
                    </a:xfrm>
                    <a:prstGeom prst="rect">
                      <a:avLst/>
                    </a:prstGeom>
                    <a:noFill/>
                    <a:ln>
                      <a:noFill/>
                    </a:ln>
                  </pic:spPr>
                </pic:pic>
              </a:graphicData>
            </a:graphic>
          </wp:inline>
        </w:drawing>
      </w:r>
    </w:p>
    <w:p w14:paraId="54C1C762">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outlineLvl w:val="0"/>
        <w:rPr>
          <w:rFonts w:hint="eastAsia" w:ascii="Times New Roman" w:hAnsi="Times New Roman" w:eastAsia="宋体....." w:cs="Times New Roman"/>
          <w:b/>
          <w:bCs/>
          <w:color w:val="auto"/>
          <w:kern w:val="2"/>
          <w:sz w:val="24"/>
          <w:szCs w:val="24"/>
          <w:highlight w:val="none"/>
          <w:lang w:val="en-US" w:eastAsia="zh-CN" w:bidi="ar-SA"/>
        </w:rPr>
      </w:pPr>
      <w:bookmarkStart w:id="134" w:name="_Toc7227"/>
      <w:bookmarkStart w:id="135" w:name="_Toc10425"/>
      <w:bookmarkStart w:id="136" w:name="_Toc29842"/>
      <w:bookmarkStart w:id="137" w:name="_Toc27132"/>
      <w:bookmarkStart w:id="138" w:name="_Toc24743"/>
      <w:r>
        <w:rPr>
          <w:rFonts w:hint="eastAsia" w:ascii="Times New Roman" w:hAnsi="Times New Roman" w:eastAsia="宋体....." w:cs="Times New Roman"/>
          <w:b/>
          <w:bCs/>
          <w:color w:val="auto"/>
          <w:kern w:val="2"/>
          <w:sz w:val="24"/>
          <w:szCs w:val="24"/>
          <w:highlight w:val="none"/>
          <w:lang w:val="en-US" w:eastAsia="zh-CN" w:bidi="ar-SA"/>
        </w:rPr>
        <w:t>附图14-4 广东省</w:t>
      </w:r>
      <w:r>
        <w:rPr>
          <w:rFonts w:hint="eastAsia" w:eastAsia="宋体....." w:cs="Times New Roman"/>
          <w:b/>
          <w:bCs/>
          <w:color w:val="auto"/>
          <w:kern w:val="2"/>
          <w:sz w:val="24"/>
          <w:szCs w:val="24"/>
          <w:highlight w:val="none"/>
          <w:lang w:val="en-US" w:eastAsia="zh-CN" w:bidi="ar-SA"/>
        </w:rPr>
        <w:t>生态环境分区管控信息平台</w:t>
      </w:r>
      <w:r>
        <w:rPr>
          <w:rFonts w:hint="eastAsia" w:ascii="Times New Roman" w:hAnsi="Times New Roman" w:eastAsia="宋体....." w:cs="Times New Roman"/>
          <w:b/>
          <w:bCs/>
          <w:color w:val="auto"/>
          <w:kern w:val="2"/>
          <w:sz w:val="24"/>
          <w:szCs w:val="24"/>
          <w:highlight w:val="none"/>
          <w:lang w:val="en-US" w:eastAsia="zh-CN" w:bidi="ar-SA"/>
        </w:rPr>
        <w:t>大气环境管控分区截图</w:t>
      </w:r>
      <w:bookmarkEnd w:id="134"/>
      <w:bookmarkEnd w:id="135"/>
      <w:bookmarkEnd w:id="136"/>
      <w:bookmarkEnd w:id="137"/>
      <w:bookmarkEnd w:id="138"/>
    </w:p>
    <w:p w14:paraId="4871C1B9">
      <w:pPr>
        <w:keepNext w:val="0"/>
        <w:keepLines w:val="0"/>
        <w:pageBreakBefore w:val="0"/>
        <w:widowControl w:val="0"/>
        <w:kinsoku/>
        <w:wordWrap/>
        <w:overflowPunct/>
        <w:topLinePunct w:val="0"/>
        <w:bidi w:val="0"/>
        <w:snapToGrid/>
        <w:spacing w:line="240" w:lineRule="auto"/>
        <w:ind w:left="200" w:hanging="420" w:hangingChars="200"/>
        <w:jc w:val="center"/>
        <w:textAlignment w:val="auto"/>
        <w:outlineLvl w:val="9"/>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color w:val="auto"/>
          <w:kern w:val="2"/>
          <w:sz w:val="21"/>
          <w:szCs w:val="24"/>
          <w:highlight w:val="none"/>
          <w:lang w:val="en-US" w:eastAsia="zh-CN" w:bidi="ar-SA"/>
        </w:rPr>
        <w:drawing>
          <wp:inline distT="0" distB="0" distL="114300" distR="114300">
            <wp:extent cx="8442325" cy="5243830"/>
            <wp:effectExtent l="0" t="0" r="15875" b="13970"/>
            <wp:docPr id="133"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590"/>
                    <pic:cNvPicPr>
                      <a:picLocks noChangeAspect="1"/>
                    </pic:cNvPicPr>
                  </pic:nvPicPr>
                  <pic:blipFill>
                    <a:blip r:embed="rId88"/>
                    <a:stretch>
                      <a:fillRect/>
                    </a:stretch>
                  </pic:blipFill>
                  <pic:spPr>
                    <a:xfrm>
                      <a:off x="0" y="0"/>
                      <a:ext cx="8442325" cy="5243830"/>
                    </a:xfrm>
                    <a:prstGeom prst="rect">
                      <a:avLst/>
                    </a:prstGeom>
                    <a:noFill/>
                    <a:ln>
                      <a:noFill/>
                    </a:ln>
                  </pic:spPr>
                </pic:pic>
              </a:graphicData>
            </a:graphic>
          </wp:inline>
        </w:drawing>
      </w:r>
    </w:p>
    <w:p w14:paraId="39108E7A">
      <w:pPr>
        <w:keepNext w:val="0"/>
        <w:keepLines w:val="0"/>
        <w:pageBreakBefore w:val="0"/>
        <w:widowControl w:val="0"/>
        <w:kinsoku/>
        <w:wordWrap/>
        <w:overflowPunct/>
        <w:topLinePunct w:val="0"/>
        <w:bidi w:val="0"/>
        <w:snapToGrid/>
        <w:spacing w:line="240" w:lineRule="auto"/>
        <w:jc w:val="center"/>
        <w:textAlignment w:val="auto"/>
        <w:outlineLvl w:val="0"/>
        <w:rPr>
          <w:rFonts w:hint="eastAsia" w:ascii="Times New Roman" w:cs="Times New Roman"/>
          <w:b/>
          <w:bCs/>
          <w:color w:val="auto"/>
          <w:highlight w:val="none"/>
        </w:rPr>
        <w:sectPr>
          <w:footerReference r:id="rId10" w:type="default"/>
          <w:pgSz w:w="16781" w:h="11849" w:orient="landscape"/>
          <w:pgMar w:top="1213" w:right="1417" w:bottom="1213" w:left="1417" w:header="850" w:footer="794" w:gutter="340"/>
          <w:pgBorders>
            <w:top w:val="none" w:sz="0" w:space="0"/>
            <w:left w:val="none" w:sz="0" w:space="0"/>
            <w:bottom w:val="none" w:sz="0" w:space="0"/>
            <w:right w:val="none" w:sz="0" w:space="0"/>
          </w:pgBorders>
          <w:pgNumType w:fmt="decimal"/>
          <w:cols w:space="720" w:num="1"/>
          <w:docGrid w:type="lines" w:linePitch="434" w:charSpace="0"/>
        </w:sectPr>
      </w:pPr>
      <w:bookmarkStart w:id="139" w:name="_Toc29220"/>
      <w:bookmarkStart w:id="140" w:name="_Toc3375"/>
      <w:bookmarkStart w:id="141" w:name="_Toc22223"/>
      <w:bookmarkStart w:id="142" w:name="_Toc26344"/>
      <w:bookmarkStart w:id="143" w:name="_Toc373"/>
      <w:r>
        <w:rPr>
          <w:rFonts w:hint="eastAsia" w:ascii="Times New Roman" w:hAnsi="Times New Roman" w:eastAsia="宋体....." w:cs="Times New Roman"/>
          <w:b/>
          <w:bCs/>
          <w:color w:val="auto"/>
          <w:kern w:val="2"/>
          <w:sz w:val="24"/>
          <w:szCs w:val="24"/>
          <w:highlight w:val="none"/>
          <w:lang w:val="en-US" w:eastAsia="zh-CN" w:bidi="ar-SA"/>
        </w:rPr>
        <w:t>附图14-5 广东省</w:t>
      </w:r>
      <w:r>
        <w:rPr>
          <w:rFonts w:hint="eastAsia" w:eastAsia="宋体....." w:cs="Times New Roman"/>
          <w:b/>
          <w:bCs/>
          <w:color w:val="auto"/>
          <w:kern w:val="2"/>
          <w:sz w:val="24"/>
          <w:szCs w:val="24"/>
          <w:highlight w:val="none"/>
          <w:lang w:val="en-US" w:eastAsia="zh-CN" w:bidi="ar-SA"/>
        </w:rPr>
        <w:t>生态环境分区管控信息平台</w:t>
      </w:r>
      <w:r>
        <w:rPr>
          <w:rFonts w:hint="eastAsia" w:ascii="Times New Roman" w:hAnsi="Times New Roman" w:eastAsia="宋体....." w:cs="Times New Roman"/>
          <w:b/>
          <w:bCs/>
          <w:color w:val="auto"/>
          <w:kern w:val="2"/>
          <w:sz w:val="24"/>
          <w:szCs w:val="24"/>
          <w:highlight w:val="none"/>
          <w:lang w:val="en-US" w:eastAsia="zh-CN" w:bidi="ar-SA"/>
        </w:rPr>
        <w:t>高污染燃料禁燃区截图</w:t>
      </w:r>
      <w:bookmarkEnd w:id="139"/>
      <w:bookmarkEnd w:id="140"/>
      <w:bookmarkEnd w:id="141"/>
      <w:bookmarkEnd w:id="142"/>
      <w:bookmarkEnd w:id="143"/>
    </w:p>
    <w:p w14:paraId="0330DC25">
      <w:pPr>
        <w:keepNext w:val="0"/>
        <w:keepLines w:val="0"/>
        <w:pageBreakBefore w:val="0"/>
        <w:widowControl w:val="0"/>
        <w:kinsoku/>
        <w:wordWrap/>
        <w:overflowPunct/>
        <w:topLinePunct w:val="0"/>
        <w:bidi w:val="0"/>
        <w:snapToGrid/>
        <w:spacing w:line="240" w:lineRule="auto"/>
        <w:ind w:left="200" w:hanging="480" w:hangingChars="200"/>
        <w:jc w:val="center"/>
        <w:textAlignment w:val="auto"/>
        <w:rPr>
          <w:rFonts w:ascii="Times New Roman" w:hAnsi="Times New Roman" w:eastAsia="宋体" w:cs="Times New Roman"/>
          <w:color w:val="auto"/>
          <w:kern w:val="2"/>
          <w:sz w:val="21"/>
          <w:szCs w:val="24"/>
          <w:highlight w:val="none"/>
          <w:lang w:val="en-US" w:eastAsia="zh-CN" w:bidi="ar-SA"/>
        </w:rPr>
      </w:pPr>
      <w:r>
        <w:rPr>
          <w:rFonts w:ascii="Times New Roman" w:hAnsi="Times New Roman" w:eastAsia="宋体" w:cs="Times New Roman"/>
          <w:kern w:val="2"/>
          <w:sz w:val="24"/>
          <w:szCs w:val="24"/>
          <w:lang w:val="en-US" w:eastAsia="zh-CN" w:bidi="ar-SA"/>
        </w:rPr>
        <mc:AlternateContent>
          <mc:Choice Requires="wpg">
            <w:drawing>
              <wp:anchor distT="0" distB="0" distL="114300" distR="114300" simplePos="0" relativeHeight="251778048" behindDoc="0" locked="0" layoutInCell="1" allowOverlap="1">
                <wp:simplePos x="0" y="0"/>
                <wp:positionH relativeFrom="column">
                  <wp:posOffset>3778250</wp:posOffset>
                </wp:positionH>
                <wp:positionV relativeFrom="paragraph">
                  <wp:posOffset>414020</wp:posOffset>
                </wp:positionV>
                <wp:extent cx="1651000" cy="795020"/>
                <wp:effectExtent l="12700" t="12700" r="31750" b="30480"/>
                <wp:wrapNone/>
                <wp:docPr id="134" name="组合 134"/>
                <wp:cNvGraphicFramePr/>
                <a:graphic xmlns:a="http://schemas.openxmlformats.org/drawingml/2006/main">
                  <a:graphicData uri="http://schemas.microsoft.com/office/word/2010/wordprocessingGroup">
                    <wpg:wgp>
                      <wpg:cNvGrpSpPr/>
                      <wpg:grpSpPr>
                        <a:xfrm>
                          <a:off x="0" y="0"/>
                          <a:ext cx="1651000" cy="795020"/>
                          <a:chOff x="9176" y="2798726"/>
                          <a:chExt cx="2600" cy="1252"/>
                        </a:xfrm>
                      </wpg:grpSpPr>
                      <wps:wsp>
                        <wps:cNvPr id="42" name="圆角矩形标注 26"/>
                        <wps:cNvSpPr/>
                        <wps:spPr>
                          <a:xfrm>
                            <a:off x="10142" y="2798726"/>
                            <a:ext cx="1635" cy="706"/>
                          </a:xfrm>
                          <a:prstGeom prst="wedgeRoundRectCallout">
                            <a:avLst>
                              <a:gd name="adj1" fmla="val -94709"/>
                              <a:gd name="adj2" fmla="val 93342"/>
                              <a:gd name="adj3" fmla="val 16667"/>
                            </a:avLst>
                          </a:prstGeom>
                          <a:solidFill>
                            <a:srgbClr val="D9D9D9"/>
                          </a:solidFill>
                          <a:ln w="25400" cap="flat" cmpd="sng">
                            <a:solidFill>
                              <a:srgbClr val="000000"/>
                            </a:solidFill>
                            <a:prstDash val="solid"/>
                            <a:round/>
                            <a:headEnd type="none" w="med" len="med"/>
                            <a:tailEnd type="none" w="med" len="med"/>
                          </a:ln>
                        </wps:spPr>
                        <wps:txbx>
                          <w:txbxContent>
                            <w:p w14:paraId="4F14C76D">
                              <w:pPr>
                                <w:jc w:val="center"/>
                                <w:rPr>
                                  <w:rFonts w:hint="eastAsia" w:eastAsia="宋体"/>
                                  <w:b/>
                                  <w:bCs/>
                                  <w:highlight w:val="none"/>
                                  <w:lang w:eastAsia="zh-CN"/>
                                </w:rPr>
                              </w:pPr>
                              <w:r>
                                <w:rPr>
                                  <w:rFonts w:hint="eastAsia" w:eastAsia="宋体"/>
                                  <w:b/>
                                  <w:bCs/>
                                  <w:highlight w:val="none"/>
                                  <w:lang w:eastAsia="zh-CN"/>
                                </w:rPr>
                                <w:t>项目位置</w:t>
                              </w:r>
                            </w:p>
                          </w:txbxContent>
                        </wps:txbx>
                        <wps:bodyPr vert="horz" wrap="square" anchor="ctr" anchorCtr="0" upright="1"/>
                      </wps:wsp>
                      <wps:wsp>
                        <wps:cNvPr id="293" name="五角星 293"/>
                        <wps:cNvSpPr/>
                        <wps:spPr>
                          <a:xfrm>
                            <a:off x="9176" y="2799546"/>
                            <a:ext cx="500" cy="433"/>
                          </a:xfrm>
                          <a:prstGeom prst="star5">
                            <a:avLst/>
                          </a:prstGeom>
                          <a:solidFill>
                            <a:srgbClr val="FFFF00"/>
                          </a:solidFill>
                          <a:ln w="25400" cap="flat" cmpd="sng" algn="ctr">
                            <a:solidFill>
                              <a:srgbClr val="00000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97.5pt;margin-top:32.6pt;height:62.6pt;width:130pt;z-index:251778048;mso-width-relative:page;mso-height-relative:page;" coordorigin="9176,2798726" coordsize="2600,1252" o:gfxdata="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">
                <o:lock v:ext="edit" aspectratio="f"/>
                <v:shape id="圆角矩形标注 26" o:spid="_x0000_s1026" o:spt="62" type="#_x0000_t62" style="position:absolute;left:10142;top:2798726;height:706;width:1635;v-text-anchor:middle;" fillcolor="#D9D9D9" filled="t" stroked="t" coordsize="21600,21600" o:gfxdata="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LagwvQAA&#10;ANsAAAAPAAAAAAAAAAEAIAAAACIAAABkcnMvZG93bnJldi54bWxQSwECFAAUAAAACACHTuJAMy8F&#10;njsAAAA5AAAAEAAAAAAAAAABACAAAAAMAQAAZHJzL3NoYXBleG1sLnhtbFBLBQYAAAAABgAGAFsB&#10;AAC2AwAAAAA=&#10;" adj="-9657,30962,14400">
                  <v:fill on="t" focussize="0,0"/>
                  <v:stroke weight="2pt" color="#000000" joinstyle="round"/>
                  <v:imagedata o:title=""/>
                  <o:lock v:ext="edit" aspectratio="f"/>
                  <v:textbox>
                    <w:txbxContent>
                      <w:p w14:paraId="4F14C76D">
                        <w:pPr>
                          <w:jc w:val="center"/>
                          <w:rPr>
                            <w:rFonts w:hint="eastAsia" w:eastAsia="宋体"/>
                            <w:b/>
                            <w:bCs/>
                            <w:highlight w:val="none"/>
                            <w:lang w:eastAsia="zh-CN"/>
                          </w:rPr>
                        </w:pPr>
                        <w:r>
                          <w:rPr>
                            <w:rFonts w:hint="eastAsia" w:eastAsia="宋体"/>
                            <w:b/>
                            <w:bCs/>
                            <w:highlight w:val="none"/>
                            <w:lang w:eastAsia="zh-CN"/>
                          </w:rPr>
                          <w:t>项目位置</w:t>
                        </w:r>
                      </w:p>
                    </w:txbxContent>
                  </v:textbox>
                </v:shape>
                <v:shape id="_x0000_s1026" o:spid="_x0000_s1026" style="position:absolute;left:9176;top:2799546;height:433;width:500;v-text-anchor:middle;" fillcolor="#FFFF00" filled="t" stroked="t" coordsize="500,433" o:gfxdata="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qLUj74A&#10;AADcAAAADwAAAAAAAAABACAAAAAiAAAAZHJzL2Rvd25yZXYueG1sUEsBAhQAFAAAAAgAh07iQDMv&#10;BZ47AAAAOQAAABAAAAAAAAAAAQAgAAAADQEAAGRycy9zaGFwZXhtbC54bWxQSwUGAAAAAAYABgBb&#10;AQAAtwMAAAAA&#10;" path="m0,165l190,165,250,0,309,165,499,165,345,267,404,432,250,330,95,432,154,267xe">
                  <v:path o:connectlocs="250,0;0,165;95,432;404,432;499,165" o:connectangles="247,164,82,82,0"/>
                  <v:fill on="t" focussize="0,0"/>
                  <v:stroke weight="2pt" color="#000000 [2404]" joinstyle="round"/>
                  <v:imagedata o:title=""/>
                  <o:lock v:ext="edit" aspectratio="f"/>
                </v:shape>
              </v:group>
            </w:pict>
          </mc:Fallback>
        </mc:AlternateContent>
      </w:r>
      <w:bookmarkStart w:id="144" w:name="_Toc18089"/>
      <w:r>
        <w:rPr>
          <w:rFonts w:ascii="Times New Roman" w:hAnsi="Times New Roman" w:eastAsia="宋体" w:cs="Times New Roman"/>
          <w:kern w:val="2"/>
          <w:position w:val="-263"/>
          <w:sz w:val="21"/>
          <w:szCs w:val="24"/>
          <w:lang w:val="en-US" w:eastAsia="zh-CN" w:bidi="ar-SA"/>
        </w:rPr>
        <w:drawing>
          <wp:inline distT="0" distB="0" distL="0" distR="0">
            <wp:extent cx="5270500" cy="8363585"/>
            <wp:effectExtent l="0" t="0" r="6350" b="18415"/>
            <wp:docPr id="292" name="IM 92"/>
            <wp:cNvGraphicFramePr/>
            <a:graphic xmlns:a="http://schemas.openxmlformats.org/drawingml/2006/main">
              <a:graphicData uri="http://schemas.openxmlformats.org/drawingml/2006/picture">
                <pic:pic xmlns:pic="http://schemas.openxmlformats.org/drawingml/2006/picture">
                  <pic:nvPicPr>
                    <pic:cNvPr id="292" name="IM 92"/>
                    <pic:cNvPicPr/>
                  </pic:nvPicPr>
                  <pic:blipFill>
                    <a:blip r:embed="rId89"/>
                    <a:stretch>
                      <a:fillRect/>
                    </a:stretch>
                  </pic:blipFill>
                  <pic:spPr>
                    <a:xfrm>
                      <a:off x="0" y="0"/>
                      <a:ext cx="5271134" cy="8364219"/>
                    </a:xfrm>
                    <a:prstGeom prst="rect">
                      <a:avLst/>
                    </a:prstGeom>
                  </pic:spPr>
                </pic:pic>
              </a:graphicData>
            </a:graphic>
          </wp:inline>
        </w:drawing>
      </w:r>
    </w:p>
    <w:p w14:paraId="13DB33E3">
      <w:pPr>
        <w:widowControl w:val="0"/>
        <w:autoSpaceDE w:val="0"/>
        <w:autoSpaceDN w:val="0"/>
        <w:adjustRightInd w:val="0"/>
        <w:jc w:val="center"/>
        <w:outlineLvl w:val="0"/>
        <w:rPr>
          <w:rFonts w:hint="default" w:ascii="Times New Roman" w:hAnsi="Times New Roman" w:eastAsia="宋体....." w:cs="Times New Roman"/>
          <w:b/>
          <w:bCs/>
          <w:color w:val="auto"/>
          <w:kern w:val="2"/>
          <w:sz w:val="24"/>
          <w:szCs w:val="24"/>
          <w:highlight w:val="none"/>
          <w:lang w:val="en-US" w:eastAsia="zh-CN" w:bidi="ar-SA"/>
        </w:rPr>
      </w:pPr>
      <w:bookmarkStart w:id="145" w:name="_Toc31205"/>
      <w:bookmarkStart w:id="146" w:name="_Toc20135"/>
      <w:bookmarkStart w:id="147" w:name="_Toc21182"/>
      <w:r>
        <w:rPr>
          <w:rFonts w:hint="default" w:ascii="Times New Roman" w:hAnsi="Times New Roman" w:eastAsia="宋体....." w:cs="Times New Roman"/>
          <w:b/>
          <w:bCs/>
          <w:color w:val="auto"/>
          <w:kern w:val="2"/>
          <w:sz w:val="24"/>
          <w:szCs w:val="24"/>
          <w:highlight w:val="none"/>
          <w:lang w:val="en-US" w:eastAsia="zh-CN" w:bidi="ar-SA"/>
        </w:rPr>
        <w:t>附图1</w:t>
      </w:r>
      <w:r>
        <w:rPr>
          <w:rFonts w:hint="eastAsia" w:ascii="Times New Roman" w:hAnsi="Times New Roman" w:eastAsia="宋体....." w:cs="Times New Roman"/>
          <w:b/>
          <w:bCs/>
          <w:color w:val="auto"/>
          <w:kern w:val="2"/>
          <w:sz w:val="24"/>
          <w:szCs w:val="24"/>
          <w:highlight w:val="none"/>
          <w:lang w:val="en-US" w:eastAsia="zh-CN" w:bidi="ar-SA"/>
        </w:rPr>
        <w:t>5</w:t>
      </w:r>
      <w:r>
        <w:rPr>
          <w:rFonts w:hint="default" w:ascii="Times New Roman" w:hAnsi="Times New Roman" w:eastAsia="宋体....." w:cs="Times New Roman"/>
          <w:b/>
          <w:bCs/>
          <w:color w:val="auto"/>
          <w:kern w:val="2"/>
          <w:sz w:val="24"/>
          <w:szCs w:val="24"/>
          <w:highlight w:val="none"/>
          <w:lang w:val="en-US" w:eastAsia="zh-CN" w:bidi="ar-SA"/>
        </w:rPr>
        <w:t xml:space="preserve"> </w:t>
      </w:r>
      <w:r>
        <w:rPr>
          <w:rFonts w:hint="eastAsia" w:ascii="Times New Roman" w:hAnsi="Times New Roman" w:eastAsia="宋体....." w:cs="Times New Roman"/>
          <w:b/>
          <w:bCs/>
          <w:color w:val="auto"/>
          <w:kern w:val="2"/>
          <w:sz w:val="24"/>
          <w:szCs w:val="24"/>
          <w:highlight w:val="none"/>
          <w:lang w:val="en-US" w:eastAsia="zh-CN" w:bidi="ar-SA"/>
        </w:rPr>
        <w:t>韶关乐</w:t>
      </w:r>
      <w:r>
        <w:rPr>
          <w:rFonts w:hint="eastAsia" w:ascii="Times New Roman" w:hAnsi="Times New Roman" w:eastAsia="宋体" w:cs="Times New Roman"/>
          <w:b/>
          <w:bCs/>
          <w:color w:val="auto"/>
          <w:kern w:val="2"/>
          <w:sz w:val="24"/>
          <w:szCs w:val="24"/>
          <w:highlight w:val="none"/>
          <w:lang w:val="en-US" w:eastAsia="zh-CN" w:bidi="ar-SA"/>
        </w:rPr>
        <w:t>昌经济开发区</w:t>
      </w:r>
      <w:r>
        <w:rPr>
          <w:rFonts w:hint="default" w:ascii="Times New Roman" w:hAnsi="Times New Roman" w:eastAsia="宋体....." w:cs="Times New Roman"/>
          <w:b/>
          <w:bCs/>
          <w:color w:val="auto"/>
          <w:kern w:val="2"/>
          <w:sz w:val="24"/>
          <w:szCs w:val="24"/>
          <w:highlight w:val="none"/>
          <w:lang w:val="en-US" w:eastAsia="zh-CN" w:bidi="ar-SA"/>
        </w:rPr>
        <w:t>管网分布图</w:t>
      </w:r>
      <w:bookmarkEnd w:id="144"/>
      <w:bookmarkEnd w:id="145"/>
      <w:bookmarkEnd w:id="146"/>
      <w:bookmarkEnd w:id="147"/>
    </w:p>
    <w:p w14:paraId="59E71158">
      <w:pPr>
        <w:rPr>
          <w:rFonts w:hint="default" w:ascii="Times New Roman" w:hAnsi="Times New Roman" w:cs="Times New Roman"/>
          <w:b/>
          <w:bCs/>
          <w:color w:val="auto"/>
          <w:highlight w:val="none"/>
          <w:lang w:val="en-US" w:eastAsia="zh-CN"/>
        </w:rPr>
        <w:sectPr>
          <w:pgSz w:w="11849" w:h="16781"/>
          <w:pgMar w:top="1417" w:right="1213" w:bottom="1417" w:left="1213" w:header="850" w:footer="794" w:gutter="340"/>
          <w:pgBorders>
            <w:top w:val="none" w:sz="0" w:space="0"/>
            <w:left w:val="none" w:sz="0" w:space="0"/>
            <w:bottom w:val="none" w:sz="0" w:space="0"/>
            <w:right w:val="none" w:sz="0" w:space="0"/>
          </w:pgBorders>
          <w:pgNumType w:fmt="decimal"/>
          <w:cols w:space="720" w:num="1"/>
          <w:docGrid w:type="lines" w:linePitch="434" w:charSpace="0"/>
        </w:sectPr>
      </w:pPr>
    </w:p>
    <w:p w14:paraId="635EDA0D">
      <w:pPr>
        <w:rPr>
          <w:rFonts w:hint="default"/>
          <w:lang w:val="en-US" w:eastAsia="zh-CN"/>
        </w:rPr>
      </w:pPr>
      <w:r>
        <w:rPr>
          <w:sz w:val="24"/>
        </w:rPr>
        <mc:AlternateContent>
          <mc:Choice Requires="wpg">
            <w:drawing>
              <wp:anchor distT="0" distB="0" distL="114300" distR="114300" simplePos="0" relativeHeight="251779072" behindDoc="0" locked="0" layoutInCell="1" allowOverlap="1">
                <wp:simplePos x="0" y="0"/>
                <wp:positionH relativeFrom="column">
                  <wp:posOffset>2905125</wp:posOffset>
                </wp:positionH>
                <wp:positionV relativeFrom="paragraph">
                  <wp:posOffset>201930</wp:posOffset>
                </wp:positionV>
                <wp:extent cx="1651000" cy="795020"/>
                <wp:effectExtent l="12700" t="12700" r="31750" b="30480"/>
                <wp:wrapNone/>
                <wp:docPr id="135" name="组合 135"/>
                <wp:cNvGraphicFramePr/>
                <a:graphic xmlns:a="http://schemas.openxmlformats.org/drawingml/2006/main">
                  <a:graphicData uri="http://schemas.microsoft.com/office/word/2010/wordprocessingGroup">
                    <wpg:wgp>
                      <wpg:cNvGrpSpPr/>
                      <wpg:grpSpPr>
                        <a:xfrm>
                          <a:off x="0" y="0"/>
                          <a:ext cx="1651000" cy="795020"/>
                          <a:chOff x="9176" y="2798726"/>
                          <a:chExt cx="2600" cy="1252"/>
                        </a:xfrm>
                      </wpg:grpSpPr>
                      <wps:wsp>
                        <wps:cNvPr id="33" name="圆角矩形标注 26"/>
                        <wps:cNvSpPr/>
                        <wps:spPr>
                          <a:xfrm>
                            <a:off x="10142" y="2798726"/>
                            <a:ext cx="1635" cy="706"/>
                          </a:xfrm>
                          <a:prstGeom prst="wedgeRoundRectCallout">
                            <a:avLst>
                              <a:gd name="adj1" fmla="val -94709"/>
                              <a:gd name="adj2" fmla="val 93342"/>
                              <a:gd name="adj3" fmla="val 16667"/>
                            </a:avLst>
                          </a:prstGeom>
                          <a:solidFill>
                            <a:srgbClr val="D9D9D9"/>
                          </a:solidFill>
                          <a:ln w="25400" cap="flat" cmpd="sng">
                            <a:solidFill>
                              <a:srgbClr val="000000"/>
                            </a:solidFill>
                            <a:prstDash val="solid"/>
                            <a:round/>
                            <a:headEnd type="none" w="med" len="med"/>
                            <a:tailEnd type="none" w="med" len="med"/>
                          </a:ln>
                        </wps:spPr>
                        <wps:txbx>
                          <w:txbxContent>
                            <w:p w14:paraId="7468A5AD">
                              <w:pPr>
                                <w:jc w:val="center"/>
                                <w:rPr>
                                  <w:rFonts w:hint="eastAsia" w:eastAsia="宋体"/>
                                  <w:b/>
                                  <w:bCs/>
                                  <w:highlight w:val="none"/>
                                  <w:lang w:eastAsia="zh-CN"/>
                                </w:rPr>
                              </w:pPr>
                              <w:r>
                                <w:rPr>
                                  <w:rFonts w:hint="eastAsia" w:eastAsia="宋体"/>
                                  <w:b/>
                                  <w:bCs/>
                                  <w:highlight w:val="none"/>
                                  <w:lang w:eastAsia="zh-CN"/>
                                </w:rPr>
                                <w:t>项目位置</w:t>
                              </w:r>
                            </w:p>
                          </w:txbxContent>
                        </wps:txbx>
                        <wps:bodyPr vert="horz" wrap="square" anchor="ctr" anchorCtr="0" upright="1"/>
                      </wps:wsp>
                      <wps:wsp>
                        <wps:cNvPr id="64" name="五角星 293"/>
                        <wps:cNvSpPr/>
                        <wps:spPr>
                          <a:xfrm>
                            <a:off x="9176" y="2799546"/>
                            <a:ext cx="500" cy="433"/>
                          </a:xfrm>
                          <a:prstGeom prst="star5">
                            <a:avLst/>
                          </a:prstGeom>
                          <a:solidFill>
                            <a:srgbClr val="FFFF00"/>
                          </a:solidFill>
                          <a:ln w="25400" cap="flat" cmpd="sng" algn="ctr">
                            <a:solidFill>
                              <a:srgbClr val="00000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28.75pt;margin-top:15.9pt;height:62.6pt;width:130pt;z-index:251779072;mso-width-relative:page;mso-height-relative:page;" coordorigin="9176,2798726" coordsize="2600,1252" o:gfxdata="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">
                <o:lock v:ext="edit" aspectratio="f"/>
                <v:shape id="圆角矩形标注 26" o:spid="_x0000_s1026" o:spt="62" type="#_x0000_t62" style="position:absolute;left:10142;top:2798726;height:706;width:1635;v-text-anchor:middle;" fillcolor="#D9D9D9" filled="t" stroked="t" coordsize="21600,21600" o:gfxdata="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Z37WvQAA&#10;ANsAAAAPAAAAAAAAAAEAIAAAACIAAABkcnMvZG93bnJldi54bWxQSwECFAAUAAAACACHTuJAMy8F&#10;njsAAAA5AAAAEAAAAAAAAAABACAAAAAMAQAAZHJzL3NoYXBleG1sLnhtbFBLBQYAAAAABgAGAFsB&#10;AAC2AwAAAAA=&#10;" adj="-9657,30962,14400">
                  <v:fill on="t" focussize="0,0"/>
                  <v:stroke weight="2pt" color="#000000" joinstyle="round"/>
                  <v:imagedata o:title=""/>
                  <o:lock v:ext="edit" aspectratio="f"/>
                  <v:textbox>
                    <w:txbxContent>
                      <w:p w14:paraId="7468A5AD">
                        <w:pPr>
                          <w:jc w:val="center"/>
                          <w:rPr>
                            <w:rFonts w:hint="eastAsia" w:eastAsia="宋体"/>
                            <w:b/>
                            <w:bCs/>
                            <w:highlight w:val="none"/>
                            <w:lang w:eastAsia="zh-CN"/>
                          </w:rPr>
                        </w:pPr>
                        <w:r>
                          <w:rPr>
                            <w:rFonts w:hint="eastAsia" w:eastAsia="宋体"/>
                            <w:b/>
                            <w:bCs/>
                            <w:highlight w:val="none"/>
                            <w:lang w:eastAsia="zh-CN"/>
                          </w:rPr>
                          <w:t>项目位置</w:t>
                        </w:r>
                      </w:p>
                    </w:txbxContent>
                  </v:textbox>
                </v:shape>
                <v:shape id="五角星 293" o:spid="_x0000_s1026" style="position:absolute;left:9176;top:2799546;height:433;width:500;v-text-anchor:middle;" fillcolor="#FFFF00" filled="t" stroked="t" coordsize="500,433" o:gfxdata="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KqRFvQAA&#10;ANsAAAAPAAAAAAAAAAEAIAAAACIAAABkcnMvZG93bnJldi54bWxQSwECFAAUAAAACACHTuJAMy8F&#10;njsAAAA5AAAAEAAAAAAAAAABACAAAAAMAQAAZHJzL3NoYXBleG1sLnhtbFBLBQYAAAAABgAGAFsB&#10;AAC2AwAAAAA=&#10;" path="m0,165l190,165,250,0,309,165,499,165,345,267,404,432,250,330,95,432,154,267xe">
                  <v:path o:connectlocs="250,0;0,165;95,432;404,432;499,165" o:connectangles="247,164,82,82,0"/>
                  <v:fill on="t" focussize="0,0"/>
                  <v:stroke weight="2pt" color="#000000 [2404]" joinstyle="round"/>
                  <v:imagedata o:title=""/>
                  <o:lock v:ext="edit" aspectratio="f"/>
                </v:shape>
              </v:group>
            </w:pict>
          </mc:Fallback>
        </mc:AlternateContent>
      </w:r>
      <w:r>
        <w:rPr>
          <w:position w:val="-222"/>
        </w:rPr>
        <w:drawing>
          <wp:inline distT="0" distB="0" distL="0" distR="0">
            <wp:extent cx="5293360" cy="7061200"/>
            <wp:effectExtent l="0" t="0" r="2540" b="6350"/>
            <wp:docPr id="290" name="IM 82"/>
            <wp:cNvGraphicFramePr/>
            <a:graphic xmlns:a="http://schemas.openxmlformats.org/drawingml/2006/main">
              <a:graphicData uri="http://schemas.openxmlformats.org/drawingml/2006/picture">
                <pic:pic xmlns:pic="http://schemas.openxmlformats.org/drawingml/2006/picture">
                  <pic:nvPicPr>
                    <pic:cNvPr id="290" name="IM 82"/>
                    <pic:cNvPicPr/>
                  </pic:nvPicPr>
                  <pic:blipFill>
                    <a:blip r:embed="rId90"/>
                    <a:stretch>
                      <a:fillRect/>
                    </a:stretch>
                  </pic:blipFill>
                  <pic:spPr>
                    <a:xfrm>
                      <a:off x="0" y="0"/>
                      <a:ext cx="5293817" cy="7061580"/>
                    </a:xfrm>
                    <a:prstGeom prst="rect">
                      <a:avLst/>
                    </a:prstGeom>
                  </pic:spPr>
                </pic:pic>
              </a:graphicData>
            </a:graphic>
          </wp:inline>
        </w:drawing>
      </w:r>
    </w:p>
    <w:p w14:paraId="00A78914">
      <w:pPr>
        <w:widowControl w:val="0"/>
        <w:autoSpaceDE w:val="0"/>
        <w:autoSpaceDN w:val="0"/>
        <w:adjustRightInd w:val="0"/>
        <w:jc w:val="center"/>
        <w:outlineLvl w:val="0"/>
        <w:rPr>
          <w:rFonts w:hint="default" w:ascii="Times New Roman" w:hAnsi="Times New Roman" w:eastAsia="宋体....." w:cs="Times New Roman"/>
          <w:b/>
          <w:bCs/>
          <w:color w:val="auto"/>
          <w:kern w:val="2"/>
          <w:sz w:val="24"/>
          <w:szCs w:val="24"/>
          <w:highlight w:val="none"/>
          <w:lang w:val="en-US" w:eastAsia="zh-CN" w:bidi="ar-SA"/>
        </w:rPr>
      </w:pPr>
      <w:bookmarkStart w:id="148" w:name="_Toc14143"/>
      <w:r>
        <w:rPr>
          <w:rFonts w:hint="eastAsia" w:ascii="Times New Roman" w:hAnsi="Times New Roman" w:eastAsia="宋体....." w:cs="Times New Roman"/>
          <w:b/>
          <w:bCs/>
          <w:color w:val="auto"/>
          <w:kern w:val="2"/>
          <w:sz w:val="24"/>
          <w:szCs w:val="24"/>
          <w:highlight w:val="none"/>
          <w:lang w:val="en-US" w:eastAsia="zh-CN" w:bidi="ar-SA"/>
        </w:rPr>
        <w:t>附图16  项目所在区域</w:t>
      </w:r>
      <w:r>
        <w:rPr>
          <w:rFonts w:hint="default" w:ascii="Times New Roman" w:hAnsi="Times New Roman" w:eastAsia="宋体....." w:cs="Times New Roman"/>
          <w:b/>
          <w:bCs/>
          <w:color w:val="auto"/>
          <w:kern w:val="2"/>
          <w:sz w:val="24"/>
          <w:szCs w:val="24"/>
          <w:highlight w:val="none"/>
          <w:lang w:val="en-US" w:eastAsia="en-US" w:bidi="ar-SA"/>
        </w:rPr>
        <w:t>土地利用规划图</w:t>
      </w:r>
      <w:bookmarkEnd w:id="148"/>
    </w:p>
    <w:p w14:paraId="21D27096">
      <w:pPr>
        <w:widowControl w:val="0"/>
        <w:autoSpaceDE w:val="0"/>
        <w:autoSpaceDN w:val="0"/>
        <w:adjustRightInd w:val="0"/>
        <w:jc w:val="center"/>
        <w:rPr>
          <w:rFonts w:hint="eastAsia" w:ascii="宋体....." w:hAnsi="Times New Roman" w:eastAsia="宋体....." w:cs="宋体....."/>
          <w:color w:val="auto"/>
          <w:kern w:val="2"/>
          <w:sz w:val="24"/>
          <w:szCs w:val="24"/>
          <w:highlight w:val="none"/>
          <w:lang w:val="en-US" w:eastAsia="zh-CN" w:bidi="ar-SA"/>
        </w:rPr>
      </w:pPr>
      <w:r>
        <w:rPr>
          <w:rFonts w:ascii="宋体....." w:hAnsi="Times New Roman" w:eastAsia="宋体....." w:cs="宋体....."/>
          <w:color w:val="000000"/>
          <w:kern w:val="2"/>
          <w:sz w:val="24"/>
          <w:szCs w:val="24"/>
          <w:lang w:val="en-US" w:eastAsia="zh-CN" w:bidi="ar-SA"/>
        </w:rPr>
        <mc:AlternateContent>
          <mc:Choice Requires="wpg">
            <w:drawing>
              <wp:anchor distT="0" distB="0" distL="114300" distR="114300" simplePos="0" relativeHeight="251780096" behindDoc="0" locked="0" layoutInCell="1" allowOverlap="1">
                <wp:simplePos x="0" y="0"/>
                <wp:positionH relativeFrom="column">
                  <wp:posOffset>3804920</wp:posOffset>
                </wp:positionH>
                <wp:positionV relativeFrom="paragraph">
                  <wp:posOffset>2491105</wp:posOffset>
                </wp:positionV>
                <wp:extent cx="1651000" cy="795020"/>
                <wp:effectExtent l="12700" t="12700" r="31750" b="30480"/>
                <wp:wrapNone/>
                <wp:docPr id="136" name="组合 136"/>
                <wp:cNvGraphicFramePr/>
                <a:graphic xmlns:a="http://schemas.openxmlformats.org/drawingml/2006/main">
                  <a:graphicData uri="http://schemas.microsoft.com/office/word/2010/wordprocessingGroup">
                    <wpg:wgp>
                      <wpg:cNvGrpSpPr/>
                      <wpg:grpSpPr>
                        <a:xfrm>
                          <a:off x="0" y="0"/>
                          <a:ext cx="1651000" cy="795020"/>
                          <a:chOff x="9176" y="2798726"/>
                          <a:chExt cx="2600" cy="1252"/>
                        </a:xfrm>
                      </wpg:grpSpPr>
                      <wps:wsp>
                        <wps:cNvPr id="137" name="圆角矩形标注 26"/>
                        <wps:cNvSpPr/>
                        <wps:spPr>
                          <a:xfrm>
                            <a:off x="10142" y="2798726"/>
                            <a:ext cx="1635" cy="706"/>
                          </a:xfrm>
                          <a:prstGeom prst="wedgeRoundRectCallout">
                            <a:avLst>
                              <a:gd name="adj1" fmla="val -94709"/>
                              <a:gd name="adj2" fmla="val 93342"/>
                              <a:gd name="adj3" fmla="val 16667"/>
                            </a:avLst>
                          </a:prstGeom>
                          <a:solidFill>
                            <a:srgbClr val="D9D9D9"/>
                          </a:solidFill>
                          <a:ln w="25400" cap="flat" cmpd="sng">
                            <a:solidFill>
                              <a:srgbClr val="000000"/>
                            </a:solidFill>
                            <a:prstDash val="solid"/>
                            <a:round/>
                            <a:headEnd type="none" w="med" len="med"/>
                            <a:tailEnd type="none" w="med" len="med"/>
                          </a:ln>
                        </wps:spPr>
                        <wps:txbx>
                          <w:txbxContent>
                            <w:p w14:paraId="64B7D97C">
                              <w:pPr>
                                <w:jc w:val="center"/>
                                <w:rPr>
                                  <w:rFonts w:hint="eastAsia" w:eastAsia="宋体"/>
                                  <w:b/>
                                  <w:bCs/>
                                  <w:highlight w:val="none"/>
                                  <w:lang w:eastAsia="zh-CN"/>
                                </w:rPr>
                              </w:pPr>
                              <w:r>
                                <w:rPr>
                                  <w:rFonts w:hint="eastAsia" w:eastAsia="宋体"/>
                                  <w:b/>
                                  <w:bCs/>
                                  <w:highlight w:val="none"/>
                                  <w:lang w:eastAsia="zh-CN"/>
                                </w:rPr>
                                <w:t>项目位置</w:t>
                              </w:r>
                            </w:p>
                          </w:txbxContent>
                        </wps:txbx>
                        <wps:bodyPr vert="horz" wrap="square" anchor="ctr" anchorCtr="0" upright="1"/>
                      </wps:wsp>
                      <wps:wsp>
                        <wps:cNvPr id="138" name="五角星 293"/>
                        <wps:cNvSpPr/>
                        <wps:spPr>
                          <a:xfrm>
                            <a:off x="9176" y="2799546"/>
                            <a:ext cx="500" cy="433"/>
                          </a:xfrm>
                          <a:prstGeom prst="star5">
                            <a:avLst/>
                          </a:prstGeom>
                          <a:solidFill>
                            <a:srgbClr val="FFFF00"/>
                          </a:solidFill>
                          <a:ln w="25400" cap="flat" cmpd="sng" algn="ctr">
                            <a:solidFill>
                              <a:srgbClr val="00000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99.6pt;margin-top:196.15pt;height:62.6pt;width:130pt;z-index:251780096;mso-width-relative:page;mso-height-relative:page;" coordorigin="9176,2798726" coordsize="2600,1252" o:gfxdata="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">
                <o:lock v:ext="edit" aspectratio="f"/>
                <v:shape id="圆角矩形标注 26" o:spid="_x0000_s1026" o:spt="62" type="#_x0000_t62" style="position:absolute;left:10142;top:2798726;height:706;width:1635;v-text-anchor:middle;" fillcolor="#D9D9D9" filled="t" stroked="t" coordsize="21600,21600" o:gfxdata="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Fq3e8AAAA&#10;3AAAAA8AAAAAAAAAAQAgAAAAIgAAAGRycy9kb3ducmV2LnhtbFBLAQIUABQAAAAIAIdO4kAzLwWe&#10;OwAAADkAAAAQAAAAAAAAAAEAIAAAAAsBAABkcnMvc2hhcGV4bWwueG1sUEsFBgAAAAAGAAYAWwEA&#10;ALUDAAAAAA==&#10;" adj="-9657,30962,14400">
                  <v:fill on="t" focussize="0,0"/>
                  <v:stroke weight="2pt" color="#000000" joinstyle="round"/>
                  <v:imagedata o:title=""/>
                  <o:lock v:ext="edit" aspectratio="f"/>
                  <v:textbox>
                    <w:txbxContent>
                      <w:p w14:paraId="64B7D97C">
                        <w:pPr>
                          <w:jc w:val="center"/>
                          <w:rPr>
                            <w:rFonts w:hint="eastAsia" w:eastAsia="宋体"/>
                            <w:b/>
                            <w:bCs/>
                            <w:highlight w:val="none"/>
                            <w:lang w:eastAsia="zh-CN"/>
                          </w:rPr>
                        </w:pPr>
                        <w:r>
                          <w:rPr>
                            <w:rFonts w:hint="eastAsia" w:eastAsia="宋体"/>
                            <w:b/>
                            <w:bCs/>
                            <w:highlight w:val="none"/>
                            <w:lang w:eastAsia="zh-CN"/>
                          </w:rPr>
                          <w:t>项目位置</w:t>
                        </w:r>
                      </w:p>
                    </w:txbxContent>
                  </v:textbox>
                </v:shape>
                <v:shape id="五角星 293" o:spid="_x0000_s1026" style="position:absolute;left:9176;top:2799546;height:433;width:500;v-text-anchor:middle;" fillcolor="#FFFF00" filled="t" stroked="t" coordsize="500,433" o:gfxdata="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RXi4vQAA&#10;ANwAAAAPAAAAAAAAAAEAIAAAACIAAABkcnMvZG93bnJldi54bWxQSwECFAAUAAAACACHTuJAMy8F&#10;njsAAAA5AAAAEAAAAAAAAAABACAAAAAMAQAAZHJzL3NoYXBleG1sLnhtbFBLBQYAAAAABgAGAFsB&#10;AAC2AwAAAAA=&#10;" path="m0,165l190,165,250,0,309,165,499,165,345,267,404,432,250,330,95,432,154,267xe">
                  <v:path o:connectlocs="250,0;0,165;95,432;404,432;499,165" o:connectangles="247,164,82,82,0"/>
                  <v:fill on="t" focussize="0,0"/>
                  <v:stroke weight="2pt" color="#000000 [2404]" joinstyle="round"/>
                  <v:imagedata o:title=""/>
                  <o:lock v:ext="edit" aspectratio="f"/>
                </v:shape>
              </v:group>
            </w:pict>
          </mc:Fallback>
        </mc:AlternateContent>
      </w:r>
      <w:r>
        <w:rPr>
          <w:rFonts w:ascii="宋体....." w:hAnsi="Times New Roman" w:eastAsia="宋体....." w:cs="宋体....."/>
          <w:color w:val="000000"/>
          <w:kern w:val="2"/>
          <w:position w:val="-263"/>
          <w:sz w:val="24"/>
          <w:szCs w:val="24"/>
          <w:lang w:val="en-US" w:eastAsia="zh-CN" w:bidi="ar-SA"/>
        </w:rPr>
        <w:drawing>
          <wp:inline distT="0" distB="0" distL="0" distR="0">
            <wp:extent cx="5266690" cy="8350885"/>
            <wp:effectExtent l="0" t="0" r="10160" b="12065"/>
            <wp:docPr id="84" name="IM 30"/>
            <wp:cNvGraphicFramePr/>
            <a:graphic xmlns:a="http://schemas.openxmlformats.org/drawingml/2006/main">
              <a:graphicData uri="http://schemas.openxmlformats.org/drawingml/2006/picture">
                <pic:pic xmlns:pic="http://schemas.openxmlformats.org/drawingml/2006/picture">
                  <pic:nvPicPr>
                    <pic:cNvPr id="84" name="IM 30"/>
                    <pic:cNvPicPr/>
                  </pic:nvPicPr>
                  <pic:blipFill>
                    <a:blip r:embed="rId91"/>
                    <a:stretch>
                      <a:fillRect/>
                    </a:stretch>
                  </pic:blipFill>
                  <pic:spPr>
                    <a:xfrm>
                      <a:off x="0" y="0"/>
                      <a:ext cx="5266690" cy="8351519"/>
                    </a:xfrm>
                    <a:prstGeom prst="rect">
                      <a:avLst/>
                    </a:prstGeom>
                  </pic:spPr>
                </pic:pic>
              </a:graphicData>
            </a:graphic>
          </wp:inline>
        </w:drawing>
      </w:r>
    </w:p>
    <w:p w14:paraId="613250B9">
      <w:pPr>
        <w:widowControl w:val="0"/>
        <w:autoSpaceDE w:val="0"/>
        <w:autoSpaceDN w:val="0"/>
        <w:adjustRightInd w:val="0"/>
        <w:jc w:val="center"/>
        <w:outlineLvl w:val="0"/>
        <w:rPr>
          <w:rFonts w:hint="eastAsia" w:ascii="Times New Roman" w:hAnsi="Times New Roman" w:eastAsia="宋体....." w:cs="Times New Roman"/>
          <w:b/>
          <w:bCs/>
          <w:color w:val="auto"/>
          <w:kern w:val="2"/>
          <w:sz w:val="24"/>
          <w:szCs w:val="24"/>
          <w:highlight w:val="none"/>
          <w:lang w:val="en-US" w:eastAsia="zh-CN" w:bidi="ar-SA"/>
        </w:rPr>
      </w:pPr>
      <w:bookmarkStart w:id="149" w:name="_Toc16243"/>
      <w:r>
        <w:rPr>
          <w:rFonts w:hint="eastAsia" w:ascii="Times New Roman" w:hAnsi="Times New Roman" w:eastAsia="宋体....." w:cs="Times New Roman"/>
          <w:b/>
          <w:bCs/>
          <w:color w:val="auto"/>
          <w:kern w:val="2"/>
          <w:sz w:val="24"/>
          <w:szCs w:val="24"/>
          <w:highlight w:val="none"/>
          <w:lang w:val="en-US" w:eastAsia="zh-CN" w:bidi="ar-SA"/>
        </w:rPr>
        <w:t>附图17  项目所在区域生态红线分布图</w:t>
      </w:r>
      <w:bookmarkEnd w:id="149"/>
    </w:p>
    <w:p w14:paraId="19E02820">
      <w:pPr>
        <w:widowControl w:val="0"/>
        <w:ind w:left="240"/>
        <w:jc w:val="both"/>
        <w:rPr>
          <w:rFonts w:hint="default" w:ascii="宋体" w:hAnsi="Times New Roman" w:eastAsia="宋体" w:cs="Times New Roman"/>
          <w:b/>
          <w:bCs/>
          <w:kern w:val="2"/>
          <w:sz w:val="32"/>
          <w:szCs w:val="32"/>
          <w:lang w:val="en-US" w:eastAsia="zh-CN" w:bidi="ar-SA"/>
        </w:rPr>
      </w:pPr>
      <w:r>
        <w:rPr>
          <w:rFonts w:ascii="宋体" w:hAnsi="Times New Roman" w:eastAsia="宋体" w:cs="Times New Roman"/>
          <w:b/>
          <w:bCs/>
          <w:kern w:val="2"/>
          <w:sz w:val="24"/>
          <w:szCs w:val="32"/>
          <w:lang w:val="en-US" w:eastAsia="zh-CN" w:bidi="ar-SA"/>
        </w:rPr>
        <mc:AlternateContent>
          <mc:Choice Requires="wpg">
            <w:drawing>
              <wp:anchor distT="0" distB="0" distL="114300" distR="114300" simplePos="0" relativeHeight="251781120" behindDoc="0" locked="0" layoutInCell="1" allowOverlap="1">
                <wp:simplePos x="0" y="0"/>
                <wp:positionH relativeFrom="column">
                  <wp:posOffset>2931795</wp:posOffset>
                </wp:positionH>
                <wp:positionV relativeFrom="paragraph">
                  <wp:posOffset>1379855</wp:posOffset>
                </wp:positionV>
                <wp:extent cx="1651000" cy="795020"/>
                <wp:effectExtent l="12700" t="12700" r="31750" b="30480"/>
                <wp:wrapNone/>
                <wp:docPr id="139" name="组合 139"/>
                <wp:cNvGraphicFramePr/>
                <a:graphic xmlns:a="http://schemas.openxmlformats.org/drawingml/2006/main">
                  <a:graphicData uri="http://schemas.microsoft.com/office/word/2010/wordprocessingGroup">
                    <wpg:wgp>
                      <wpg:cNvGrpSpPr/>
                      <wpg:grpSpPr>
                        <a:xfrm>
                          <a:off x="0" y="0"/>
                          <a:ext cx="1651000" cy="795020"/>
                          <a:chOff x="9176" y="2798726"/>
                          <a:chExt cx="2600" cy="1252"/>
                        </a:xfrm>
                      </wpg:grpSpPr>
                      <wps:wsp>
                        <wps:cNvPr id="167" name="圆角矩形标注 26"/>
                        <wps:cNvSpPr/>
                        <wps:spPr>
                          <a:xfrm>
                            <a:off x="10142" y="2798726"/>
                            <a:ext cx="1635" cy="706"/>
                          </a:xfrm>
                          <a:prstGeom prst="wedgeRoundRectCallout">
                            <a:avLst>
                              <a:gd name="adj1" fmla="val -94709"/>
                              <a:gd name="adj2" fmla="val 93342"/>
                              <a:gd name="adj3" fmla="val 16667"/>
                            </a:avLst>
                          </a:prstGeom>
                          <a:solidFill>
                            <a:srgbClr val="D9D9D9"/>
                          </a:solidFill>
                          <a:ln w="25400" cap="flat" cmpd="sng">
                            <a:solidFill>
                              <a:srgbClr val="000000"/>
                            </a:solidFill>
                            <a:prstDash val="solid"/>
                            <a:round/>
                            <a:headEnd type="none" w="med" len="med"/>
                            <a:tailEnd type="none" w="med" len="med"/>
                          </a:ln>
                        </wps:spPr>
                        <wps:txbx>
                          <w:txbxContent>
                            <w:p w14:paraId="3A578D6E">
                              <w:pPr>
                                <w:jc w:val="center"/>
                                <w:rPr>
                                  <w:rFonts w:hint="eastAsia" w:eastAsia="宋体"/>
                                  <w:b/>
                                  <w:bCs/>
                                  <w:highlight w:val="none"/>
                                  <w:lang w:eastAsia="zh-CN"/>
                                </w:rPr>
                              </w:pPr>
                              <w:r>
                                <w:rPr>
                                  <w:rFonts w:hint="eastAsia" w:eastAsia="宋体"/>
                                  <w:b/>
                                  <w:bCs/>
                                  <w:highlight w:val="none"/>
                                  <w:lang w:eastAsia="zh-CN"/>
                                </w:rPr>
                                <w:t>项目位置</w:t>
                              </w:r>
                            </w:p>
                          </w:txbxContent>
                        </wps:txbx>
                        <wps:bodyPr vert="horz" wrap="square" anchor="ctr" anchorCtr="0" upright="1"/>
                      </wps:wsp>
                      <wps:wsp>
                        <wps:cNvPr id="168" name="五角星 293"/>
                        <wps:cNvSpPr/>
                        <wps:spPr>
                          <a:xfrm>
                            <a:off x="9176" y="2799546"/>
                            <a:ext cx="500" cy="433"/>
                          </a:xfrm>
                          <a:prstGeom prst="star5">
                            <a:avLst/>
                          </a:prstGeom>
                          <a:solidFill>
                            <a:srgbClr val="FFFF00"/>
                          </a:solidFill>
                          <a:ln w="25400" cap="flat" cmpd="sng" algn="ctr">
                            <a:solidFill>
                              <a:srgbClr val="000000"/>
                            </a:solidFill>
                            <a:prstDash val="solid"/>
                          </a:ln>
                          <a:effectLst/>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30.85pt;margin-top:108.65pt;height:62.6pt;width:130pt;z-index:251781120;mso-width-relative:page;mso-height-relative:page;" coordorigin="9176,2798726" coordsize="2600,1252" o:gfxdata="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">
                <o:lock v:ext="edit" aspectratio="f"/>
                <v:shape id="圆角矩形标注 26" o:spid="_x0000_s1026" o:spt="62" type="#_x0000_t62" style="position:absolute;left:10142;top:2798726;height:706;width:1635;v-text-anchor:middle;" fillcolor="#D9D9D9" filled="t" stroked="t" coordsize="21600,21600" o:gfxdata="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2hGq8AAAA&#10;3AAAAA8AAAAAAAAAAQAgAAAAIgAAAGRycy9kb3ducmV2LnhtbFBLAQIUABQAAAAIAIdO4kAzLwWe&#10;OwAAADkAAAAQAAAAAAAAAAEAIAAAAAsBAABkcnMvc2hhcGV4bWwueG1sUEsFBgAAAAAGAAYAWwEA&#10;ALUDAAAAAA==&#10;" adj="-9657,30962,14400">
                  <v:fill on="t" focussize="0,0"/>
                  <v:stroke weight="2pt" color="#000000" joinstyle="round"/>
                  <v:imagedata o:title=""/>
                  <o:lock v:ext="edit" aspectratio="f"/>
                  <v:textbox>
                    <w:txbxContent>
                      <w:p w14:paraId="3A578D6E">
                        <w:pPr>
                          <w:jc w:val="center"/>
                          <w:rPr>
                            <w:rFonts w:hint="eastAsia" w:eastAsia="宋体"/>
                            <w:b/>
                            <w:bCs/>
                            <w:highlight w:val="none"/>
                            <w:lang w:eastAsia="zh-CN"/>
                          </w:rPr>
                        </w:pPr>
                        <w:r>
                          <w:rPr>
                            <w:rFonts w:hint="eastAsia" w:eastAsia="宋体"/>
                            <w:b/>
                            <w:bCs/>
                            <w:highlight w:val="none"/>
                            <w:lang w:eastAsia="zh-CN"/>
                          </w:rPr>
                          <w:t>项目位置</w:t>
                        </w:r>
                      </w:p>
                    </w:txbxContent>
                  </v:textbox>
                </v:shape>
                <v:shape id="五角星 293" o:spid="_x0000_s1026" style="position:absolute;left:9176;top:2799546;height:433;width:500;v-text-anchor:middle;" fillcolor="#FFFF00" filled="t" stroked="t" coordsize="500,433" o:gfxdata="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r2V6W/&#10;AAAA3AAAAA8AAAAAAAAAAQAgAAAAIgAAAGRycy9kb3ducmV2LnhtbFBLAQIUABQAAAAIAIdO4kAz&#10;LwWeOwAAADkAAAAQAAAAAAAAAAEAIAAAAA4BAABkcnMvc2hhcGV4bWwueG1sUEsFBgAAAAAGAAYA&#10;WwEAALgDAAAAAA==&#10;" path="m0,165l190,165,250,0,309,165,499,165,345,267,404,432,250,330,95,432,154,267xe">
                  <v:path o:connectlocs="250,0;0,165;95,432;404,432;499,165" o:connectangles="247,164,82,82,0"/>
                  <v:fill on="t" focussize="0,0"/>
                  <v:stroke weight="2pt" color="#000000 [2404]" joinstyle="round"/>
                  <v:imagedata o:title=""/>
                  <o:lock v:ext="edit" aspectratio="f"/>
                </v:shape>
              </v:group>
            </w:pict>
          </mc:Fallback>
        </mc:AlternateContent>
      </w:r>
      <w:r>
        <w:rPr>
          <w:rFonts w:ascii="宋体" w:hAnsi="Times New Roman" w:eastAsia="宋体" w:cs="Times New Roman"/>
          <w:b/>
          <w:bCs/>
          <w:kern w:val="2"/>
          <w:position w:val="-263"/>
          <w:sz w:val="32"/>
          <w:szCs w:val="32"/>
          <w:lang w:val="en-US" w:eastAsia="zh-CN" w:bidi="ar-SA"/>
        </w:rPr>
        <w:drawing>
          <wp:inline distT="0" distB="0" distL="0" distR="0">
            <wp:extent cx="5266690" cy="8353425"/>
            <wp:effectExtent l="0" t="0" r="10160" b="9525"/>
            <wp:docPr id="140" name="IM 66"/>
            <wp:cNvGraphicFramePr/>
            <a:graphic xmlns:a="http://schemas.openxmlformats.org/drawingml/2006/main">
              <a:graphicData uri="http://schemas.openxmlformats.org/drawingml/2006/picture">
                <pic:pic xmlns:pic="http://schemas.openxmlformats.org/drawingml/2006/picture">
                  <pic:nvPicPr>
                    <pic:cNvPr id="140" name="IM 66"/>
                    <pic:cNvPicPr/>
                  </pic:nvPicPr>
                  <pic:blipFill>
                    <a:blip r:embed="rId92"/>
                    <a:stretch>
                      <a:fillRect/>
                    </a:stretch>
                  </pic:blipFill>
                  <pic:spPr>
                    <a:xfrm>
                      <a:off x="0" y="0"/>
                      <a:ext cx="5266690" cy="8354059"/>
                    </a:xfrm>
                    <a:prstGeom prst="rect">
                      <a:avLst/>
                    </a:prstGeom>
                  </pic:spPr>
                </pic:pic>
              </a:graphicData>
            </a:graphic>
          </wp:inline>
        </w:drawing>
      </w:r>
    </w:p>
    <w:p w14:paraId="34F86B6F">
      <w:pPr>
        <w:widowControl w:val="0"/>
        <w:autoSpaceDE w:val="0"/>
        <w:autoSpaceDN w:val="0"/>
        <w:adjustRightInd w:val="0"/>
        <w:jc w:val="center"/>
        <w:outlineLvl w:val="0"/>
        <w:rPr>
          <w:rFonts w:hint="eastAsia" w:ascii="宋体....." w:hAnsi="Times New Roman" w:eastAsia="宋体....." w:cs="宋体....."/>
          <w:color w:val="auto"/>
          <w:kern w:val="2"/>
          <w:sz w:val="24"/>
          <w:szCs w:val="24"/>
          <w:highlight w:val="none"/>
          <w:lang w:val="en-US" w:eastAsia="zh-CN" w:bidi="ar-SA"/>
        </w:rPr>
      </w:pPr>
      <w:bookmarkStart w:id="150" w:name="_Toc15485"/>
      <w:r>
        <w:rPr>
          <w:rFonts w:hint="eastAsia" w:ascii="Times New Roman" w:hAnsi="Times New Roman" w:eastAsia="宋体....." w:cs="Times New Roman"/>
          <w:b/>
          <w:bCs/>
          <w:color w:val="auto"/>
          <w:kern w:val="2"/>
          <w:sz w:val="24"/>
          <w:szCs w:val="24"/>
          <w:highlight w:val="none"/>
          <w:lang w:val="en-US" w:eastAsia="zh-CN" w:bidi="ar-SA"/>
        </w:rPr>
        <w:t>附图18  项目周边永久农田、耕地、园地分布图</w:t>
      </w:r>
      <w:bookmarkEnd w:id="150"/>
    </w:p>
    <w:p w14:paraId="2C82E3E8">
      <w:pPr>
        <w:rPr>
          <w:rFonts w:hint="eastAsia"/>
        </w:rPr>
        <w:sectPr>
          <w:type w:val="continuous"/>
          <w:pgSz w:w="11849" w:h="16781"/>
          <w:pgMar w:top="1417" w:right="1213" w:bottom="1417" w:left="1213" w:header="850" w:footer="794" w:gutter="340"/>
          <w:pgBorders>
            <w:top w:val="none" w:sz="0" w:space="0"/>
            <w:left w:val="none" w:sz="0" w:space="0"/>
            <w:bottom w:val="none" w:sz="0" w:space="0"/>
            <w:right w:val="none" w:sz="0" w:space="0"/>
          </w:pgBorders>
          <w:pgNumType w:fmt="decimal"/>
          <w:cols w:space="720" w:num="1"/>
          <w:docGrid w:type="lines" w:linePitch="434" w:charSpace="0"/>
        </w:sectPr>
      </w:pPr>
    </w:p>
    <w:p w14:paraId="6938CE15">
      <w:pPr>
        <w:outlineLvl w:val="0"/>
        <w:rPr>
          <w:rFonts w:hint="default" w:ascii="Times New Roman" w:hAnsi="Times New Roman" w:eastAsia="宋体" w:cs="Times New Roman"/>
          <w:b/>
          <w:color w:val="auto"/>
          <w:sz w:val="24"/>
          <w:highlight w:val="none"/>
          <w:lang w:val="en-US" w:eastAsia="zh-CN"/>
        </w:rPr>
      </w:pPr>
      <w:bookmarkStart w:id="151" w:name="_Toc16471"/>
      <w:bookmarkStart w:id="152" w:name="_Toc25783"/>
      <w:bookmarkStart w:id="153" w:name="_Toc16666"/>
      <w:r>
        <w:rPr>
          <w:rFonts w:hint="default" w:ascii="Times New Roman" w:hAnsi="Times New Roman" w:cs="Times New Roman"/>
          <w:b/>
          <w:color w:val="auto"/>
          <w:sz w:val="24"/>
          <w:highlight w:val="none"/>
        </w:rPr>
        <w:t>附件</w:t>
      </w:r>
      <w:r>
        <w:rPr>
          <w:rFonts w:hint="eastAsia" w:ascii="Times New Roman" w:hAnsi="Times New Roman" w:cs="Times New Roman"/>
          <w:b/>
          <w:color w:val="auto"/>
          <w:sz w:val="24"/>
          <w:highlight w:val="none"/>
          <w:lang w:val="en-US" w:eastAsia="zh-CN"/>
        </w:rPr>
        <w:t>1</w:t>
      </w:r>
      <w:r>
        <w:rPr>
          <w:rFonts w:hint="default" w:ascii="Times New Roman" w:hAnsi="Times New Roman" w:cs="Times New Roman"/>
          <w:b/>
          <w:color w:val="auto"/>
          <w:sz w:val="24"/>
          <w:highlight w:val="none"/>
        </w:rPr>
        <w:t>：</w:t>
      </w:r>
      <w:bookmarkEnd w:id="116"/>
      <w:bookmarkEnd w:id="117"/>
      <w:bookmarkEnd w:id="118"/>
      <w:bookmarkEnd w:id="119"/>
      <w:bookmarkEnd w:id="120"/>
      <w:r>
        <w:rPr>
          <w:rFonts w:hint="eastAsia" w:ascii="Times New Roman" w:hAnsi="Times New Roman" w:cs="Times New Roman"/>
          <w:b/>
          <w:color w:val="auto"/>
          <w:sz w:val="24"/>
          <w:highlight w:val="none"/>
          <w:lang w:val="en-US" w:eastAsia="zh-CN"/>
        </w:rPr>
        <w:t>营业执照</w:t>
      </w:r>
      <w:bookmarkEnd w:id="151"/>
      <w:bookmarkEnd w:id="152"/>
      <w:bookmarkEnd w:id="153"/>
    </w:p>
    <w:p w14:paraId="0F2E7FCF">
      <w:pPr>
        <w:jc w:val="center"/>
        <w:rPr>
          <w:rFonts w:hint="default" w:ascii="Times New Roman" w:hAnsi="Times New Roman" w:eastAsia="宋体" w:cs="Times New Roman"/>
          <w:color w:val="auto"/>
          <w:highlight w:val="none"/>
          <w:lang w:eastAsia="zh-CN"/>
        </w:rPr>
      </w:pPr>
    </w:p>
    <w:p w14:paraId="2E73CF68">
      <w:pPr>
        <w:jc w:val="center"/>
        <w:rPr>
          <w:rFonts w:hint="default" w:ascii="Times New Roman" w:hAnsi="Times New Roman" w:eastAsia="宋体" w:cs="Times New Roman"/>
          <w:color w:val="auto"/>
          <w:highlight w:val="none"/>
          <w:lang w:eastAsia="zh-CN"/>
        </w:rPr>
        <w:sectPr>
          <w:pgSz w:w="16781" w:h="11849" w:orient="landscape"/>
          <w:pgMar w:top="1213" w:right="1417" w:bottom="1213" w:left="1417" w:header="850" w:footer="794" w:gutter="340"/>
          <w:pgBorders>
            <w:top w:val="none" w:sz="0" w:space="0"/>
            <w:left w:val="none" w:sz="0" w:space="0"/>
            <w:bottom w:val="none" w:sz="0" w:space="0"/>
            <w:right w:val="none" w:sz="0" w:space="0"/>
          </w:pgBorders>
          <w:pgNumType w:fmt="decimal"/>
          <w:cols w:space="720" w:num="1"/>
          <w:docGrid w:type="lines" w:linePitch="434" w:charSpace="0"/>
        </w:sectPr>
      </w:pPr>
      <w:r>
        <w:rPr>
          <w:color w:val="auto"/>
          <w:highlight w:val="none"/>
        </w:rPr>
        <w:drawing>
          <wp:inline distT="0" distB="0" distL="114300" distR="114300">
            <wp:extent cx="6395720" cy="4484370"/>
            <wp:effectExtent l="0" t="0" r="5080" b="11430"/>
            <wp:docPr id="1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3"/>
                    <pic:cNvPicPr>
                      <a:picLocks noChangeAspect="1"/>
                    </pic:cNvPicPr>
                  </pic:nvPicPr>
                  <pic:blipFill>
                    <a:blip r:embed="rId93"/>
                    <a:stretch>
                      <a:fillRect/>
                    </a:stretch>
                  </pic:blipFill>
                  <pic:spPr>
                    <a:xfrm>
                      <a:off x="0" y="0"/>
                      <a:ext cx="6395720" cy="4484370"/>
                    </a:xfrm>
                    <a:prstGeom prst="rect">
                      <a:avLst/>
                    </a:prstGeom>
                    <a:noFill/>
                    <a:ln>
                      <a:noFill/>
                    </a:ln>
                  </pic:spPr>
                </pic:pic>
              </a:graphicData>
            </a:graphic>
          </wp:inline>
        </w:drawing>
      </w:r>
    </w:p>
    <w:p w14:paraId="2A67743E">
      <w:pPr>
        <w:spacing w:line="360" w:lineRule="auto"/>
        <w:outlineLvl w:val="0"/>
        <w:rPr>
          <w:rFonts w:hint="default" w:ascii="Times New Roman" w:hAnsi="Times New Roman" w:cs="Times New Roman"/>
          <w:b/>
          <w:bCs/>
          <w:color w:val="auto"/>
          <w:sz w:val="24"/>
          <w:highlight w:val="none"/>
        </w:rPr>
      </w:pPr>
      <w:bookmarkStart w:id="154" w:name="_Toc12243"/>
      <w:bookmarkStart w:id="155" w:name="_Toc18951"/>
      <w:bookmarkStart w:id="156" w:name="_Toc31355"/>
      <w:r>
        <w:rPr>
          <w:rFonts w:hint="default" w:ascii="Times New Roman" w:hAnsi="Times New Roman" w:cs="Times New Roman"/>
          <w:b/>
          <w:bCs/>
          <w:color w:val="auto"/>
          <w:sz w:val="24"/>
          <w:highlight w:val="none"/>
        </w:rPr>
        <w:t>附件</w:t>
      </w:r>
      <w:r>
        <w:rPr>
          <w:rFonts w:hint="eastAsia" w:ascii="Times New Roman" w:hAnsi="Times New Roman" w:cs="Times New Roman"/>
          <w:b/>
          <w:bCs/>
          <w:color w:val="auto"/>
          <w:sz w:val="24"/>
          <w:highlight w:val="none"/>
          <w:lang w:val="en-US" w:eastAsia="zh-CN"/>
        </w:rPr>
        <w:t>2</w:t>
      </w:r>
      <w:r>
        <w:rPr>
          <w:rFonts w:hint="default" w:ascii="Times New Roman" w:hAnsi="Times New Roman" w:cs="Times New Roman"/>
          <w:b/>
          <w:bCs/>
          <w:color w:val="auto"/>
          <w:sz w:val="24"/>
          <w:highlight w:val="none"/>
        </w:rPr>
        <w:t>：</w:t>
      </w:r>
      <w:bookmarkEnd w:id="50"/>
      <w:bookmarkEnd w:id="51"/>
      <w:bookmarkEnd w:id="52"/>
      <w:r>
        <w:rPr>
          <w:rFonts w:hint="default" w:ascii="Times New Roman" w:hAnsi="Times New Roman" w:cs="Times New Roman"/>
          <w:b/>
          <w:bCs/>
          <w:color w:val="auto"/>
          <w:sz w:val="24"/>
          <w:highlight w:val="none"/>
        </w:rPr>
        <w:t>法人身份证复印件</w:t>
      </w:r>
      <w:bookmarkEnd w:id="154"/>
      <w:bookmarkEnd w:id="155"/>
      <w:bookmarkEnd w:id="156"/>
    </w:p>
    <w:p w14:paraId="39DA38A9">
      <w:pPr>
        <w:jc w:val="left"/>
        <w:rPr>
          <w:rFonts w:hint="default" w:ascii="仿宋" w:hAnsi="仿宋" w:eastAsia="仿宋"/>
          <w:b/>
          <w:bCs/>
          <w:color w:val="auto"/>
          <w:sz w:val="28"/>
          <w:szCs w:val="28"/>
          <w:highlight w:val="none"/>
          <w:lang w:val="en-US" w:eastAsia="zh-CN"/>
        </w:rPr>
      </w:pPr>
    </w:p>
    <w:p w14:paraId="2C7B9F64">
      <w:pPr>
        <w:jc w:val="left"/>
        <w:rPr>
          <w:rFonts w:hint="default" w:ascii="仿宋" w:hAnsi="仿宋" w:eastAsia="仿宋"/>
          <w:b/>
          <w:bCs/>
          <w:color w:val="auto"/>
          <w:sz w:val="28"/>
          <w:szCs w:val="28"/>
          <w:highlight w:val="none"/>
          <w:lang w:val="en-US" w:eastAsia="zh-CN"/>
        </w:rPr>
      </w:pPr>
    </w:p>
    <w:p w14:paraId="7526E97B">
      <w:pPr>
        <w:jc w:val="center"/>
        <w:rPr>
          <w:rFonts w:hint="default" w:ascii="仿宋" w:hAnsi="仿宋" w:eastAsia="仿宋"/>
          <w:b/>
          <w:bCs/>
          <w:color w:val="auto"/>
          <w:sz w:val="28"/>
          <w:szCs w:val="28"/>
          <w:highlight w:val="none"/>
          <w:lang w:val="en-US" w:eastAsia="zh-CN"/>
        </w:rPr>
      </w:pPr>
    </w:p>
    <w:p w14:paraId="2A6B35B0">
      <w:pPr>
        <w:widowControl w:val="0"/>
        <w:autoSpaceDE w:val="0"/>
        <w:autoSpaceDN w:val="0"/>
        <w:adjustRightInd w:val="0"/>
        <w:jc w:val="both"/>
        <w:rPr>
          <w:rFonts w:hint="default" w:ascii="仿宋" w:hAnsi="仿宋" w:eastAsia="仿宋" w:cs="宋体....."/>
          <w:b/>
          <w:bCs/>
          <w:color w:val="auto"/>
          <w:kern w:val="2"/>
          <w:sz w:val="28"/>
          <w:szCs w:val="28"/>
          <w:highlight w:val="none"/>
          <w:lang w:val="en-US" w:eastAsia="zh-CN" w:bidi="ar-SA"/>
        </w:rPr>
      </w:pPr>
    </w:p>
    <w:p w14:paraId="2156F79F">
      <w:pPr>
        <w:jc w:val="center"/>
        <w:rPr>
          <w:rFonts w:hint="default" w:ascii="Times New Roman" w:hAnsi="Times New Roman" w:eastAsia="宋体" w:cs="Times New Roman"/>
          <w:b/>
          <w:bCs/>
          <w:color w:val="auto"/>
          <w:sz w:val="24"/>
          <w:highlight w:val="none"/>
          <w:lang w:eastAsia="zh-CN"/>
        </w:rPr>
        <w:sectPr>
          <w:footerReference r:id="rId11" w:type="default"/>
          <w:pgSz w:w="11849" w:h="16781"/>
          <w:pgMar w:top="1440" w:right="1701" w:bottom="1440" w:left="1417" w:header="850" w:footer="794" w:gutter="340"/>
          <w:pgBorders>
            <w:top w:val="none" w:sz="0" w:space="0"/>
            <w:left w:val="none" w:sz="0" w:space="0"/>
            <w:bottom w:val="none" w:sz="0" w:space="0"/>
            <w:right w:val="none" w:sz="0" w:space="0"/>
          </w:pgBorders>
          <w:pgNumType w:fmt="decimal"/>
          <w:cols w:space="720" w:num="1"/>
          <w:docGrid w:type="lines" w:linePitch="434" w:charSpace="0"/>
        </w:sectPr>
      </w:pPr>
    </w:p>
    <w:bookmarkEnd w:id="53"/>
    <w:bookmarkEnd w:id="54"/>
    <w:p w14:paraId="24633301">
      <w:pPr>
        <w:outlineLvl w:val="0"/>
        <w:rPr>
          <w:rFonts w:hint="default"/>
          <w:color w:val="auto"/>
          <w:highlight w:val="none"/>
          <w:lang w:val="en-US"/>
        </w:rPr>
      </w:pPr>
      <w:bookmarkStart w:id="157" w:name="_Toc32401"/>
      <w:bookmarkStart w:id="158" w:name="_Toc21317"/>
      <w:bookmarkStart w:id="159" w:name="_Toc25382"/>
      <w:bookmarkStart w:id="160" w:name="_Toc11430"/>
      <w:bookmarkStart w:id="161" w:name="_Toc3366"/>
      <w:bookmarkStart w:id="162" w:name="_Toc22528"/>
      <w:bookmarkStart w:id="163" w:name="_Toc22840"/>
      <w:r>
        <w:rPr>
          <w:rFonts w:hint="eastAsia" w:ascii="Times New Roman" w:hAnsi="Times New Roman" w:eastAsia="宋体" w:cs="Times New Roman"/>
          <w:b/>
          <w:bCs/>
          <w:color w:val="auto"/>
          <w:sz w:val="24"/>
          <w:highlight w:val="none"/>
          <w:lang w:val="en-US" w:eastAsia="zh-CN"/>
        </w:rPr>
        <w:t>附件3：</w:t>
      </w:r>
      <w:bookmarkEnd w:id="157"/>
      <w:bookmarkEnd w:id="158"/>
      <w:bookmarkEnd w:id="159"/>
      <w:bookmarkEnd w:id="160"/>
      <w:r>
        <w:rPr>
          <w:rFonts w:hint="eastAsia" w:ascii="Times New Roman" w:hAnsi="Times New Roman" w:eastAsia="宋体" w:cs="Times New Roman"/>
          <w:b/>
          <w:bCs/>
          <w:color w:val="auto"/>
          <w:sz w:val="24"/>
          <w:highlight w:val="none"/>
          <w:lang w:val="en-US" w:eastAsia="zh-CN"/>
        </w:rPr>
        <w:t>不动产权证</w:t>
      </w:r>
      <w:bookmarkEnd w:id="161"/>
    </w:p>
    <w:p w14:paraId="52C22E7A">
      <w:pPr>
        <w:jc w:val="center"/>
        <w:rPr>
          <w:rFonts w:hint="default"/>
          <w:color w:val="auto"/>
          <w:highlight w:val="none"/>
        </w:rPr>
        <w:sectPr>
          <w:footerReference r:id="rId12" w:type="default"/>
          <w:pgSz w:w="16783" w:h="11850" w:orient="landscape"/>
          <w:pgMar w:top="1247" w:right="1440" w:bottom="1247" w:left="1440" w:header="850" w:footer="794" w:gutter="340"/>
          <w:pgBorders>
            <w:top w:val="none" w:sz="0" w:space="0"/>
            <w:left w:val="none" w:sz="0" w:space="0"/>
            <w:bottom w:val="none" w:sz="0" w:space="0"/>
            <w:right w:val="none" w:sz="0" w:space="0"/>
          </w:pgBorders>
          <w:pgNumType w:fmt="decimal"/>
          <w:cols w:space="720" w:num="1"/>
          <w:docGrid w:type="lines" w:linePitch="434" w:charSpace="0"/>
        </w:sectPr>
      </w:pPr>
      <w:r>
        <w:rPr>
          <w:rFonts w:ascii="宋体....." w:hAnsi="Times New Roman" w:eastAsia="宋体....." w:cs="宋体....."/>
          <w:color w:val="auto"/>
          <w:kern w:val="2"/>
          <w:sz w:val="24"/>
          <w:szCs w:val="24"/>
          <w:highlight w:val="none"/>
          <w:lang w:val="en-US" w:eastAsia="zh-CN" w:bidi="ar-SA"/>
        </w:rPr>
        <w:drawing>
          <wp:inline distT="0" distB="0" distL="114300" distR="114300">
            <wp:extent cx="7229475" cy="5155565"/>
            <wp:effectExtent l="0" t="0" r="9525" b="6985"/>
            <wp:docPr id="1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4"/>
                    <pic:cNvPicPr>
                      <a:picLocks noChangeAspect="1"/>
                    </pic:cNvPicPr>
                  </pic:nvPicPr>
                  <pic:blipFill>
                    <a:blip r:embed="rId94"/>
                    <a:stretch>
                      <a:fillRect/>
                    </a:stretch>
                  </pic:blipFill>
                  <pic:spPr>
                    <a:xfrm>
                      <a:off x="0" y="0"/>
                      <a:ext cx="7229475" cy="5155565"/>
                    </a:xfrm>
                    <a:prstGeom prst="rect">
                      <a:avLst/>
                    </a:prstGeom>
                    <a:noFill/>
                    <a:ln>
                      <a:noFill/>
                    </a:ln>
                  </pic:spPr>
                </pic:pic>
              </a:graphicData>
            </a:graphic>
          </wp:inline>
        </w:drawing>
      </w:r>
    </w:p>
    <w:p w14:paraId="44625A7F">
      <w:pPr>
        <w:spacing w:line="360" w:lineRule="auto"/>
        <w:outlineLvl w:val="0"/>
        <w:rPr>
          <w:rFonts w:hint="default" w:ascii="Times New Roman" w:hAnsi="Times New Roman" w:cs="Times New Roman"/>
          <w:b/>
          <w:bCs/>
          <w:color w:val="auto"/>
          <w:sz w:val="24"/>
          <w:highlight w:val="none"/>
        </w:rPr>
      </w:pPr>
      <w:bookmarkStart w:id="164" w:name="_Toc9277"/>
      <w:bookmarkStart w:id="165" w:name="_Toc900"/>
      <w:bookmarkStart w:id="166" w:name="_Toc5508"/>
      <w:bookmarkStart w:id="167" w:name="_Toc26843"/>
      <w:r>
        <w:rPr>
          <w:rFonts w:hint="default" w:ascii="Times New Roman" w:hAnsi="Times New Roman" w:cs="Times New Roman"/>
          <w:b/>
          <w:bCs/>
          <w:color w:val="auto"/>
          <w:sz w:val="24"/>
          <w:highlight w:val="none"/>
        </w:rPr>
        <w:t>附件</w:t>
      </w:r>
      <w:r>
        <w:rPr>
          <w:rFonts w:hint="eastAsia" w:ascii="Times New Roman" w:hAnsi="Times New Roman" w:cs="Times New Roman"/>
          <w:b/>
          <w:bCs/>
          <w:color w:val="auto"/>
          <w:sz w:val="24"/>
          <w:highlight w:val="none"/>
          <w:lang w:val="en-US" w:eastAsia="zh-CN"/>
        </w:rPr>
        <w:t>4</w:t>
      </w:r>
      <w:r>
        <w:rPr>
          <w:rFonts w:hint="default" w:ascii="Times New Roman" w:hAnsi="Times New Roman" w:cs="Times New Roman"/>
          <w:b/>
          <w:bCs/>
          <w:color w:val="auto"/>
          <w:sz w:val="24"/>
          <w:highlight w:val="none"/>
        </w:rPr>
        <w:t>：</w:t>
      </w:r>
      <w:bookmarkEnd w:id="164"/>
      <w:r>
        <w:rPr>
          <w:rFonts w:hint="default" w:ascii="Times New Roman" w:hAnsi="Times New Roman" w:cs="Times New Roman"/>
          <w:b/>
          <w:bCs/>
          <w:color w:val="auto"/>
          <w:sz w:val="24"/>
          <w:highlight w:val="none"/>
          <w:lang w:val="en-US" w:eastAsia="zh-CN"/>
        </w:rPr>
        <w:t>备案证</w:t>
      </w:r>
      <w:bookmarkEnd w:id="165"/>
      <w:bookmarkEnd w:id="166"/>
      <w:bookmarkEnd w:id="167"/>
    </w:p>
    <w:p w14:paraId="3C563AEA">
      <w:pPr>
        <w:spacing w:line="360" w:lineRule="auto"/>
        <w:outlineLvl w:val="9"/>
        <w:rPr>
          <w:rFonts w:hint="default" w:ascii="Times New Roman" w:hAnsi="Times New Roman" w:cs="Times New Roman"/>
          <w:b/>
          <w:bCs/>
          <w:color w:val="auto"/>
          <w:sz w:val="24"/>
          <w:highlight w:val="none"/>
        </w:rPr>
      </w:pPr>
    </w:p>
    <w:bookmarkEnd w:id="162"/>
    <w:bookmarkEnd w:id="163"/>
    <w:p w14:paraId="48ABD8FC">
      <w:pPr>
        <w:spacing w:line="360" w:lineRule="auto"/>
        <w:jc w:val="center"/>
        <w:outlineLvl w:val="9"/>
        <w:rPr>
          <w:rFonts w:hint="default" w:ascii="Times New Roman" w:hAnsi="Times New Roman" w:cs="Times New Roman"/>
          <w:b/>
          <w:bCs/>
          <w:color w:val="auto"/>
          <w:sz w:val="24"/>
          <w:highlight w:val="none"/>
        </w:rPr>
        <w:sectPr>
          <w:headerReference r:id="rId13" w:type="default"/>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cols w:space="720" w:num="1"/>
          <w:docGrid w:linePitch="312" w:charSpace="0"/>
        </w:sectPr>
      </w:pPr>
      <w:bookmarkStart w:id="168" w:name="_Toc19231"/>
      <w:bookmarkStart w:id="169" w:name="_Toc32491"/>
      <w:r>
        <w:rPr>
          <w:color w:val="auto"/>
          <w:highlight w:val="none"/>
        </w:rPr>
        <w:drawing>
          <wp:inline distT="0" distB="0" distL="114300" distR="114300">
            <wp:extent cx="6838315" cy="4846955"/>
            <wp:effectExtent l="0" t="0" r="635" b="10795"/>
            <wp:docPr id="144"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569"/>
                    <pic:cNvPicPr>
                      <a:picLocks noChangeAspect="1"/>
                    </pic:cNvPicPr>
                  </pic:nvPicPr>
                  <pic:blipFill>
                    <a:blip r:embed="rId95"/>
                    <a:stretch>
                      <a:fillRect/>
                    </a:stretch>
                  </pic:blipFill>
                  <pic:spPr>
                    <a:xfrm>
                      <a:off x="0" y="0"/>
                      <a:ext cx="6838315" cy="4846955"/>
                    </a:xfrm>
                    <a:prstGeom prst="rect">
                      <a:avLst/>
                    </a:prstGeom>
                    <a:noFill/>
                    <a:ln>
                      <a:noFill/>
                    </a:ln>
                  </pic:spPr>
                </pic:pic>
              </a:graphicData>
            </a:graphic>
          </wp:inline>
        </w:drawing>
      </w:r>
      <w:bookmarkEnd w:id="168"/>
    </w:p>
    <w:bookmarkEnd w:id="169"/>
    <w:p w14:paraId="52B40E81">
      <w:pPr>
        <w:spacing w:line="360" w:lineRule="auto"/>
        <w:outlineLvl w:val="0"/>
        <w:rPr>
          <w:b/>
          <w:bCs/>
          <w:color w:val="auto"/>
          <w:sz w:val="24"/>
          <w:szCs w:val="24"/>
          <w:highlight w:val="none"/>
          <w:lang w:bidi="ar"/>
        </w:rPr>
      </w:pPr>
      <w:bookmarkStart w:id="170" w:name="_Toc9757"/>
      <w:bookmarkStart w:id="171" w:name="_Toc20900"/>
      <w:bookmarkStart w:id="172" w:name="_Toc25689"/>
      <w:bookmarkStart w:id="173" w:name="_Toc5358"/>
      <w:bookmarkStart w:id="174" w:name="_Toc12877"/>
      <w:bookmarkStart w:id="175" w:name="_Toc2316"/>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5-1</w:t>
      </w:r>
      <w:r>
        <w:rPr>
          <w:b/>
          <w:bCs/>
          <w:color w:val="auto"/>
          <w:sz w:val="24"/>
          <w:szCs w:val="24"/>
          <w:highlight w:val="none"/>
        </w:rPr>
        <w:t xml:space="preserve"> </w:t>
      </w:r>
      <w:r>
        <w:rPr>
          <w:rFonts w:hint="eastAsia"/>
          <w:b/>
          <w:bCs/>
          <w:color w:val="auto"/>
          <w:sz w:val="24"/>
          <w:szCs w:val="24"/>
          <w:highlight w:val="none"/>
        </w:rPr>
        <w:t>除油剂</w:t>
      </w:r>
      <w:r>
        <w:rPr>
          <w:b/>
          <w:bCs/>
          <w:color w:val="auto"/>
          <w:sz w:val="24"/>
          <w:szCs w:val="24"/>
          <w:highlight w:val="none"/>
          <w:lang w:bidi="ar"/>
        </w:rPr>
        <w:t>MSDS报告</w:t>
      </w:r>
      <w:bookmarkEnd w:id="170"/>
      <w:bookmarkEnd w:id="171"/>
      <w:bookmarkEnd w:id="172"/>
      <w:bookmarkEnd w:id="173"/>
      <w:bookmarkEnd w:id="174"/>
    </w:p>
    <w:p w14:paraId="580F8717">
      <w:pPr>
        <w:rPr>
          <w:rFonts w:hint="eastAsia" w:eastAsia="宋体"/>
          <w:color w:val="auto"/>
          <w:highlight w:val="none"/>
          <w:lang w:eastAsia="zh-CN"/>
        </w:rPr>
        <w:sectPr>
          <w:headerReference r:id="rId14" w:type="default"/>
          <w:footerReference r:id="rId15" w:type="default"/>
          <w:pgSz w:w="11907" w:h="16840"/>
          <w:pgMar w:top="1531" w:right="1701" w:bottom="1531" w:left="1701" w:header="1020" w:footer="1020" w:gutter="0"/>
          <w:pgBorders>
            <w:top w:val="none" w:sz="0" w:space="0"/>
            <w:left w:val="none" w:sz="0" w:space="0"/>
            <w:bottom w:val="none" w:sz="0" w:space="0"/>
            <w:right w:val="none" w:sz="0" w:space="0"/>
          </w:pgBorders>
          <w:pgNumType w:fmt="decimal"/>
          <w:cols w:space="720" w:num="1"/>
        </w:sectPr>
      </w:pPr>
      <w:r>
        <w:rPr>
          <w:rFonts w:hint="eastAsia" w:eastAsia="宋体"/>
          <w:color w:val="auto"/>
          <w:highlight w:val="none"/>
          <w:lang w:eastAsia="zh-CN"/>
        </w:rPr>
        <w:drawing>
          <wp:inline distT="0" distB="0" distL="114300" distR="114300">
            <wp:extent cx="5396865" cy="7759700"/>
            <wp:effectExtent l="0" t="0" r="13335" b="12700"/>
            <wp:docPr id="278" name="图片 278" descr="408cd8d4d22049eb2f0e646502c4c4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descr="408cd8d4d22049eb2f0e646502c4c47e"/>
                    <pic:cNvPicPr>
                      <a:picLocks noChangeAspect="1"/>
                    </pic:cNvPicPr>
                  </pic:nvPicPr>
                  <pic:blipFill>
                    <a:blip r:embed="rId96"/>
                    <a:stretch>
                      <a:fillRect/>
                    </a:stretch>
                  </pic:blipFill>
                  <pic:spPr>
                    <a:xfrm>
                      <a:off x="0" y="0"/>
                      <a:ext cx="5396865" cy="7759700"/>
                    </a:xfrm>
                    <a:prstGeom prst="rect">
                      <a:avLst/>
                    </a:prstGeom>
                  </pic:spPr>
                </pic:pic>
              </a:graphicData>
            </a:graphic>
          </wp:inline>
        </w:drawing>
      </w:r>
    </w:p>
    <w:p w14:paraId="62E93564">
      <w:pPr>
        <w:spacing w:line="360" w:lineRule="auto"/>
        <w:outlineLvl w:val="0"/>
        <w:rPr>
          <w:b/>
          <w:bCs/>
          <w:color w:val="auto"/>
          <w:sz w:val="24"/>
          <w:szCs w:val="24"/>
          <w:highlight w:val="none"/>
          <w:lang w:bidi="ar"/>
        </w:rPr>
      </w:pPr>
      <w:bookmarkStart w:id="176" w:name="_Toc14643"/>
      <w:bookmarkStart w:id="177" w:name="_Toc3417"/>
      <w:bookmarkStart w:id="178" w:name="_Toc9536"/>
      <w:bookmarkStart w:id="179" w:name="_Toc15075"/>
      <w:bookmarkStart w:id="180" w:name="_Toc29044"/>
      <w:bookmarkStart w:id="181" w:name="_Toc10257"/>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5-2</w:t>
      </w:r>
      <w:r>
        <w:rPr>
          <w:b/>
          <w:bCs/>
          <w:color w:val="auto"/>
          <w:sz w:val="24"/>
          <w:szCs w:val="24"/>
          <w:highlight w:val="none"/>
        </w:rPr>
        <w:t xml:space="preserve"> </w:t>
      </w:r>
      <w:r>
        <w:rPr>
          <w:rFonts w:hint="eastAsia"/>
          <w:b/>
          <w:bCs/>
          <w:color w:val="auto"/>
          <w:sz w:val="24"/>
          <w:szCs w:val="24"/>
          <w:highlight w:val="none"/>
        </w:rPr>
        <w:t>无铬钝化剂</w:t>
      </w:r>
      <w:r>
        <w:rPr>
          <w:b/>
          <w:bCs/>
          <w:color w:val="auto"/>
          <w:sz w:val="24"/>
          <w:szCs w:val="24"/>
          <w:highlight w:val="none"/>
          <w:lang w:bidi="ar"/>
        </w:rPr>
        <w:t>MSDS报告</w:t>
      </w:r>
      <w:bookmarkEnd w:id="176"/>
      <w:bookmarkEnd w:id="177"/>
      <w:bookmarkEnd w:id="178"/>
      <w:bookmarkEnd w:id="179"/>
      <w:bookmarkEnd w:id="180"/>
      <w:bookmarkEnd w:id="181"/>
    </w:p>
    <w:p w14:paraId="3FF6FEE7">
      <w:pPr>
        <w:spacing w:line="360" w:lineRule="auto"/>
        <w:outlineLvl w:val="9"/>
        <w:rPr>
          <w:rFonts w:hint="eastAsia" w:eastAsia="宋体"/>
          <w:b/>
          <w:bCs/>
          <w:color w:val="auto"/>
          <w:sz w:val="24"/>
          <w:szCs w:val="24"/>
          <w:highlight w:val="none"/>
          <w:lang w:val="en-US" w:eastAsia="zh-CN" w:bidi="ar"/>
        </w:rPr>
      </w:pPr>
      <w:bookmarkStart w:id="182" w:name="_Toc5947"/>
      <w:bookmarkStart w:id="183" w:name="_Toc18564"/>
      <w:bookmarkStart w:id="184" w:name="_Toc31382"/>
      <w:r>
        <w:rPr>
          <w:color w:val="auto"/>
          <w:highlight w:val="none"/>
        </w:rPr>
        <w:drawing>
          <wp:inline distT="0" distB="0" distL="114300" distR="114300">
            <wp:extent cx="5716905" cy="8124190"/>
            <wp:effectExtent l="0" t="0" r="17145" b="10160"/>
            <wp:docPr id="15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9"/>
                    <pic:cNvPicPr>
                      <a:picLocks noChangeAspect="1"/>
                    </pic:cNvPicPr>
                  </pic:nvPicPr>
                  <pic:blipFill>
                    <a:blip r:embed="rId97"/>
                    <a:stretch>
                      <a:fillRect/>
                    </a:stretch>
                  </pic:blipFill>
                  <pic:spPr>
                    <a:xfrm>
                      <a:off x="0" y="0"/>
                      <a:ext cx="5716905" cy="8124190"/>
                    </a:xfrm>
                    <a:prstGeom prst="rect">
                      <a:avLst/>
                    </a:prstGeom>
                    <a:noFill/>
                    <a:ln>
                      <a:noFill/>
                    </a:ln>
                  </pic:spPr>
                </pic:pic>
              </a:graphicData>
            </a:graphic>
          </wp:inline>
        </w:drawing>
      </w:r>
      <w:r>
        <w:rPr>
          <w:color w:val="auto"/>
          <w:highlight w:val="none"/>
        </w:rPr>
        <w:drawing>
          <wp:inline distT="0" distB="0" distL="114300" distR="114300">
            <wp:extent cx="5524500" cy="7772400"/>
            <wp:effectExtent l="0" t="0" r="0" b="0"/>
            <wp:docPr id="15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20"/>
                    <pic:cNvPicPr>
                      <a:picLocks noChangeAspect="1"/>
                    </pic:cNvPicPr>
                  </pic:nvPicPr>
                  <pic:blipFill>
                    <a:blip r:embed="rId98"/>
                    <a:stretch>
                      <a:fillRect/>
                    </a:stretch>
                  </pic:blipFill>
                  <pic:spPr>
                    <a:xfrm>
                      <a:off x="0" y="0"/>
                      <a:ext cx="5524500" cy="7772400"/>
                    </a:xfrm>
                    <a:prstGeom prst="rect">
                      <a:avLst/>
                    </a:prstGeom>
                    <a:noFill/>
                    <a:ln>
                      <a:noFill/>
                    </a:ln>
                  </pic:spPr>
                </pic:pic>
              </a:graphicData>
            </a:graphic>
          </wp:inline>
        </w:drawing>
      </w:r>
      <w:r>
        <w:rPr>
          <w:color w:val="auto"/>
          <w:highlight w:val="none"/>
        </w:rPr>
        <w:drawing>
          <wp:inline distT="0" distB="0" distL="114300" distR="114300">
            <wp:extent cx="5467350" cy="7762875"/>
            <wp:effectExtent l="0" t="0" r="0" b="9525"/>
            <wp:docPr id="15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21"/>
                    <pic:cNvPicPr>
                      <a:picLocks noChangeAspect="1"/>
                    </pic:cNvPicPr>
                  </pic:nvPicPr>
                  <pic:blipFill>
                    <a:blip r:embed="rId99"/>
                    <a:stretch>
                      <a:fillRect/>
                    </a:stretch>
                  </pic:blipFill>
                  <pic:spPr>
                    <a:xfrm>
                      <a:off x="0" y="0"/>
                      <a:ext cx="5467350" cy="7762875"/>
                    </a:xfrm>
                    <a:prstGeom prst="rect">
                      <a:avLst/>
                    </a:prstGeom>
                    <a:noFill/>
                    <a:ln>
                      <a:noFill/>
                    </a:ln>
                  </pic:spPr>
                </pic:pic>
              </a:graphicData>
            </a:graphic>
          </wp:inline>
        </w:drawing>
      </w:r>
      <w:r>
        <w:rPr>
          <w:color w:val="auto"/>
          <w:highlight w:val="none"/>
        </w:rPr>
        <w:drawing>
          <wp:inline distT="0" distB="0" distL="114300" distR="114300">
            <wp:extent cx="5057775" cy="7143750"/>
            <wp:effectExtent l="0" t="0" r="9525" b="0"/>
            <wp:docPr id="15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22"/>
                    <pic:cNvPicPr>
                      <a:picLocks noChangeAspect="1"/>
                    </pic:cNvPicPr>
                  </pic:nvPicPr>
                  <pic:blipFill>
                    <a:blip r:embed="rId100"/>
                    <a:stretch>
                      <a:fillRect/>
                    </a:stretch>
                  </pic:blipFill>
                  <pic:spPr>
                    <a:xfrm>
                      <a:off x="0" y="0"/>
                      <a:ext cx="5057775" cy="7143750"/>
                    </a:xfrm>
                    <a:prstGeom prst="rect">
                      <a:avLst/>
                    </a:prstGeom>
                    <a:noFill/>
                    <a:ln>
                      <a:noFill/>
                    </a:ln>
                  </pic:spPr>
                </pic:pic>
              </a:graphicData>
            </a:graphic>
          </wp:inline>
        </w:drawing>
      </w:r>
      <w:r>
        <w:rPr>
          <w:color w:val="auto"/>
          <w:highlight w:val="none"/>
        </w:rPr>
        <w:drawing>
          <wp:inline distT="0" distB="0" distL="114300" distR="114300">
            <wp:extent cx="5076825" cy="7124700"/>
            <wp:effectExtent l="0" t="0" r="9525" b="0"/>
            <wp:docPr id="15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3"/>
                    <pic:cNvPicPr>
                      <a:picLocks noChangeAspect="1"/>
                    </pic:cNvPicPr>
                  </pic:nvPicPr>
                  <pic:blipFill>
                    <a:blip r:embed="rId101"/>
                    <a:stretch>
                      <a:fillRect/>
                    </a:stretch>
                  </pic:blipFill>
                  <pic:spPr>
                    <a:xfrm>
                      <a:off x="0" y="0"/>
                      <a:ext cx="5076825" cy="7124700"/>
                    </a:xfrm>
                    <a:prstGeom prst="rect">
                      <a:avLst/>
                    </a:prstGeom>
                    <a:noFill/>
                    <a:ln>
                      <a:noFill/>
                    </a:ln>
                  </pic:spPr>
                </pic:pic>
              </a:graphicData>
            </a:graphic>
          </wp:inline>
        </w:drawing>
      </w:r>
      <w:r>
        <w:rPr>
          <w:color w:val="auto"/>
          <w:highlight w:val="none"/>
        </w:rPr>
        <w:drawing>
          <wp:inline distT="0" distB="0" distL="114300" distR="114300">
            <wp:extent cx="5669280" cy="8009255"/>
            <wp:effectExtent l="0" t="0" r="7620" b="10795"/>
            <wp:docPr id="15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24"/>
                    <pic:cNvPicPr>
                      <a:picLocks noChangeAspect="1"/>
                    </pic:cNvPicPr>
                  </pic:nvPicPr>
                  <pic:blipFill>
                    <a:blip r:embed="rId102"/>
                    <a:stretch>
                      <a:fillRect/>
                    </a:stretch>
                  </pic:blipFill>
                  <pic:spPr>
                    <a:xfrm>
                      <a:off x="0" y="0"/>
                      <a:ext cx="5669280" cy="8009255"/>
                    </a:xfrm>
                    <a:prstGeom prst="rect">
                      <a:avLst/>
                    </a:prstGeom>
                    <a:noFill/>
                    <a:ln>
                      <a:noFill/>
                    </a:ln>
                  </pic:spPr>
                </pic:pic>
              </a:graphicData>
            </a:graphic>
          </wp:inline>
        </w:drawing>
      </w:r>
      <w:r>
        <w:rPr>
          <w:color w:val="auto"/>
          <w:highlight w:val="none"/>
        </w:rPr>
        <w:drawing>
          <wp:inline distT="0" distB="0" distL="114300" distR="114300">
            <wp:extent cx="5404485" cy="7614920"/>
            <wp:effectExtent l="0" t="0" r="5715" b="5080"/>
            <wp:docPr id="15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25"/>
                    <pic:cNvPicPr>
                      <a:picLocks noChangeAspect="1"/>
                    </pic:cNvPicPr>
                  </pic:nvPicPr>
                  <pic:blipFill>
                    <a:blip r:embed="rId103"/>
                    <a:stretch>
                      <a:fillRect/>
                    </a:stretch>
                  </pic:blipFill>
                  <pic:spPr>
                    <a:xfrm>
                      <a:off x="0" y="0"/>
                      <a:ext cx="5404485" cy="7614920"/>
                    </a:xfrm>
                    <a:prstGeom prst="rect">
                      <a:avLst/>
                    </a:prstGeom>
                    <a:noFill/>
                    <a:ln>
                      <a:noFill/>
                    </a:ln>
                  </pic:spPr>
                </pic:pic>
              </a:graphicData>
            </a:graphic>
          </wp:inline>
        </w:drawing>
      </w:r>
      <w:bookmarkEnd w:id="182"/>
      <w:bookmarkEnd w:id="183"/>
      <w:bookmarkEnd w:id="184"/>
    </w:p>
    <w:p w14:paraId="71C09851">
      <w:pPr>
        <w:jc w:val="left"/>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5400040" cy="7636510"/>
            <wp:effectExtent l="0" t="0" r="10160" b="2540"/>
            <wp:docPr id="207" name="图片 12" descr="组合 3_页面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12" descr="组合 3_页面_24"/>
                    <pic:cNvPicPr>
                      <a:picLocks noChangeAspect="1"/>
                    </pic:cNvPicPr>
                  </pic:nvPicPr>
                  <pic:blipFill>
                    <a:blip r:embed="rId104"/>
                    <a:stretch>
                      <a:fillRect/>
                    </a:stretch>
                  </pic:blipFill>
                  <pic:spPr>
                    <a:xfrm>
                      <a:off x="0" y="0"/>
                      <a:ext cx="5400040" cy="763651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8135" cy="7626350"/>
            <wp:effectExtent l="0" t="0" r="12065" b="12700"/>
            <wp:docPr id="219" name="图片 13" descr="组合 3_页面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3" descr="组合 3_页面_25"/>
                    <pic:cNvPicPr>
                      <a:picLocks noChangeAspect="1"/>
                    </pic:cNvPicPr>
                  </pic:nvPicPr>
                  <pic:blipFill>
                    <a:blip r:embed="rId105"/>
                    <a:stretch>
                      <a:fillRect/>
                    </a:stretch>
                  </pic:blipFill>
                  <pic:spPr>
                    <a:xfrm>
                      <a:off x="0" y="0"/>
                      <a:ext cx="5398135" cy="762635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8135" cy="7626350"/>
            <wp:effectExtent l="0" t="0" r="12065" b="12700"/>
            <wp:docPr id="211" name="图片 14" descr="组合 3_页面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14" descr="组合 3_页面_26"/>
                    <pic:cNvPicPr>
                      <a:picLocks noChangeAspect="1"/>
                    </pic:cNvPicPr>
                  </pic:nvPicPr>
                  <pic:blipFill>
                    <a:blip r:embed="rId106"/>
                    <a:stretch>
                      <a:fillRect/>
                    </a:stretch>
                  </pic:blipFill>
                  <pic:spPr>
                    <a:xfrm>
                      <a:off x="0" y="0"/>
                      <a:ext cx="5398135" cy="762635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8135" cy="7626350"/>
            <wp:effectExtent l="0" t="0" r="12065" b="12700"/>
            <wp:docPr id="225" name="图片 15" descr="组合 3_页面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5" descr="组合 3_页面_27"/>
                    <pic:cNvPicPr>
                      <a:picLocks noChangeAspect="1"/>
                    </pic:cNvPicPr>
                  </pic:nvPicPr>
                  <pic:blipFill>
                    <a:blip r:embed="rId107"/>
                    <a:stretch>
                      <a:fillRect/>
                    </a:stretch>
                  </pic:blipFill>
                  <pic:spPr>
                    <a:xfrm>
                      <a:off x="0" y="0"/>
                      <a:ext cx="5398135" cy="762635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5595" cy="7626350"/>
            <wp:effectExtent l="0" t="0" r="14605" b="12700"/>
            <wp:docPr id="230" name="图片 16" descr="组合 3_页面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6" descr="组合 3_页面_28"/>
                    <pic:cNvPicPr>
                      <a:picLocks noChangeAspect="1"/>
                    </pic:cNvPicPr>
                  </pic:nvPicPr>
                  <pic:blipFill>
                    <a:blip r:embed="rId108"/>
                    <a:stretch>
                      <a:fillRect/>
                    </a:stretch>
                  </pic:blipFill>
                  <pic:spPr>
                    <a:xfrm>
                      <a:off x="0" y="0"/>
                      <a:ext cx="5395595" cy="7626350"/>
                    </a:xfrm>
                    <a:prstGeom prst="rect">
                      <a:avLst/>
                    </a:prstGeom>
                    <a:noFill/>
                    <a:ln>
                      <a:noFill/>
                    </a:ln>
                  </pic:spPr>
                </pic:pic>
              </a:graphicData>
            </a:graphic>
          </wp:inline>
        </w:drawing>
      </w:r>
    </w:p>
    <w:p w14:paraId="2EC33F71">
      <w:pPr>
        <w:rPr>
          <w:rFonts w:hint="eastAsia" w:eastAsia="宋体"/>
          <w:color w:val="auto"/>
          <w:highlight w:val="none"/>
          <w:lang w:eastAsia="zh-CN"/>
        </w:rPr>
      </w:pPr>
    </w:p>
    <w:p w14:paraId="3873EF11">
      <w:pPr>
        <w:rPr>
          <w:rFonts w:hint="eastAsia" w:eastAsia="宋体"/>
          <w:color w:val="auto"/>
          <w:highlight w:val="none"/>
          <w:lang w:eastAsia="zh-CN"/>
        </w:rPr>
      </w:pPr>
    </w:p>
    <w:p w14:paraId="4F81E2A4">
      <w:pPr>
        <w:rPr>
          <w:rFonts w:hint="eastAsia" w:eastAsia="宋体"/>
          <w:color w:val="auto"/>
          <w:highlight w:val="none"/>
          <w:lang w:eastAsia="zh-CN"/>
        </w:rPr>
      </w:pPr>
    </w:p>
    <w:p w14:paraId="70C4EB3A">
      <w:pPr>
        <w:rPr>
          <w:rFonts w:hint="eastAsia" w:eastAsia="宋体"/>
          <w:color w:val="auto"/>
          <w:highlight w:val="none"/>
          <w:lang w:eastAsia="zh-CN"/>
        </w:rPr>
      </w:pPr>
    </w:p>
    <w:p w14:paraId="7E5164B7">
      <w:pPr>
        <w:rPr>
          <w:rFonts w:hint="eastAsia" w:eastAsia="宋体"/>
          <w:color w:val="auto"/>
          <w:highlight w:val="none"/>
          <w:lang w:eastAsia="zh-CN"/>
        </w:rPr>
      </w:pPr>
    </w:p>
    <w:p w14:paraId="48EBFC97">
      <w:pPr>
        <w:rPr>
          <w:rFonts w:hint="eastAsia" w:eastAsia="宋体"/>
          <w:color w:val="auto"/>
          <w:highlight w:val="none"/>
          <w:lang w:eastAsia="zh-CN"/>
        </w:rPr>
      </w:pPr>
    </w:p>
    <w:p w14:paraId="4BA2863E">
      <w:pPr>
        <w:rPr>
          <w:rFonts w:hint="eastAsia" w:eastAsia="宋体"/>
          <w:color w:val="auto"/>
          <w:highlight w:val="none"/>
          <w:lang w:eastAsia="zh-CN"/>
        </w:rPr>
      </w:pPr>
    </w:p>
    <w:p w14:paraId="3768557F">
      <w:pPr>
        <w:spacing w:line="360" w:lineRule="auto"/>
        <w:outlineLvl w:val="0"/>
        <w:rPr>
          <w:b/>
          <w:bCs/>
          <w:color w:val="auto"/>
          <w:sz w:val="24"/>
          <w:szCs w:val="24"/>
          <w:highlight w:val="none"/>
          <w:lang w:bidi="ar"/>
        </w:rPr>
      </w:pPr>
      <w:bookmarkStart w:id="185" w:name="_Toc27056"/>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5-3</w:t>
      </w:r>
      <w:r>
        <w:rPr>
          <w:b/>
          <w:bCs/>
          <w:color w:val="auto"/>
          <w:sz w:val="24"/>
          <w:szCs w:val="24"/>
          <w:highlight w:val="none"/>
        </w:rPr>
        <w:t xml:space="preserve"> </w:t>
      </w:r>
      <w:r>
        <w:rPr>
          <w:rFonts w:hint="eastAsia" w:ascii="Times New Roman" w:eastAsia="宋体"/>
          <w:b/>
          <w:bCs/>
          <w:color w:val="auto"/>
          <w:sz w:val="24"/>
          <w:szCs w:val="32"/>
          <w:highlight w:val="none"/>
          <w:lang w:val="en-US" w:eastAsia="zh-CN"/>
        </w:rPr>
        <w:t>底漆</w:t>
      </w:r>
      <w:r>
        <w:rPr>
          <w:b/>
          <w:bCs/>
          <w:color w:val="auto"/>
          <w:sz w:val="24"/>
          <w:szCs w:val="24"/>
          <w:highlight w:val="none"/>
          <w:lang w:bidi="ar"/>
        </w:rPr>
        <w:t>MSDS报告</w:t>
      </w:r>
      <w:bookmarkEnd w:id="185"/>
    </w:p>
    <w:p w14:paraId="217414FF">
      <w:pPr>
        <w:rPr>
          <w:rFonts w:hint="default" w:eastAsia="宋体"/>
          <w:b/>
          <w:bCs/>
          <w:color w:val="auto"/>
          <w:highlight w:val="none"/>
          <w:lang w:val="en-US" w:eastAsia="zh-CN"/>
        </w:rPr>
      </w:pPr>
    </w:p>
    <w:p w14:paraId="11F1BA45">
      <w:pPr>
        <w:rPr>
          <w:rFonts w:hint="eastAsia" w:eastAsia="宋体"/>
          <w:color w:val="auto"/>
          <w:highlight w:val="none"/>
          <w:lang w:eastAsia="zh-CN"/>
        </w:rPr>
      </w:pPr>
      <w:r>
        <w:drawing>
          <wp:inline distT="0" distB="0" distL="114300" distR="114300">
            <wp:extent cx="5095875" cy="7086600"/>
            <wp:effectExtent l="0" t="0" r="9525" b="0"/>
            <wp:docPr id="22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7"/>
                    <pic:cNvPicPr>
                      <a:picLocks noChangeAspect="1"/>
                    </pic:cNvPicPr>
                  </pic:nvPicPr>
                  <pic:blipFill>
                    <a:blip r:embed="rId109"/>
                    <a:stretch>
                      <a:fillRect/>
                    </a:stretch>
                  </pic:blipFill>
                  <pic:spPr>
                    <a:xfrm>
                      <a:off x="0" y="0"/>
                      <a:ext cx="5095875" cy="7086600"/>
                    </a:xfrm>
                    <a:prstGeom prst="rect">
                      <a:avLst/>
                    </a:prstGeom>
                    <a:noFill/>
                    <a:ln>
                      <a:noFill/>
                    </a:ln>
                  </pic:spPr>
                </pic:pic>
              </a:graphicData>
            </a:graphic>
          </wp:inline>
        </w:drawing>
      </w:r>
      <w:r>
        <w:drawing>
          <wp:inline distT="0" distB="0" distL="114300" distR="114300">
            <wp:extent cx="5503545" cy="7659370"/>
            <wp:effectExtent l="0" t="0" r="1905" b="17780"/>
            <wp:docPr id="9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3"/>
                    <pic:cNvPicPr>
                      <a:picLocks noChangeAspect="1"/>
                    </pic:cNvPicPr>
                  </pic:nvPicPr>
                  <pic:blipFill>
                    <a:blip r:embed="rId110"/>
                    <a:stretch>
                      <a:fillRect/>
                    </a:stretch>
                  </pic:blipFill>
                  <pic:spPr>
                    <a:xfrm>
                      <a:off x="0" y="0"/>
                      <a:ext cx="5503545" cy="765937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21" name="图片 19" descr="组合 3_页面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19" descr="组合 3_页面_31"/>
                    <pic:cNvPicPr>
                      <a:picLocks noChangeAspect="1"/>
                    </pic:cNvPicPr>
                  </pic:nvPicPr>
                  <pic:blipFill>
                    <a:blip r:embed="rId111"/>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26" name="图片 20" descr="组合 3_页面_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0" descr="组合 3_页面_32"/>
                    <pic:cNvPicPr>
                      <a:picLocks noChangeAspect="1"/>
                    </pic:cNvPicPr>
                  </pic:nvPicPr>
                  <pic:blipFill>
                    <a:blip r:embed="rId112"/>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37" name="图片 21" descr="组合 3_页面_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1" descr="组合 3_页面_33"/>
                    <pic:cNvPicPr>
                      <a:picLocks noChangeAspect="1"/>
                    </pic:cNvPicPr>
                  </pic:nvPicPr>
                  <pic:blipFill>
                    <a:blip r:embed="rId113"/>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4" name="图片 22" descr="组合 3_页面_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2" descr="组合 3_页面_34"/>
                    <pic:cNvPicPr>
                      <a:picLocks noChangeAspect="1"/>
                    </pic:cNvPicPr>
                  </pic:nvPicPr>
                  <pic:blipFill>
                    <a:blip r:embed="rId114"/>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32" name="图片 23" descr="组合 3_页面_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 descr="组合 3_页面_35"/>
                    <pic:cNvPicPr>
                      <a:picLocks noChangeAspect="1"/>
                    </pic:cNvPicPr>
                  </pic:nvPicPr>
                  <pic:blipFill>
                    <a:blip r:embed="rId115"/>
                    <a:stretch>
                      <a:fillRect/>
                    </a:stretch>
                  </pic:blipFill>
                  <pic:spPr>
                    <a:xfrm>
                      <a:off x="0" y="0"/>
                      <a:ext cx="5399405" cy="7635240"/>
                    </a:xfrm>
                    <a:prstGeom prst="rect">
                      <a:avLst/>
                    </a:prstGeom>
                    <a:noFill/>
                    <a:ln>
                      <a:noFill/>
                    </a:ln>
                  </pic:spPr>
                </pic:pic>
              </a:graphicData>
            </a:graphic>
          </wp:inline>
        </w:drawing>
      </w:r>
    </w:p>
    <w:p w14:paraId="3DBD1D62">
      <w:pPr>
        <w:rPr>
          <w:rFonts w:hint="eastAsia" w:eastAsia="宋体"/>
          <w:color w:val="auto"/>
          <w:highlight w:val="none"/>
          <w:lang w:eastAsia="zh-CN"/>
        </w:rPr>
      </w:pPr>
    </w:p>
    <w:p w14:paraId="47CE8BFE">
      <w:pPr>
        <w:rPr>
          <w:rFonts w:hint="eastAsia" w:eastAsia="宋体"/>
          <w:color w:val="auto"/>
          <w:highlight w:val="none"/>
          <w:lang w:eastAsia="zh-CN"/>
        </w:rPr>
      </w:pPr>
    </w:p>
    <w:p w14:paraId="464D57DF">
      <w:pPr>
        <w:rPr>
          <w:rFonts w:hint="eastAsia" w:eastAsia="宋体"/>
          <w:color w:val="auto"/>
          <w:highlight w:val="none"/>
          <w:lang w:eastAsia="zh-CN"/>
        </w:rPr>
      </w:pPr>
    </w:p>
    <w:p w14:paraId="4F780765">
      <w:pPr>
        <w:rPr>
          <w:rFonts w:hint="eastAsia" w:eastAsia="宋体"/>
          <w:color w:val="auto"/>
          <w:highlight w:val="none"/>
          <w:lang w:eastAsia="zh-CN"/>
        </w:rPr>
      </w:pPr>
    </w:p>
    <w:p w14:paraId="0AA693FA">
      <w:pPr>
        <w:rPr>
          <w:rFonts w:hint="eastAsia" w:eastAsia="宋体"/>
          <w:color w:val="auto"/>
          <w:highlight w:val="none"/>
          <w:lang w:eastAsia="zh-CN"/>
        </w:rPr>
      </w:pPr>
    </w:p>
    <w:p w14:paraId="437895E1">
      <w:pPr>
        <w:rPr>
          <w:rFonts w:hint="eastAsia" w:eastAsia="宋体"/>
          <w:color w:val="auto"/>
          <w:highlight w:val="none"/>
          <w:lang w:eastAsia="zh-CN"/>
        </w:rPr>
      </w:pPr>
    </w:p>
    <w:p w14:paraId="1E7DAFB9">
      <w:pPr>
        <w:rPr>
          <w:rFonts w:hint="eastAsia" w:eastAsia="宋体"/>
          <w:color w:val="auto"/>
          <w:highlight w:val="none"/>
          <w:lang w:eastAsia="zh-CN"/>
        </w:rPr>
      </w:pPr>
    </w:p>
    <w:p w14:paraId="1F3EC0ED">
      <w:pPr>
        <w:spacing w:line="360" w:lineRule="auto"/>
        <w:outlineLvl w:val="0"/>
        <w:rPr>
          <w:b/>
          <w:bCs/>
          <w:color w:val="auto"/>
          <w:sz w:val="24"/>
          <w:szCs w:val="24"/>
          <w:highlight w:val="none"/>
          <w:lang w:bidi="ar"/>
        </w:rPr>
      </w:pPr>
      <w:bookmarkStart w:id="186" w:name="_Toc42"/>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5-4</w:t>
      </w:r>
      <w:r>
        <w:rPr>
          <w:b/>
          <w:bCs/>
          <w:color w:val="auto"/>
          <w:sz w:val="24"/>
          <w:szCs w:val="24"/>
          <w:highlight w:val="none"/>
        </w:rPr>
        <w:t xml:space="preserve"> </w:t>
      </w:r>
      <w:r>
        <w:rPr>
          <w:rFonts w:hint="eastAsia" w:ascii="Times New Roman" w:eastAsia="宋体"/>
          <w:b/>
          <w:bCs/>
          <w:color w:val="auto"/>
          <w:sz w:val="24"/>
          <w:szCs w:val="32"/>
          <w:highlight w:val="none"/>
          <w:lang w:val="en-US" w:eastAsia="zh-CN"/>
        </w:rPr>
        <w:t>面漆</w:t>
      </w:r>
      <w:r>
        <w:rPr>
          <w:b/>
          <w:bCs/>
          <w:color w:val="auto"/>
          <w:sz w:val="24"/>
          <w:szCs w:val="24"/>
          <w:highlight w:val="none"/>
          <w:lang w:bidi="ar"/>
        </w:rPr>
        <w:t>MSDS报告</w:t>
      </w:r>
      <w:bookmarkEnd w:id="186"/>
    </w:p>
    <w:p w14:paraId="4EE29958">
      <w:pPr>
        <w:rPr>
          <w:rFonts w:hint="default" w:eastAsia="宋体"/>
          <w:b/>
          <w:bCs/>
          <w:color w:val="auto"/>
          <w:highlight w:val="none"/>
          <w:lang w:val="en-US" w:eastAsia="zh-CN"/>
        </w:rPr>
      </w:pPr>
    </w:p>
    <w:p w14:paraId="508962CC">
      <w:pPr>
        <w:rPr>
          <w:rFonts w:hint="eastAsia" w:eastAsia="宋体"/>
          <w:color w:val="auto"/>
          <w:highlight w:val="none"/>
          <w:lang w:eastAsia="zh-CN"/>
        </w:rPr>
      </w:pPr>
      <w:r>
        <w:drawing>
          <wp:inline distT="0" distB="0" distL="114300" distR="114300">
            <wp:extent cx="5048250" cy="7191375"/>
            <wp:effectExtent l="0" t="0" r="0" b="9525"/>
            <wp:docPr id="21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4"/>
                    <pic:cNvPicPr>
                      <a:picLocks noChangeAspect="1"/>
                    </pic:cNvPicPr>
                  </pic:nvPicPr>
                  <pic:blipFill>
                    <a:blip r:embed="rId116"/>
                    <a:stretch>
                      <a:fillRect/>
                    </a:stretch>
                  </pic:blipFill>
                  <pic:spPr>
                    <a:xfrm>
                      <a:off x="0" y="0"/>
                      <a:ext cx="5048250" cy="7191375"/>
                    </a:xfrm>
                    <a:prstGeom prst="rect">
                      <a:avLst/>
                    </a:prstGeom>
                    <a:noFill/>
                    <a:ln>
                      <a:noFill/>
                    </a:ln>
                  </pic:spPr>
                </pic:pic>
              </a:graphicData>
            </a:graphic>
          </wp:inline>
        </w:drawing>
      </w:r>
      <w:r>
        <w:drawing>
          <wp:inline distT="0" distB="0" distL="114300" distR="114300">
            <wp:extent cx="5503545" cy="7674610"/>
            <wp:effectExtent l="0" t="0" r="1905" b="2540"/>
            <wp:docPr id="10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4"/>
                    <pic:cNvPicPr>
                      <a:picLocks noChangeAspect="1"/>
                    </pic:cNvPicPr>
                  </pic:nvPicPr>
                  <pic:blipFill>
                    <a:blip r:embed="rId117"/>
                    <a:stretch>
                      <a:fillRect/>
                    </a:stretch>
                  </pic:blipFill>
                  <pic:spPr>
                    <a:xfrm>
                      <a:off x="0" y="0"/>
                      <a:ext cx="5503545" cy="767461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12" name="图片 26" descr="组合 3_页面_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6" descr="组合 3_页面_38"/>
                    <pic:cNvPicPr>
                      <a:picLocks noChangeAspect="1"/>
                    </pic:cNvPicPr>
                  </pic:nvPicPr>
                  <pic:blipFill>
                    <a:blip r:embed="rId118"/>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17" name="图片 27" descr="组合 3_页面_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7" descr="组合 3_页面_39"/>
                    <pic:cNvPicPr>
                      <a:picLocks noChangeAspect="1"/>
                    </pic:cNvPicPr>
                  </pic:nvPicPr>
                  <pic:blipFill>
                    <a:blip r:embed="rId119"/>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22" name="图片 28" descr="组合 3_页面_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8" descr="组合 3_页面_40"/>
                    <pic:cNvPicPr>
                      <a:picLocks noChangeAspect="1"/>
                    </pic:cNvPicPr>
                  </pic:nvPicPr>
                  <pic:blipFill>
                    <a:blip r:embed="rId120"/>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15" name="图片 29" descr="组合 3_页面_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9" descr="组合 3_页面_41"/>
                    <pic:cNvPicPr>
                      <a:picLocks noChangeAspect="1"/>
                    </pic:cNvPicPr>
                  </pic:nvPicPr>
                  <pic:blipFill>
                    <a:blip r:embed="rId121"/>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2" name="图片 30" descr="组合 3_页面_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0" descr="组合 3_页面_42"/>
                    <pic:cNvPicPr>
                      <a:picLocks noChangeAspect="1"/>
                    </pic:cNvPicPr>
                  </pic:nvPicPr>
                  <pic:blipFill>
                    <a:blip r:embed="rId122"/>
                    <a:stretch>
                      <a:fillRect/>
                    </a:stretch>
                  </pic:blipFill>
                  <pic:spPr>
                    <a:xfrm>
                      <a:off x="0" y="0"/>
                      <a:ext cx="5399405" cy="7635240"/>
                    </a:xfrm>
                    <a:prstGeom prst="rect">
                      <a:avLst/>
                    </a:prstGeom>
                    <a:noFill/>
                    <a:ln>
                      <a:noFill/>
                    </a:ln>
                  </pic:spPr>
                </pic:pic>
              </a:graphicData>
            </a:graphic>
          </wp:inline>
        </w:drawing>
      </w:r>
    </w:p>
    <w:p w14:paraId="5892B33E">
      <w:pPr>
        <w:rPr>
          <w:rFonts w:hint="eastAsia"/>
          <w:color w:val="auto"/>
          <w:highlight w:val="none"/>
          <w:lang w:val="en-US" w:eastAsia="zh-CN"/>
        </w:rPr>
      </w:pPr>
    </w:p>
    <w:p w14:paraId="1EADCE84">
      <w:pPr>
        <w:rPr>
          <w:rFonts w:hint="eastAsia"/>
          <w:color w:val="auto"/>
          <w:highlight w:val="none"/>
          <w:lang w:val="en-US" w:eastAsia="zh-CN"/>
        </w:rPr>
      </w:pPr>
    </w:p>
    <w:p w14:paraId="07756D55">
      <w:pPr>
        <w:rPr>
          <w:rFonts w:hint="eastAsia"/>
          <w:color w:val="auto"/>
          <w:highlight w:val="none"/>
          <w:lang w:val="en-US" w:eastAsia="zh-CN"/>
        </w:rPr>
      </w:pPr>
    </w:p>
    <w:p w14:paraId="42F0416B">
      <w:pPr>
        <w:rPr>
          <w:rFonts w:hint="eastAsia"/>
          <w:color w:val="auto"/>
          <w:highlight w:val="none"/>
          <w:lang w:val="en-US" w:eastAsia="zh-CN"/>
        </w:rPr>
      </w:pPr>
    </w:p>
    <w:p w14:paraId="33F31B40">
      <w:pPr>
        <w:rPr>
          <w:rFonts w:hint="eastAsia"/>
          <w:color w:val="auto"/>
          <w:highlight w:val="none"/>
          <w:lang w:val="en-US" w:eastAsia="zh-CN"/>
        </w:rPr>
      </w:pPr>
    </w:p>
    <w:p w14:paraId="34FDA12B">
      <w:pPr>
        <w:rPr>
          <w:rFonts w:hint="eastAsia"/>
          <w:color w:val="auto"/>
          <w:highlight w:val="none"/>
          <w:lang w:val="en-US" w:eastAsia="zh-CN"/>
        </w:rPr>
      </w:pPr>
    </w:p>
    <w:p w14:paraId="61E0F59A">
      <w:pPr>
        <w:rPr>
          <w:rFonts w:hint="eastAsia"/>
          <w:color w:val="auto"/>
          <w:highlight w:val="none"/>
          <w:lang w:val="en-US" w:eastAsia="zh-CN"/>
        </w:rPr>
      </w:pPr>
    </w:p>
    <w:p w14:paraId="5E028EBF">
      <w:pPr>
        <w:spacing w:line="360" w:lineRule="auto"/>
        <w:outlineLvl w:val="0"/>
        <w:rPr>
          <w:b/>
          <w:bCs/>
          <w:color w:val="auto"/>
          <w:sz w:val="24"/>
          <w:szCs w:val="24"/>
          <w:highlight w:val="none"/>
          <w:lang w:bidi="ar"/>
        </w:rPr>
      </w:pPr>
      <w:bookmarkStart w:id="187" w:name="_Toc1385"/>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5-5</w:t>
      </w:r>
      <w:r>
        <w:rPr>
          <w:b/>
          <w:bCs/>
          <w:color w:val="auto"/>
          <w:sz w:val="24"/>
          <w:szCs w:val="24"/>
          <w:highlight w:val="none"/>
        </w:rPr>
        <w:t xml:space="preserve"> </w:t>
      </w:r>
      <w:r>
        <w:rPr>
          <w:rFonts w:hint="eastAsia" w:ascii="Times New Roman" w:eastAsia="宋体"/>
          <w:b/>
          <w:bCs/>
          <w:color w:val="auto"/>
          <w:sz w:val="24"/>
          <w:szCs w:val="32"/>
          <w:highlight w:val="none"/>
          <w:lang w:val="en-US" w:eastAsia="zh-CN"/>
        </w:rPr>
        <w:t>清漆</w:t>
      </w:r>
      <w:r>
        <w:rPr>
          <w:b/>
          <w:bCs/>
          <w:color w:val="auto"/>
          <w:sz w:val="24"/>
          <w:szCs w:val="24"/>
          <w:highlight w:val="none"/>
          <w:lang w:bidi="ar"/>
        </w:rPr>
        <w:t>MSDS报告</w:t>
      </w:r>
      <w:bookmarkEnd w:id="187"/>
    </w:p>
    <w:p w14:paraId="44999007">
      <w:pPr>
        <w:jc w:val="left"/>
        <w:rPr>
          <w:rFonts w:hint="eastAsia" w:eastAsia="宋体"/>
          <w:color w:val="auto"/>
          <w:highlight w:val="none"/>
          <w:lang w:eastAsia="zh-CN"/>
        </w:rPr>
      </w:pPr>
      <w:r>
        <w:drawing>
          <wp:inline distT="0" distB="0" distL="114300" distR="114300">
            <wp:extent cx="5048250" cy="7172325"/>
            <wp:effectExtent l="0" t="0" r="0" b="9525"/>
            <wp:docPr id="22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31"/>
                    <pic:cNvPicPr>
                      <a:picLocks noChangeAspect="1"/>
                    </pic:cNvPicPr>
                  </pic:nvPicPr>
                  <pic:blipFill>
                    <a:blip r:embed="rId123"/>
                    <a:stretch>
                      <a:fillRect/>
                    </a:stretch>
                  </pic:blipFill>
                  <pic:spPr>
                    <a:xfrm>
                      <a:off x="0" y="0"/>
                      <a:ext cx="5048250" cy="7172325"/>
                    </a:xfrm>
                    <a:prstGeom prst="rect">
                      <a:avLst/>
                    </a:prstGeom>
                    <a:noFill/>
                    <a:ln>
                      <a:noFill/>
                    </a:ln>
                  </pic:spPr>
                </pic:pic>
              </a:graphicData>
            </a:graphic>
          </wp:inline>
        </w:drawing>
      </w:r>
      <w:r>
        <w:drawing>
          <wp:inline distT="0" distB="0" distL="114300" distR="114300">
            <wp:extent cx="5400675" cy="7372350"/>
            <wp:effectExtent l="0" t="0" r="9525" b="0"/>
            <wp:docPr id="11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5"/>
                    <pic:cNvPicPr>
                      <a:picLocks noChangeAspect="1"/>
                    </pic:cNvPicPr>
                  </pic:nvPicPr>
                  <pic:blipFill>
                    <a:blip r:embed="rId124"/>
                    <a:stretch>
                      <a:fillRect/>
                    </a:stretch>
                  </pic:blipFill>
                  <pic:spPr>
                    <a:xfrm>
                      <a:off x="0" y="0"/>
                      <a:ext cx="5400675" cy="737235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0" name="图片 33" descr="组合 3_页面_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3" descr="组合 3_页面_45"/>
                    <pic:cNvPicPr>
                      <a:picLocks noChangeAspect="1"/>
                    </pic:cNvPicPr>
                  </pic:nvPicPr>
                  <pic:blipFill>
                    <a:blip r:embed="rId125"/>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3" name="图片 34" descr="组合 3_页面_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34" descr="组合 3_页面_46"/>
                    <pic:cNvPicPr>
                      <a:picLocks noChangeAspect="1"/>
                    </pic:cNvPicPr>
                  </pic:nvPicPr>
                  <pic:blipFill>
                    <a:blip r:embed="rId126"/>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5" name="图片 35" descr="组合 3_页面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35" descr="组合 3_页面_47"/>
                    <pic:cNvPicPr>
                      <a:picLocks noChangeAspect="1"/>
                    </pic:cNvPicPr>
                  </pic:nvPicPr>
                  <pic:blipFill>
                    <a:blip r:embed="rId127"/>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6" name="图片 36" descr="组合 3_页面_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36" descr="组合 3_页面_48"/>
                    <pic:cNvPicPr>
                      <a:picLocks noChangeAspect="1"/>
                    </pic:cNvPicPr>
                  </pic:nvPicPr>
                  <pic:blipFill>
                    <a:blip r:embed="rId128"/>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09" name="图片 37" descr="组合 3_页面_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37" descr="组合 3_页面_49"/>
                    <pic:cNvPicPr>
                      <a:picLocks noChangeAspect="1"/>
                    </pic:cNvPicPr>
                  </pic:nvPicPr>
                  <pic:blipFill>
                    <a:blip r:embed="rId129"/>
                    <a:stretch>
                      <a:fillRect/>
                    </a:stretch>
                  </pic:blipFill>
                  <pic:spPr>
                    <a:xfrm>
                      <a:off x="0" y="0"/>
                      <a:ext cx="5399405" cy="7635240"/>
                    </a:xfrm>
                    <a:prstGeom prst="rect">
                      <a:avLst/>
                    </a:prstGeom>
                    <a:noFill/>
                    <a:ln>
                      <a:noFill/>
                    </a:ln>
                  </pic:spPr>
                </pic:pic>
              </a:graphicData>
            </a:graphic>
          </wp:inline>
        </w:drawing>
      </w:r>
    </w:p>
    <w:p w14:paraId="06D55076">
      <w:pPr>
        <w:rPr>
          <w:rFonts w:hint="eastAsia" w:eastAsia="宋体"/>
          <w:color w:val="auto"/>
          <w:highlight w:val="none"/>
          <w:lang w:eastAsia="zh-CN"/>
        </w:rPr>
      </w:pPr>
    </w:p>
    <w:p w14:paraId="6B550C1B">
      <w:pPr>
        <w:rPr>
          <w:rFonts w:hint="eastAsia" w:eastAsia="宋体"/>
          <w:color w:val="auto"/>
          <w:highlight w:val="none"/>
          <w:lang w:eastAsia="zh-CN"/>
        </w:rPr>
      </w:pPr>
    </w:p>
    <w:p w14:paraId="02B3193F">
      <w:pPr>
        <w:rPr>
          <w:rFonts w:hint="eastAsia" w:eastAsia="宋体"/>
          <w:color w:val="auto"/>
          <w:highlight w:val="none"/>
          <w:lang w:eastAsia="zh-CN"/>
        </w:rPr>
      </w:pPr>
    </w:p>
    <w:p w14:paraId="3A361BE9">
      <w:pPr>
        <w:rPr>
          <w:rFonts w:hint="eastAsia" w:eastAsia="宋体"/>
          <w:color w:val="auto"/>
          <w:highlight w:val="none"/>
          <w:lang w:eastAsia="zh-CN"/>
        </w:rPr>
      </w:pPr>
    </w:p>
    <w:p w14:paraId="5AD139EB">
      <w:pPr>
        <w:rPr>
          <w:rFonts w:hint="eastAsia" w:eastAsia="宋体"/>
          <w:color w:val="auto"/>
          <w:highlight w:val="none"/>
          <w:lang w:eastAsia="zh-CN"/>
        </w:rPr>
      </w:pPr>
    </w:p>
    <w:p w14:paraId="3CFEED44">
      <w:pPr>
        <w:rPr>
          <w:rFonts w:hint="eastAsia" w:eastAsia="宋体"/>
          <w:color w:val="auto"/>
          <w:highlight w:val="none"/>
          <w:lang w:eastAsia="zh-CN"/>
        </w:rPr>
      </w:pPr>
    </w:p>
    <w:p w14:paraId="28E0F117">
      <w:pPr>
        <w:jc w:val="both"/>
        <w:rPr>
          <w:rFonts w:hint="eastAsia" w:eastAsia="宋体"/>
          <w:color w:val="auto"/>
          <w:highlight w:val="none"/>
          <w:lang w:eastAsia="zh-CN"/>
        </w:rPr>
      </w:pPr>
    </w:p>
    <w:p w14:paraId="355056B9">
      <w:pPr>
        <w:spacing w:line="360" w:lineRule="auto"/>
        <w:outlineLvl w:val="0"/>
        <w:rPr>
          <w:b/>
          <w:bCs/>
          <w:color w:val="auto"/>
          <w:sz w:val="24"/>
          <w:szCs w:val="24"/>
          <w:highlight w:val="none"/>
          <w:lang w:bidi="ar"/>
        </w:rPr>
      </w:pPr>
      <w:bookmarkStart w:id="188" w:name="_Toc19354"/>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5-6</w:t>
      </w:r>
      <w:r>
        <w:rPr>
          <w:b/>
          <w:bCs/>
          <w:color w:val="auto"/>
          <w:sz w:val="24"/>
          <w:szCs w:val="24"/>
          <w:highlight w:val="none"/>
        </w:rPr>
        <w:t xml:space="preserve"> </w:t>
      </w:r>
      <w:r>
        <w:rPr>
          <w:rFonts w:hint="eastAsia" w:ascii="Times New Roman" w:eastAsia="宋体"/>
          <w:b/>
          <w:bCs/>
          <w:color w:val="auto"/>
          <w:sz w:val="24"/>
          <w:szCs w:val="32"/>
          <w:highlight w:val="none"/>
          <w:lang w:val="en-US" w:eastAsia="zh-CN"/>
        </w:rPr>
        <w:t>稀释剂</w:t>
      </w:r>
      <w:r>
        <w:rPr>
          <w:b/>
          <w:bCs/>
          <w:color w:val="auto"/>
          <w:sz w:val="24"/>
          <w:szCs w:val="24"/>
          <w:highlight w:val="none"/>
          <w:lang w:bidi="ar"/>
        </w:rPr>
        <w:t>MSDS报告</w:t>
      </w:r>
      <w:bookmarkEnd w:id="188"/>
    </w:p>
    <w:p w14:paraId="42AACD38">
      <w:pPr>
        <w:jc w:val="left"/>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5399405" cy="7635240"/>
            <wp:effectExtent l="0" t="0" r="10795" b="3810"/>
            <wp:docPr id="224" name="图片 38" descr="组合 3_页面_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38" descr="组合 3_页面_50"/>
                    <pic:cNvPicPr>
                      <a:picLocks noChangeAspect="1"/>
                    </pic:cNvPicPr>
                  </pic:nvPicPr>
                  <pic:blipFill>
                    <a:blip r:embed="rId130"/>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8770" cy="7635240"/>
            <wp:effectExtent l="0" t="0" r="11430" b="3810"/>
            <wp:docPr id="231" name="图片 39" descr="组合 3_页面_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39" descr="组合 3_页面_51"/>
                    <pic:cNvPicPr>
                      <a:picLocks noChangeAspect="1"/>
                    </pic:cNvPicPr>
                  </pic:nvPicPr>
                  <pic:blipFill>
                    <a:blip r:embed="rId131"/>
                    <a:stretch>
                      <a:fillRect/>
                    </a:stretch>
                  </pic:blipFill>
                  <pic:spPr>
                    <a:xfrm>
                      <a:off x="0" y="0"/>
                      <a:ext cx="5398770"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38" name="图片 40" descr="组合 3_页面_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40" descr="组合 3_页面_52"/>
                    <pic:cNvPicPr>
                      <a:picLocks noChangeAspect="1"/>
                    </pic:cNvPicPr>
                  </pic:nvPicPr>
                  <pic:blipFill>
                    <a:blip r:embed="rId132"/>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41" name="图片 41" descr="组合 3_页面_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41" descr="组合 3_页面_53"/>
                    <pic:cNvPicPr>
                      <a:picLocks noChangeAspect="1"/>
                    </pic:cNvPicPr>
                  </pic:nvPicPr>
                  <pic:blipFill>
                    <a:blip r:embed="rId133"/>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39" name="图片 42" descr="组合 3_页面_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42" descr="组合 3_页面_54"/>
                    <pic:cNvPicPr>
                      <a:picLocks noChangeAspect="1"/>
                    </pic:cNvPicPr>
                  </pic:nvPicPr>
                  <pic:blipFill>
                    <a:blip r:embed="rId134"/>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42" name="图片 43" descr="组合 3_页面_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43" descr="组合 3_页面_55"/>
                    <pic:cNvPicPr>
                      <a:picLocks noChangeAspect="1"/>
                    </pic:cNvPicPr>
                  </pic:nvPicPr>
                  <pic:blipFill>
                    <a:blip r:embed="rId135"/>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160" name="图片 44" descr="组合 3_页面_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44" descr="组合 3_页面_56"/>
                    <pic:cNvPicPr>
                      <a:picLocks noChangeAspect="1"/>
                    </pic:cNvPicPr>
                  </pic:nvPicPr>
                  <pic:blipFill>
                    <a:blip r:embed="rId136"/>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8473440"/>
            <wp:effectExtent l="0" t="0" r="10795" b="3810"/>
            <wp:docPr id="161" name="图片 45" descr="组合 3_页面_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45" descr="组合 3_页面_57"/>
                    <pic:cNvPicPr>
                      <a:picLocks noChangeAspect="1"/>
                    </pic:cNvPicPr>
                  </pic:nvPicPr>
                  <pic:blipFill>
                    <a:blip r:embed="rId137"/>
                    <a:stretch>
                      <a:fillRect/>
                    </a:stretch>
                  </pic:blipFill>
                  <pic:spPr>
                    <a:xfrm>
                      <a:off x="0" y="0"/>
                      <a:ext cx="5399405" cy="8473440"/>
                    </a:xfrm>
                    <a:prstGeom prst="rect">
                      <a:avLst/>
                    </a:prstGeom>
                    <a:noFill/>
                    <a:ln>
                      <a:noFill/>
                    </a:ln>
                  </pic:spPr>
                </pic:pic>
              </a:graphicData>
            </a:graphic>
          </wp:inline>
        </w:drawing>
      </w:r>
    </w:p>
    <w:p w14:paraId="6211AA73">
      <w:pPr>
        <w:rPr>
          <w:rFonts w:hint="eastAsia" w:eastAsia="宋体"/>
          <w:color w:val="auto"/>
          <w:highlight w:val="none"/>
          <w:lang w:eastAsia="zh-CN"/>
        </w:rPr>
      </w:pPr>
    </w:p>
    <w:p w14:paraId="4EB414FA">
      <w:pPr>
        <w:spacing w:line="360" w:lineRule="auto"/>
        <w:outlineLvl w:val="0"/>
        <w:rPr>
          <w:b/>
          <w:bCs/>
          <w:color w:val="auto"/>
          <w:sz w:val="24"/>
          <w:szCs w:val="24"/>
          <w:highlight w:val="none"/>
          <w:lang w:bidi="ar"/>
        </w:rPr>
      </w:pPr>
      <w:bookmarkStart w:id="189" w:name="_Toc10093"/>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5-7</w:t>
      </w:r>
      <w:r>
        <w:rPr>
          <w:b/>
          <w:bCs/>
          <w:color w:val="auto"/>
          <w:sz w:val="24"/>
          <w:szCs w:val="24"/>
          <w:highlight w:val="none"/>
        </w:rPr>
        <w:t xml:space="preserve"> </w:t>
      </w:r>
      <w:r>
        <w:rPr>
          <w:rFonts w:hint="eastAsia" w:ascii="Times New Roman" w:eastAsia="宋体"/>
          <w:b/>
          <w:bCs/>
          <w:color w:val="auto"/>
          <w:sz w:val="24"/>
          <w:szCs w:val="32"/>
          <w:highlight w:val="none"/>
          <w:lang w:val="en-US" w:eastAsia="zh-CN"/>
        </w:rPr>
        <w:t>粉末涂料</w:t>
      </w:r>
      <w:r>
        <w:rPr>
          <w:b/>
          <w:bCs/>
          <w:color w:val="auto"/>
          <w:sz w:val="24"/>
          <w:szCs w:val="24"/>
          <w:highlight w:val="none"/>
          <w:lang w:bidi="ar"/>
        </w:rPr>
        <w:t>MSDS报告</w:t>
      </w:r>
      <w:bookmarkEnd w:id="189"/>
    </w:p>
    <w:p w14:paraId="5C813B5B">
      <w:pPr>
        <w:jc w:val="left"/>
        <w:rPr>
          <w:rFonts w:hint="eastAsia" w:eastAsia="宋体"/>
          <w:color w:val="auto"/>
          <w:highlight w:val="none"/>
          <w:lang w:eastAsia="zh-CN"/>
        </w:rPr>
      </w:pPr>
      <w:r>
        <w:drawing>
          <wp:inline distT="0" distB="0" distL="114300" distR="114300">
            <wp:extent cx="5181600" cy="6829425"/>
            <wp:effectExtent l="0" t="0" r="0" b="9525"/>
            <wp:docPr id="22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46"/>
                    <pic:cNvPicPr>
                      <a:picLocks noChangeAspect="1"/>
                    </pic:cNvPicPr>
                  </pic:nvPicPr>
                  <pic:blipFill>
                    <a:blip r:embed="rId138"/>
                    <a:stretch>
                      <a:fillRect/>
                    </a:stretch>
                  </pic:blipFill>
                  <pic:spPr>
                    <a:xfrm>
                      <a:off x="0" y="0"/>
                      <a:ext cx="5181600" cy="6829425"/>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18" name="图片 47" descr="组合 3_页面_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47" descr="组合 3_页面_59"/>
                    <pic:cNvPicPr>
                      <a:picLocks noChangeAspect="1"/>
                    </pic:cNvPicPr>
                  </pic:nvPicPr>
                  <pic:blipFill>
                    <a:blip r:embed="rId139"/>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227" name="图片 48" descr="组合 3_页面_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48" descr="组合 3_页面_60"/>
                    <pic:cNvPicPr>
                      <a:picLocks noChangeAspect="1"/>
                    </pic:cNvPicPr>
                  </pic:nvPicPr>
                  <pic:blipFill>
                    <a:blip r:embed="rId140"/>
                    <a:stretch>
                      <a:fillRect/>
                    </a:stretch>
                  </pic:blipFill>
                  <pic:spPr>
                    <a:xfrm>
                      <a:off x="0" y="0"/>
                      <a:ext cx="5399405" cy="7635240"/>
                    </a:xfrm>
                    <a:prstGeom prst="rect">
                      <a:avLst/>
                    </a:prstGeom>
                    <a:noFill/>
                    <a:ln>
                      <a:noFill/>
                    </a:ln>
                  </pic:spPr>
                </pic:pic>
              </a:graphicData>
            </a:graphic>
          </wp:inline>
        </w:drawing>
      </w:r>
      <w:r>
        <w:rPr>
          <w:rFonts w:hint="eastAsia" w:eastAsia="宋体"/>
          <w:color w:val="auto"/>
          <w:highlight w:val="none"/>
          <w:lang w:eastAsia="zh-CN"/>
        </w:rPr>
        <w:drawing>
          <wp:inline distT="0" distB="0" distL="114300" distR="114300">
            <wp:extent cx="5399405" cy="7635240"/>
            <wp:effectExtent l="0" t="0" r="10795" b="3810"/>
            <wp:docPr id="199" name="图片 49" descr="组合 3_页面_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49" descr="组合 3_页面_61"/>
                    <pic:cNvPicPr>
                      <a:picLocks noChangeAspect="1"/>
                    </pic:cNvPicPr>
                  </pic:nvPicPr>
                  <pic:blipFill>
                    <a:blip r:embed="rId141"/>
                    <a:stretch>
                      <a:fillRect/>
                    </a:stretch>
                  </pic:blipFill>
                  <pic:spPr>
                    <a:xfrm>
                      <a:off x="0" y="0"/>
                      <a:ext cx="5399405" cy="7635240"/>
                    </a:xfrm>
                    <a:prstGeom prst="rect">
                      <a:avLst/>
                    </a:prstGeom>
                    <a:noFill/>
                    <a:ln>
                      <a:noFill/>
                    </a:ln>
                  </pic:spPr>
                </pic:pic>
              </a:graphicData>
            </a:graphic>
          </wp:inline>
        </w:drawing>
      </w:r>
    </w:p>
    <w:p w14:paraId="75DDFF71">
      <w:pPr>
        <w:jc w:val="left"/>
        <w:rPr>
          <w:rFonts w:hint="eastAsia" w:eastAsia="宋体"/>
          <w:color w:val="auto"/>
          <w:highlight w:val="none"/>
          <w:lang w:eastAsia="zh-CN"/>
        </w:rPr>
      </w:pPr>
    </w:p>
    <w:p w14:paraId="493F7AFB">
      <w:pPr>
        <w:jc w:val="left"/>
        <w:rPr>
          <w:rFonts w:hint="eastAsia" w:eastAsia="宋体"/>
          <w:color w:val="auto"/>
          <w:highlight w:val="none"/>
          <w:lang w:eastAsia="zh-CN"/>
        </w:rPr>
      </w:pPr>
    </w:p>
    <w:p w14:paraId="75A17962">
      <w:pPr>
        <w:jc w:val="left"/>
        <w:rPr>
          <w:rFonts w:hint="eastAsia" w:eastAsia="宋体"/>
          <w:color w:val="auto"/>
          <w:highlight w:val="none"/>
          <w:lang w:eastAsia="zh-CN"/>
        </w:rPr>
      </w:pPr>
    </w:p>
    <w:p w14:paraId="6EFE920B">
      <w:pPr>
        <w:jc w:val="left"/>
        <w:rPr>
          <w:rFonts w:hint="eastAsia" w:eastAsia="宋体"/>
          <w:color w:val="auto"/>
          <w:highlight w:val="none"/>
          <w:lang w:eastAsia="zh-CN"/>
        </w:rPr>
      </w:pPr>
    </w:p>
    <w:p w14:paraId="41886A14">
      <w:pPr>
        <w:jc w:val="left"/>
        <w:rPr>
          <w:rFonts w:hint="eastAsia" w:eastAsia="宋体"/>
          <w:color w:val="auto"/>
          <w:highlight w:val="none"/>
          <w:lang w:eastAsia="zh-CN"/>
        </w:rPr>
      </w:pPr>
    </w:p>
    <w:p w14:paraId="196177F9">
      <w:pPr>
        <w:jc w:val="left"/>
        <w:rPr>
          <w:rFonts w:hint="eastAsia" w:eastAsia="宋体"/>
          <w:color w:val="auto"/>
          <w:highlight w:val="none"/>
          <w:lang w:eastAsia="zh-CN"/>
        </w:rPr>
      </w:pPr>
    </w:p>
    <w:p w14:paraId="08BB1548">
      <w:pPr>
        <w:spacing w:line="360" w:lineRule="auto"/>
        <w:outlineLvl w:val="0"/>
        <w:rPr>
          <w:b/>
          <w:bCs/>
          <w:color w:val="auto"/>
          <w:sz w:val="24"/>
          <w:szCs w:val="24"/>
          <w:highlight w:val="none"/>
          <w:lang w:bidi="ar"/>
        </w:rPr>
      </w:pPr>
      <w:bookmarkStart w:id="190" w:name="_Toc14389"/>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w:t>
      </w:r>
      <w:r>
        <w:rPr>
          <w:rFonts w:hint="eastAsia"/>
          <w:b/>
          <w:bCs/>
          <w:color w:val="auto"/>
          <w:sz w:val="24"/>
          <w:szCs w:val="24"/>
          <w:highlight w:val="none"/>
          <w:lang w:val="en-US" w:eastAsia="zh-CN" w:bidi="ar"/>
        </w:rPr>
        <w:t>8</w:t>
      </w:r>
      <w:r>
        <w:rPr>
          <w:b/>
          <w:bCs/>
          <w:color w:val="auto"/>
          <w:sz w:val="24"/>
          <w:szCs w:val="24"/>
          <w:highlight w:val="none"/>
        </w:rPr>
        <w:t xml:space="preserve"> </w:t>
      </w:r>
      <w:r>
        <w:rPr>
          <w:rFonts w:hint="eastAsia"/>
          <w:b/>
          <w:bCs/>
          <w:color w:val="auto"/>
          <w:sz w:val="24"/>
          <w:szCs w:val="24"/>
          <w:highlight w:val="none"/>
          <w:lang w:val="en-US" w:eastAsia="zh-CN"/>
        </w:rPr>
        <w:t>清洗剂</w:t>
      </w:r>
      <w:r>
        <w:rPr>
          <w:b/>
          <w:bCs/>
          <w:color w:val="auto"/>
          <w:sz w:val="24"/>
          <w:szCs w:val="24"/>
          <w:highlight w:val="none"/>
          <w:lang w:bidi="ar"/>
        </w:rPr>
        <w:t>MSDS报告</w:t>
      </w:r>
      <w:bookmarkEnd w:id="190"/>
    </w:p>
    <w:p w14:paraId="7F822C7C">
      <w:pPr>
        <w:pStyle w:val="56"/>
        <w:pageBreakBefore w:val="0"/>
        <w:wordWrap w:val="0"/>
        <w:overflowPunct/>
        <w:bidi w:val="0"/>
        <w:ind w:left="0" w:leftChars="0" w:firstLine="0" w:firstLineChars="0"/>
        <w:jc w:val="center"/>
        <w:rPr>
          <w:color w:val="auto"/>
          <w:highlight w:val="none"/>
        </w:rPr>
      </w:pPr>
      <w:r>
        <w:rPr>
          <w:color w:val="auto"/>
          <w:highlight w:val="none"/>
        </w:rPr>
        <w:drawing>
          <wp:inline distT="0" distB="0" distL="114300" distR="114300">
            <wp:extent cx="5609590" cy="7943215"/>
            <wp:effectExtent l="0" t="0" r="10160" b="635"/>
            <wp:docPr id="20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15"/>
                    <pic:cNvPicPr>
                      <a:picLocks noChangeAspect="1"/>
                    </pic:cNvPicPr>
                  </pic:nvPicPr>
                  <pic:blipFill>
                    <a:blip r:embed="rId142"/>
                    <a:stretch>
                      <a:fillRect/>
                    </a:stretch>
                  </pic:blipFill>
                  <pic:spPr>
                    <a:xfrm>
                      <a:off x="0" y="0"/>
                      <a:ext cx="5609590" cy="7943215"/>
                    </a:xfrm>
                    <a:prstGeom prst="rect">
                      <a:avLst/>
                    </a:prstGeom>
                    <a:noFill/>
                    <a:ln>
                      <a:noFill/>
                    </a:ln>
                  </pic:spPr>
                </pic:pic>
              </a:graphicData>
            </a:graphic>
          </wp:inline>
        </w:drawing>
      </w:r>
      <w:r>
        <w:rPr>
          <w:color w:val="auto"/>
          <w:highlight w:val="none"/>
        </w:rPr>
        <w:drawing>
          <wp:inline distT="0" distB="0" distL="114300" distR="114300">
            <wp:extent cx="5612130" cy="8001000"/>
            <wp:effectExtent l="0" t="0" r="7620" b="0"/>
            <wp:docPr id="2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16"/>
                    <pic:cNvPicPr>
                      <a:picLocks noChangeAspect="1"/>
                    </pic:cNvPicPr>
                  </pic:nvPicPr>
                  <pic:blipFill>
                    <a:blip r:embed="rId143"/>
                    <a:stretch>
                      <a:fillRect/>
                    </a:stretch>
                  </pic:blipFill>
                  <pic:spPr>
                    <a:xfrm>
                      <a:off x="0" y="0"/>
                      <a:ext cx="5612130" cy="8001000"/>
                    </a:xfrm>
                    <a:prstGeom prst="rect">
                      <a:avLst/>
                    </a:prstGeom>
                    <a:noFill/>
                    <a:ln>
                      <a:noFill/>
                    </a:ln>
                  </pic:spPr>
                </pic:pic>
              </a:graphicData>
            </a:graphic>
          </wp:inline>
        </w:drawing>
      </w:r>
    </w:p>
    <w:p w14:paraId="4A8FD3D9">
      <w:pPr>
        <w:rPr>
          <w:color w:val="auto"/>
          <w:highlight w:val="none"/>
        </w:rPr>
      </w:pPr>
      <w:r>
        <w:rPr>
          <w:color w:val="auto"/>
          <w:highlight w:val="none"/>
        </w:rPr>
        <w:drawing>
          <wp:inline distT="0" distB="0" distL="114300" distR="114300">
            <wp:extent cx="5612765" cy="7944485"/>
            <wp:effectExtent l="0" t="0" r="6985" b="18415"/>
            <wp:docPr id="23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17"/>
                    <pic:cNvPicPr>
                      <a:picLocks noChangeAspect="1"/>
                    </pic:cNvPicPr>
                  </pic:nvPicPr>
                  <pic:blipFill>
                    <a:blip r:embed="rId144"/>
                    <a:stretch>
                      <a:fillRect/>
                    </a:stretch>
                  </pic:blipFill>
                  <pic:spPr>
                    <a:xfrm>
                      <a:off x="0" y="0"/>
                      <a:ext cx="5612765" cy="7944485"/>
                    </a:xfrm>
                    <a:prstGeom prst="rect">
                      <a:avLst/>
                    </a:prstGeom>
                    <a:noFill/>
                    <a:ln>
                      <a:noFill/>
                    </a:ln>
                  </pic:spPr>
                </pic:pic>
              </a:graphicData>
            </a:graphic>
          </wp:inline>
        </w:drawing>
      </w:r>
    </w:p>
    <w:p w14:paraId="298D5670">
      <w:pPr>
        <w:pStyle w:val="2"/>
        <w:rPr>
          <w:rFonts w:hint="eastAsia"/>
          <w:lang w:val="en-US" w:eastAsia="zh-CN"/>
        </w:rPr>
      </w:pPr>
      <w:r>
        <w:rPr>
          <w:color w:val="auto"/>
          <w:highlight w:val="none"/>
        </w:rPr>
        <w:drawing>
          <wp:inline distT="0" distB="0" distL="114300" distR="114300">
            <wp:extent cx="5609590" cy="7943215"/>
            <wp:effectExtent l="0" t="0" r="10160" b="635"/>
            <wp:docPr id="25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18"/>
                    <pic:cNvPicPr>
                      <a:picLocks noChangeAspect="1"/>
                    </pic:cNvPicPr>
                  </pic:nvPicPr>
                  <pic:blipFill>
                    <a:blip r:embed="rId145"/>
                    <a:stretch>
                      <a:fillRect/>
                    </a:stretch>
                  </pic:blipFill>
                  <pic:spPr>
                    <a:xfrm>
                      <a:off x="0" y="0"/>
                      <a:ext cx="5609590" cy="7943215"/>
                    </a:xfrm>
                    <a:prstGeom prst="rect">
                      <a:avLst/>
                    </a:prstGeom>
                    <a:noFill/>
                    <a:ln>
                      <a:noFill/>
                    </a:ln>
                  </pic:spPr>
                </pic:pic>
              </a:graphicData>
            </a:graphic>
          </wp:inline>
        </w:drawing>
      </w:r>
      <w:r>
        <w:rPr>
          <w:color w:val="auto"/>
          <w:highlight w:val="none"/>
        </w:rPr>
        <w:drawing>
          <wp:inline distT="0" distB="0" distL="114300" distR="114300">
            <wp:extent cx="5612765" cy="7953375"/>
            <wp:effectExtent l="0" t="0" r="6985" b="9525"/>
            <wp:docPr id="25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19"/>
                    <pic:cNvPicPr>
                      <a:picLocks noChangeAspect="1"/>
                    </pic:cNvPicPr>
                  </pic:nvPicPr>
                  <pic:blipFill>
                    <a:blip r:embed="rId146"/>
                    <a:stretch>
                      <a:fillRect/>
                    </a:stretch>
                  </pic:blipFill>
                  <pic:spPr>
                    <a:xfrm>
                      <a:off x="0" y="0"/>
                      <a:ext cx="5612765" cy="7953375"/>
                    </a:xfrm>
                    <a:prstGeom prst="rect">
                      <a:avLst/>
                    </a:prstGeom>
                    <a:noFill/>
                    <a:ln>
                      <a:noFill/>
                    </a:ln>
                  </pic:spPr>
                </pic:pic>
              </a:graphicData>
            </a:graphic>
          </wp:inline>
        </w:drawing>
      </w:r>
    </w:p>
    <w:p w14:paraId="0ECEF3CB">
      <w:pPr>
        <w:pStyle w:val="56"/>
        <w:pageBreakBefore w:val="0"/>
        <w:wordWrap w:val="0"/>
        <w:overflowPunct/>
        <w:bidi w:val="0"/>
        <w:ind w:left="0" w:leftChars="0" w:firstLine="0" w:firstLineChars="0"/>
        <w:jc w:val="center"/>
        <w:rPr>
          <w:rFonts w:hint="eastAsia" w:ascii="Times New Roman" w:cs="Times New Roman"/>
          <w:b/>
          <w:bCs/>
          <w:color w:val="auto"/>
          <w:kern w:val="2"/>
          <w:sz w:val="21"/>
          <w:szCs w:val="21"/>
          <w:highlight w:val="none"/>
          <w:vertAlign w:val="baseline"/>
          <w:lang w:val="en-US" w:eastAsia="zh-CN" w:bidi="ar-SA"/>
        </w:rPr>
      </w:pPr>
      <w:r>
        <w:rPr>
          <w:color w:val="auto"/>
          <w:highlight w:val="none"/>
        </w:rPr>
        <w:drawing>
          <wp:inline distT="0" distB="0" distL="114300" distR="114300">
            <wp:extent cx="5614035" cy="7973060"/>
            <wp:effectExtent l="0" t="0" r="5715" b="8890"/>
            <wp:docPr id="25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0"/>
                    <pic:cNvPicPr>
                      <a:picLocks noChangeAspect="1"/>
                    </pic:cNvPicPr>
                  </pic:nvPicPr>
                  <pic:blipFill>
                    <a:blip r:embed="rId147"/>
                    <a:stretch>
                      <a:fillRect/>
                    </a:stretch>
                  </pic:blipFill>
                  <pic:spPr>
                    <a:xfrm>
                      <a:off x="0" y="0"/>
                      <a:ext cx="5614035" cy="7973060"/>
                    </a:xfrm>
                    <a:prstGeom prst="rect">
                      <a:avLst/>
                    </a:prstGeom>
                    <a:noFill/>
                    <a:ln>
                      <a:noFill/>
                    </a:ln>
                  </pic:spPr>
                </pic:pic>
              </a:graphicData>
            </a:graphic>
          </wp:inline>
        </w:drawing>
      </w:r>
    </w:p>
    <w:p w14:paraId="3C7DD230">
      <w:pPr>
        <w:pStyle w:val="56"/>
        <w:pageBreakBefore w:val="0"/>
        <w:wordWrap w:val="0"/>
        <w:overflowPunct/>
        <w:bidi w:val="0"/>
        <w:ind w:left="0" w:leftChars="0" w:firstLine="0" w:firstLineChars="0"/>
        <w:jc w:val="center"/>
        <w:rPr>
          <w:rFonts w:hint="eastAsia" w:ascii="Times New Roman" w:cs="Times New Roman"/>
          <w:b/>
          <w:bCs/>
          <w:color w:val="auto"/>
          <w:kern w:val="2"/>
          <w:sz w:val="21"/>
          <w:szCs w:val="21"/>
          <w:highlight w:val="none"/>
          <w:vertAlign w:val="baseline"/>
          <w:lang w:val="en-US" w:eastAsia="zh-CN" w:bidi="ar-SA"/>
        </w:rPr>
      </w:pPr>
      <w:r>
        <w:rPr>
          <w:color w:val="auto"/>
          <w:highlight w:val="none"/>
        </w:rPr>
        <w:drawing>
          <wp:inline distT="0" distB="0" distL="114300" distR="114300">
            <wp:extent cx="5608320" cy="7944485"/>
            <wp:effectExtent l="0" t="0" r="11430" b="18415"/>
            <wp:docPr id="25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1"/>
                    <pic:cNvPicPr>
                      <a:picLocks noChangeAspect="1"/>
                    </pic:cNvPicPr>
                  </pic:nvPicPr>
                  <pic:blipFill>
                    <a:blip r:embed="rId148"/>
                    <a:stretch>
                      <a:fillRect/>
                    </a:stretch>
                  </pic:blipFill>
                  <pic:spPr>
                    <a:xfrm>
                      <a:off x="0" y="0"/>
                      <a:ext cx="5608320" cy="7944485"/>
                    </a:xfrm>
                    <a:prstGeom prst="rect">
                      <a:avLst/>
                    </a:prstGeom>
                    <a:noFill/>
                    <a:ln>
                      <a:noFill/>
                    </a:ln>
                  </pic:spPr>
                </pic:pic>
              </a:graphicData>
            </a:graphic>
          </wp:inline>
        </w:drawing>
      </w:r>
    </w:p>
    <w:p w14:paraId="1C8C150C">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r>
        <w:rPr>
          <w:color w:val="auto"/>
          <w:highlight w:val="none"/>
        </w:rPr>
        <w:drawing>
          <wp:inline distT="0" distB="0" distL="114300" distR="114300">
            <wp:extent cx="5609590" cy="7938770"/>
            <wp:effectExtent l="0" t="0" r="10160" b="5080"/>
            <wp:docPr id="25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2"/>
                    <pic:cNvPicPr>
                      <a:picLocks noChangeAspect="1"/>
                    </pic:cNvPicPr>
                  </pic:nvPicPr>
                  <pic:blipFill>
                    <a:blip r:embed="rId149"/>
                    <a:stretch>
                      <a:fillRect/>
                    </a:stretch>
                  </pic:blipFill>
                  <pic:spPr>
                    <a:xfrm>
                      <a:off x="0" y="0"/>
                      <a:ext cx="5609590" cy="7938770"/>
                    </a:xfrm>
                    <a:prstGeom prst="rect">
                      <a:avLst/>
                    </a:prstGeom>
                    <a:noFill/>
                    <a:ln>
                      <a:noFill/>
                    </a:ln>
                  </pic:spPr>
                </pic:pic>
              </a:graphicData>
            </a:graphic>
          </wp:inline>
        </w:drawing>
      </w:r>
    </w:p>
    <w:p w14:paraId="140B9C2B">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p>
    <w:p w14:paraId="335442C0">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p>
    <w:p w14:paraId="0F1B3381">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p>
    <w:p w14:paraId="0906243E">
      <w:pPr>
        <w:spacing w:line="360" w:lineRule="auto"/>
        <w:outlineLvl w:val="0"/>
        <w:rPr>
          <w:b/>
          <w:bCs/>
          <w:color w:val="auto"/>
          <w:sz w:val="24"/>
          <w:szCs w:val="24"/>
          <w:highlight w:val="none"/>
          <w:lang w:bidi="ar"/>
        </w:rPr>
      </w:pPr>
      <w:bookmarkStart w:id="191" w:name="_Toc19146"/>
      <w:r>
        <w:rPr>
          <w:b/>
          <w:bCs/>
          <w:color w:val="auto"/>
          <w:sz w:val="24"/>
          <w:szCs w:val="24"/>
          <w:highlight w:val="none"/>
          <w:lang w:bidi="ar"/>
        </w:rPr>
        <w:t>附件</w:t>
      </w:r>
      <w:r>
        <w:rPr>
          <w:rFonts w:hint="eastAsia" w:ascii="Times New Roman" w:eastAsia="宋体"/>
          <w:b/>
          <w:bCs/>
          <w:color w:val="auto"/>
          <w:sz w:val="24"/>
          <w:szCs w:val="24"/>
          <w:highlight w:val="none"/>
          <w:lang w:val="en-US" w:eastAsia="zh-CN" w:bidi="ar"/>
        </w:rPr>
        <w:t>5-</w:t>
      </w:r>
      <w:r>
        <w:rPr>
          <w:rFonts w:hint="eastAsia"/>
          <w:b/>
          <w:bCs/>
          <w:color w:val="auto"/>
          <w:sz w:val="24"/>
          <w:szCs w:val="24"/>
          <w:highlight w:val="none"/>
          <w:lang w:val="en-US" w:eastAsia="zh-CN" w:bidi="ar"/>
        </w:rPr>
        <w:t>9</w:t>
      </w:r>
      <w:r>
        <w:rPr>
          <w:b/>
          <w:bCs/>
          <w:color w:val="auto"/>
          <w:sz w:val="24"/>
          <w:szCs w:val="24"/>
          <w:highlight w:val="none"/>
        </w:rPr>
        <w:t xml:space="preserve"> </w:t>
      </w:r>
      <w:r>
        <w:rPr>
          <w:rFonts w:hint="eastAsia" w:ascii="Times New Roman" w:eastAsia="宋体"/>
          <w:b/>
          <w:bCs/>
          <w:color w:val="auto"/>
          <w:sz w:val="24"/>
          <w:szCs w:val="24"/>
          <w:highlight w:val="none"/>
          <w:lang w:val="en-US" w:eastAsia="zh-CN"/>
        </w:rPr>
        <w:t>油漆和粉末涂料VOCs含量检测</w:t>
      </w:r>
      <w:r>
        <w:rPr>
          <w:b/>
          <w:bCs/>
          <w:color w:val="auto"/>
          <w:sz w:val="24"/>
          <w:szCs w:val="24"/>
          <w:highlight w:val="none"/>
          <w:lang w:bidi="ar"/>
        </w:rPr>
        <w:t>报告</w:t>
      </w:r>
      <w:bookmarkEnd w:id="191"/>
    </w:p>
    <w:p w14:paraId="3C11E84C">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62" name="图片 50" descr="检测报告(2)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50" descr="检测报告(2)_页面_1"/>
                    <pic:cNvPicPr>
                      <a:picLocks noChangeAspect="1"/>
                    </pic:cNvPicPr>
                  </pic:nvPicPr>
                  <pic:blipFill>
                    <a:blip r:embed="rId150"/>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78" name="图片 51" descr="检测报告(2)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51" descr="检测报告(2)_页面_2"/>
                    <pic:cNvPicPr>
                      <a:picLocks noChangeAspect="1"/>
                    </pic:cNvPicPr>
                  </pic:nvPicPr>
                  <pic:blipFill>
                    <a:blip r:embed="rId151"/>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96" name="图片 52" descr="检测报告(2)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52" descr="检测报告(2)_页面_3"/>
                    <pic:cNvPicPr>
                      <a:picLocks noChangeAspect="1"/>
                    </pic:cNvPicPr>
                  </pic:nvPicPr>
                  <pic:blipFill>
                    <a:blip r:embed="rId152"/>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84" name="图片 53" descr="检测报告(2)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53" descr="检测报告(2)_页面_4"/>
                    <pic:cNvPicPr>
                      <a:picLocks noChangeAspect="1"/>
                    </pic:cNvPicPr>
                  </pic:nvPicPr>
                  <pic:blipFill>
                    <a:blip r:embed="rId153"/>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97" name="图片 54" descr="检测报告(1)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54" descr="检测报告(1)_页面_1"/>
                    <pic:cNvPicPr>
                      <a:picLocks noChangeAspect="1"/>
                    </pic:cNvPicPr>
                  </pic:nvPicPr>
                  <pic:blipFill>
                    <a:blip r:embed="rId154"/>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63" name="图片 55" descr="检测报告(1)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55" descr="检测报告(1)_页面_2"/>
                    <pic:cNvPicPr>
                      <a:picLocks noChangeAspect="1"/>
                    </pic:cNvPicPr>
                  </pic:nvPicPr>
                  <pic:blipFill>
                    <a:blip r:embed="rId155">
                      <a:lum bright="-6000"/>
                    </a:blip>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85" name="图片 56" descr="检测报告(1)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56" descr="检测报告(1)_页面_3"/>
                    <pic:cNvPicPr>
                      <a:picLocks noChangeAspect="1"/>
                    </pic:cNvPicPr>
                  </pic:nvPicPr>
                  <pic:blipFill>
                    <a:blip r:embed="rId156"/>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198" name="图片 57" descr="检测报告(1)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57" descr="检测报告(1)_页面_4"/>
                    <pic:cNvPicPr>
                      <a:picLocks noChangeAspect="1"/>
                    </pic:cNvPicPr>
                  </pic:nvPicPr>
                  <pic:blipFill>
                    <a:blip r:embed="rId157"/>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247" name="图片 58" descr="检测报告(3)_页面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58" descr="检测报告(3)_页面_1"/>
                    <pic:cNvPicPr>
                      <a:picLocks noChangeAspect="1"/>
                    </pic:cNvPicPr>
                  </pic:nvPicPr>
                  <pic:blipFill>
                    <a:blip r:embed="rId158"/>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244" name="图片 59" descr="检测报告(3)_页面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59" descr="检测报告(3)_页面_2"/>
                    <pic:cNvPicPr>
                      <a:picLocks noChangeAspect="1"/>
                    </pic:cNvPicPr>
                  </pic:nvPicPr>
                  <pic:blipFill>
                    <a:blip r:embed="rId159"/>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243" name="图片 60" descr="检测报告(3)_页面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60" descr="检测报告(3)_页面_3"/>
                    <pic:cNvPicPr>
                      <a:picLocks noChangeAspect="1"/>
                    </pic:cNvPicPr>
                  </pic:nvPicPr>
                  <pic:blipFill>
                    <a:blip r:embed="rId160"/>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1640" cy="7785735"/>
            <wp:effectExtent l="0" t="0" r="3810" b="5715"/>
            <wp:docPr id="249" name="图片 61" descr="检测报告(3)_页面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61" descr="检测报告(3)_页面_4"/>
                    <pic:cNvPicPr>
                      <a:picLocks noChangeAspect="1"/>
                    </pic:cNvPicPr>
                  </pic:nvPicPr>
                  <pic:blipFill>
                    <a:blip r:embed="rId161"/>
                    <a:stretch>
                      <a:fillRect/>
                    </a:stretch>
                  </pic:blipFill>
                  <pic:spPr>
                    <a:xfrm>
                      <a:off x="0" y="0"/>
                      <a:ext cx="5501640"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2275" cy="7786370"/>
            <wp:effectExtent l="0" t="0" r="3175" b="5080"/>
            <wp:docPr id="246" name="图片 62" descr="组合 2_页面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62" descr="组合 2_页面_16"/>
                    <pic:cNvPicPr>
                      <a:picLocks noChangeAspect="1"/>
                    </pic:cNvPicPr>
                  </pic:nvPicPr>
                  <pic:blipFill>
                    <a:blip r:embed="rId162"/>
                    <a:stretch>
                      <a:fillRect/>
                    </a:stretch>
                  </pic:blipFill>
                  <pic:spPr>
                    <a:xfrm>
                      <a:off x="0" y="0"/>
                      <a:ext cx="5502275" cy="7786370"/>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2275" cy="7785735"/>
            <wp:effectExtent l="0" t="0" r="3175" b="5715"/>
            <wp:docPr id="248" name="图片 63" descr="组合 2_页面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63" descr="组合 2_页面_17"/>
                    <pic:cNvPicPr>
                      <a:picLocks noChangeAspect="1"/>
                    </pic:cNvPicPr>
                  </pic:nvPicPr>
                  <pic:blipFill>
                    <a:blip r:embed="rId163"/>
                    <a:stretch>
                      <a:fillRect/>
                    </a:stretch>
                  </pic:blipFill>
                  <pic:spPr>
                    <a:xfrm>
                      <a:off x="0" y="0"/>
                      <a:ext cx="5502275" cy="7785735"/>
                    </a:xfrm>
                    <a:prstGeom prst="rect">
                      <a:avLst/>
                    </a:prstGeom>
                    <a:noFill/>
                    <a:ln>
                      <a:noFill/>
                    </a:ln>
                  </pic:spPr>
                </pic:pic>
              </a:graphicData>
            </a:graphic>
          </wp:inline>
        </w:drawing>
      </w:r>
      <w:r>
        <w:rPr>
          <w:rFonts w:hint="eastAsia" w:ascii="Times New Roman" w:hAnsi="Times New Roman" w:eastAsia="宋体" w:cs="Times New Roman"/>
          <w:b/>
          <w:bCs/>
          <w:color w:val="auto"/>
          <w:kern w:val="2"/>
          <w:sz w:val="24"/>
          <w:szCs w:val="24"/>
          <w:highlight w:val="none"/>
          <w:lang w:val="en-US" w:eastAsia="zh-CN" w:bidi="ar"/>
        </w:rPr>
        <w:drawing>
          <wp:inline distT="0" distB="0" distL="114300" distR="114300">
            <wp:extent cx="5502910" cy="7785100"/>
            <wp:effectExtent l="0" t="0" r="2540" b="6350"/>
            <wp:docPr id="245" name="图片 64" descr="组合 2_页面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64" descr="组合 2_页面_18"/>
                    <pic:cNvPicPr>
                      <a:picLocks noChangeAspect="1"/>
                    </pic:cNvPicPr>
                  </pic:nvPicPr>
                  <pic:blipFill>
                    <a:blip r:embed="rId164"/>
                    <a:stretch>
                      <a:fillRect/>
                    </a:stretch>
                  </pic:blipFill>
                  <pic:spPr>
                    <a:xfrm>
                      <a:off x="0" y="0"/>
                      <a:ext cx="5502910" cy="7785100"/>
                    </a:xfrm>
                    <a:prstGeom prst="rect">
                      <a:avLst/>
                    </a:prstGeom>
                    <a:noFill/>
                    <a:ln>
                      <a:noFill/>
                    </a:ln>
                  </pic:spPr>
                </pic:pic>
              </a:graphicData>
            </a:graphic>
          </wp:inline>
        </w:drawing>
      </w:r>
    </w:p>
    <w:p w14:paraId="76C55561">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p>
    <w:p w14:paraId="12A38160">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p>
    <w:p w14:paraId="074A18A8">
      <w:pPr>
        <w:widowControl w:val="0"/>
        <w:spacing w:line="360" w:lineRule="auto"/>
        <w:jc w:val="left"/>
        <w:outlineLvl w:val="9"/>
        <w:rPr>
          <w:rFonts w:hint="eastAsia" w:ascii="Times New Roman" w:hAnsi="Times New Roman" w:eastAsia="宋体" w:cs="Times New Roman"/>
          <w:b/>
          <w:bCs/>
          <w:color w:val="auto"/>
          <w:kern w:val="2"/>
          <w:sz w:val="24"/>
          <w:szCs w:val="24"/>
          <w:highlight w:val="none"/>
          <w:lang w:val="en-US" w:eastAsia="zh-CN" w:bidi="ar"/>
        </w:rPr>
      </w:pPr>
    </w:p>
    <w:p w14:paraId="489711A0">
      <w:pPr>
        <w:rPr>
          <w:color w:val="auto"/>
          <w:highlight w:val="none"/>
        </w:rPr>
        <w:sectPr>
          <w:pgSz w:w="11907" w:h="16840"/>
          <w:pgMar w:top="1531" w:right="1701" w:bottom="1531" w:left="1531" w:header="1020" w:footer="1020" w:gutter="0"/>
          <w:pgBorders>
            <w:top w:val="none" w:sz="0" w:space="0"/>
            <w:left w:val="none" w:sz="0" w:space="0"/>
            <w:bottom w:val="none" w:sz="0" w:space="0"/>
            <w:right w:val="none" w:sz="0" w:space="0"/>
          </w:pgBorders>
          <w:pgNumType w:fmt="decimal"/>
          <w:cols w:space="720" w:num="1"/>
        </w:sectPr>
      </w:pPr>
    </w:p>
    <w:p w14:paraId="7B474B40">
      <w:pPr>
        <w:widowControl w:val="0"/>
        <w:spacing w:line="360" w:lineRule="auto"/>
        <w:jc w:val="left"/>
        <w:outlineLvl w:val="0"/>
        <w:rPr>
          <w:rFonts w:hint="default" w:ascii="Times New Roman" w:hAnsi="Times New Roman" w:eastAsia="宋体" w:cs="Times New Roman"/>
          <w:b/>
          <w:bCs/>
          <w:color w:val="auto"/>
          <w:kern w:val="2"/>
          <w:sz w:val="24"/>
          <w:szCs w:val="24"/>
          <w:highlight w:val="none"/>
          <w:lang w:val="en-US" w:eastAsia="zh-CN" w:bidi="ar"/>
        </w:rPr>
      </w:pPr>
      <w:bookmarkStart w:id="192" w:name="_Toc28463"/>
      <w:bookmarkStart w:id="193" w:name="_Toc19358"/>
      <w:bookmarkStart w:id="194" w:name="_Toc31946"/>
      <w:bookmarkStart w:id="195" w:name="_Toc17981"/>
      <w:r>
        <w:rPr>
          <w:rFonts w:hint="eastAsia" w:ascii="Times New Roman" w:hAnsi="Times New Roman" w:eastAsia="宋体" w:cs="Times New Roman"/>
          <w:b/>
          <w:bCs/>
          <w:color w:val="auto"/>
          <w:kern w:val="2"/>
          <w:sz w:val="24"/>
          <w:szCs w:val="24"/>
          <w:highlight w:val="none"/>
          <w:lang w:val="en-US" w:eastAsia="zh-CN" w:bidi="ar"/>
        </w:rPr>
        <w:t>附件6 环境质量现状监测报告（摘录部分）</w:t>
      </w:r>
      <w:bookmarkEnd w:id="192"/>
      <w:bookmarkEnd w:id="193"/>
      <w:bookmarkEnd w:id="194"/>
      <w:bookmarkEnd w:id="195"/>
    </w:p>
    <w:p w14:paraId="28A4DA66">
      <w:pPr>
        <w:rPr>
          <w:color w:val="auto"/>
          <w:highlight w:val="none"/>
        </w:r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1"/>
      </w:tblGrid>
      <w:tr w14:paraId="3B46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vAlign w:val="center"/>
          </w:tcPr>
          <w:p w14:paraId="6A524BB4">
            <w:pPr>
              <w:widowControl w:val="0"/>
              <w:ind w:left="0" w:leftChars="0" w:firstLine="0" w:firstLineChars="0"/>
              <w:jc w:val="center"/>
              <w:rPr>
                <w:rFonts w:hint="default" w:ascii="Times New Roman" w:hAnsi="Times New Roman" w:eastAsia="宋体" w:cs="Times New Roman"/>
                <w:b/>
                <w:bCs/>
                <w:color w:val="auto"/>
                <w:kern w:val="2"/>
                <w:sz w:val="21"/>
                <w:szCs w:val="21"/>
                <w:highlight w:val="none"/>
                <w:vertAlign w:val="baseline"/>
                <w:lang w:val="en-US" w:eastAsia="zh-CN" w:bidi="ar-SA"/>
              </w:rPr>
            </w:pPr>
            <w:r>
              <w:rPr>
                <w:rFonts w:ascii="宋体" w:hAnsi="Times New Roman" w:eastAsia="宋体" w:cs="Times New Roman"/>
                <w:b/>
                <w:bCs/>
                <w:kern w:val="2"/>
                <w:sz w:val="32"/>
                <w:szCs w:val="32"/>
                <w:lang w:val="en-US" w:eastAsia="zh-CN" w:bidi="ar-SA"/>
              </w:rPr>
              <w:drawing>
                <wp:inline distT="0" distB="0" distL="0" distR="0">
                  <wp:extent cx="5038725" cy="7124700"/>
                  <wp:effectExtent l="0" t="0" r="9525" b="0"/>
                  <wp:docPr id="1123" name="图片 6"/>
                  <wp:cNvGraphicFramePr/>
                  <a:graphic xmlns:a="http://schemas.openxmlformats.org/drawingml/2006/main">
                    <a:graphicData uri="http://schemas.openxmlformats.org/drawingml/2006/picture">
                      <pic:pic xmlns:pic="http://schemas.openxmlformats.org/drawingml/2006/picture">
                        <pic:nvPicPr>
                          <pic:cNvPr id="1123" name="图片 6"/>
                          <pic:cNvPicPr/>
                        </pic:nvPicPr>
                        <pic:blipFill>
                          <a:blip r:embed="rId165" cstate="print"/>
                          <a:srcRect/>
                          <a:stretch>
                            <a:fillRect/>
                          </a:stretch>
                        </pic:blipFill>
                        <pic:spPr>
                          <a:xfrm>
                            <a:off x="0" y="0"/>
                            <a:ext cx="5038725" cy="7124700"/>
                          </a:xfrm>
                          <a:prstGeom prst="rect">
                            <a:avLst/>
                          </a:prstGeom>
                          <a:ln>
                            <a:noFill/>
                          </a:ln>
                        </pic:spPr>
                      </pic:pic>
                    </a:graphicData>
                  </a:graphic>
                </wp:inline>
              </w:drawing>
            </w:r>
          </w:p>
        </w:tc>
      </w:tr>
      <w:tr w14:paraId="755A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tcPr>
          <w:p w14:paraId="2EC7AD7D">
            <w:pPr>
              <w:widowControl w:val="0"/>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ascii="宋体" w:hAnsi="Times New Roman" w:eastAsia="宋体" w:cs="Times New Roman"/>
                <w:b/>
                <w:bCs/>
                <w:kern w:val="2"/>
                <w:sz w:val="32"/>
                <w:szCs w:val="32"/>
                <w:lang w:val="en-US" w:eastAsia="zh-CN" w:bidi="ar-SA"/>
              </w:rPr>
              <w:drawing>
                <wp:inline distT="0" distB="0" distL="0" distR="0">
                  <wp:extent cx="4933950" cy="7077075"/>
                  <wp:effectExtent l="0" t="0" r="0" b="9525"/>
                  <wp:docPr id="1124" name="图片 7"/>
                  <wp:cNvGraphicFramePr/>
                  <a:graphic xmlns:a="http://schemas.openxmlformats.org/drawingml/2006/main">
                    <a:graphicData uri="http://schemas.openxmlformats.org/drawingml/2006/picture">
                      <pic:pic xmlns:pic="http://schemas.openxmlformats.org/drawingml/2006/picture">
                        <pic:nvPicPr>
                          <pic:cNvPr id="1124" name="图片 7"/>
                          <pic:cNvPicPr/>
                        </pic:nvPicPr>
                        <pic:blipFill>
                          <a:blip r:embed="rId166" cstate="print"/>
                          <a:srcRect/>
                          <a:stretch>
                            <a:fillRect/>
                          </a:stretch>
                        </pic:blipFill>
                        <pic:spPr>
                          <a:xfrm>
                            <a:off x="0" y="0"/>
                            <a:ext cx="4933950" cy="7077075"/>
                          </a:xfrm>
                          <a:prstGeom prst="rect">
                            <a:avLst/>
                          </a:prstGeom>
                          <a:ln>
                            <a:noFill/>
                          </a:ln>
                        </pic:spPr>
                      </pic:pic>
                    </a:graphicData>
                  </a:graphic>
                </wp:inline>
              </w:drawing>
            </w:r>
          </w:p>
        </w:tc>
      </w:tr>
      <w:tr w14:paraId="7F89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tcPr>
          <w:p w14:paraId="6D807947">
            <w:pPr>
              <w:widowControl w:val="0"/>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ascii="宋体" w:hAnsi="Times New Roman" w:eastAsia="宋体" w:cs="Times New Roman"/>
                <w:b/>
                <w:bCs/>
                <w:kern w:val="2"/>
                <w:sz w:val="32"/>
                <w:szCs w:val="32"/>
                <w:lang w:val="en-US" w:eastAsia="zh-CN" w:bidi="ar-SA"/>
              </w:rPr>
              <w:drawing>
                <wp:inline distT="0" distB="0" distL="114300" distR="114300">
                  <wp:extent cx="5476875" cy="7810500"/>
                  <wp:effectExtent l="0" t="0" r="9525" b="0"/>
                  <wp:docPr id="1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3"/>
                          <pic:cNvPicPr>
                            <a:picLocks noChangeAspect="1"/>
                          </pic:cNvPicPr>
                        </pic:nvPicPr>
                        <pic:blipFill>
                          <a:blip r:embed="rId167"/>
                          <a:stretch>
                            <a:fillRect/>
                          </a:stretch>
                        </pic:blipFill>
                        <pic:spPr>
                          <a:xfrm>
                            <a:off x="0" y="0"/>
                            <a:ext cx="5476875" cy="7810500"/>
                          </a:xfrm>
                          <a:prstGeom prst="rect">
                            <a:avLst/>
                          </a:prstGeom>
                          <a:noFill/>
                          <a:ln>
                            <a:noFill/>
                          </a:ln>
                        </pic:spPr>
                      </pic:pic>
                    </a:graphicData>
                  </a:graphic>
                </wp:inline>
              </w:drawing>
            </w:r>
            <w:r>
              <w:rPr>
                <w:rFonts w:ascii="宋体" w:hAnsi="Times New Roman" w:eastAsia="宋体" w:cs="Times New Roman"/>
                <w:b/>
                <w:bCs/>
                <w:kern w:val="2"/>
                <w:sz w:val="32"/>
                <w:szCs w:val="32"/>
                <w:lang w:val="en-US" w:eastAsia="zh-CN" w:bidi="ar-SA"/>
              </w:rPr>
              <w:drawing>
                <wp:inline distT="0" distB="0" distL="114300" distR="114300">
                  <wp:extent cx="5257800" cy="7553325"/>
                  <wp:effectExtent l="0" t="0" r="0" b="9525"/>
                  <wp:docPr id="18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4"/>
                          <pic:cNvPicPr>
                            <a:picLocks noChangeAspect="1"/>
                          </pic:cNvPicPr>
                        </pic:nvPicPr>
                        <pic:blipFill>
                          <a:blip r:embed="rId168"/>
                          <a:stretch>
                            <a:fillRect/>
                          </a:stretch>
                        </pic:blipFill>
                        <pic:spPr>
                          <a:xfrm>
                            <a:off x="0" y="0"/>
                            <a:ext cx="5257800" cy="7553325"/>
                          </a:xfrm>
                          <a:prstGeom prst="rect">
                            <a:avLst/>
                          </a:prstGeom>
                          <a:noFill/>
                          <a:ln>
                            <a:noFill/>
                          </a:ln>
                        </pic:spPr>
                      </pic:pic>
                    </a:graphicData>
                  </a:graphic>
                </wp:inline>
              </w:drawing>
            </w:r>
            <w:r>
              <w:rPr>
                <w:rFonts w:ascii="宋体" w:hAnsi="Times New Roman" w:eastAsia="宋体" w:cs="Times New Roman"/>
                <w:b/>
                <w:bCs/>
                <w:kern w:val="2"/>
                <w:sz w:val="32"/>
                <w:szCs w:val="32"/>
                <w:lang w:val="en-US" w:eastAsia="zh-CN" w:bidi="ar-SA"/>
              </w:rPr>
              <w:drawing>
                <wp:inline distT="0" distB="0" distL="0" distR="0">
                  <wp:extent cx="5057775" cy="7105650"/>
                  <wp:effectExtent l="0" t="0" r="9525" b="0"/>
                  <wp:docPr id="1125" name="图片 1"/>
                  <wp:cNvGraphicFramePr/>
                  <a:graphic xmlns:a="http://schemas.openxmlformats.org/drawingml/2006/main">
                    <a:graphicData uri="http://schemas.openxmlformats.org/drawingml/2006/picture">
                      <pic:pic xmlns:pic="http://schemas.openxmlformats.org/drawingml/2006/picture">
                        <pic:nvPicPr>
                          <pic:cNvPr id="1125" name="图片 1"/>
                          <pic:cNvPicPr/>
                        </pic:nvPicPr>
                        <pic:blipFill>
                          <a:blip r:embed="rId169" cstate="print"/>
                          <a:srcRect/>
                          <a:stretch>
                            <a:fillRect/>
                          </a:stretch>
                        </pic:blipFill>
                        <pic:spPr>
                          <a:xfrm>
                            <a:off x="0" y="0"/>
                            <a:ext cx="5057775" cy="7105650"/>
                          </a:xfrm>
                          <a:prstGeom prst="rect">
                            <a:avLst/>
                          </a:prstGeom>
                          <a:ln>
                            <a:noFill/>
                          </a:ln>
                        </pic:spPr>
                      </pic:pic>
                    </a:graphicData>
                  </a:graphic>
                </wp:inline>
              </w:drawing>
            </w:r>
          </w:p>
        </w:tc>
      </w:tr>
      <w:tr w14:paraId="7C7F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tcPr>
          <w:p w14:paraId="4600FC8C">
            <w:pPr>
              <w:widowControl w:val="0"/>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ascii="宋体" w:hAnsi="Times New Roman" w:eastAsia="宋体" w:cs="Times New Roman"/>
                <w:b/>
                <w:bCs/>
                <w:kern w:val="2"/>
                <w:sz w:val="32"/>
                <w:szCs w:val="32"/>
                <w:lang w:val="en-US" w:eastAsia="zh-CN" w:bidi="ar-SA"/>
              </w:rPr>
              <w:drawing>
                <wp:inline distT="0" distB="0" distL="0" distR="0">
                  <wp:extent cx="4991100" cy="6962775"/>
                  <wp:effectExtent l="0" t="0" r="0" b="9525"/>
                  <wp:docPr id="1126" name="图片 2"/>
                  <wp:cNvGraphicFramePr/>
                  <a:graphic xmlns:a="http://schemas.openxmlformats.org/drawingml/2006/main">
                    <a:graphicData uri="http://schemas.openxmlformats.org/drawingml/2006/picture">
                      <pic:pic xmlns:pic="http://schemas.openxmlformats.org/drawingml/2006/picture">
                        <pic:nvPicPr>
                          <pic:cNvPr id="1126" name="图片 2"/>
                          <pic:cNvPicPr/>
                        </pic:nvPicPr>
                        <pic:blipFill>
                          <a:blip r:embed="rId170" cstate="print"/>
                          <a:srcRect/>
                          <a:stretch>
                            <a:fillRect/>
                          </a:stretch>
                        </pic:blipFill>
                        <pic:spPr>
                          <a:xfrm>
                            <a:off x="0" y="0"/>
                            <a:ext cx="4991100" cy="6962775"/>
                          </a:xfrm>
                          <a:prstGeom prst="rect">
                            <a:avLst/>
                          </a:prstGeom>
                          <a:ln>
                            <a:noFill/>
                          </a:ln>
                        </pic:spPr>
                      </pic:pic>
                    </a:graphicData>
                  </a:graphic>
                </wp:inline>
              </w:drawing>
            </w:r>
            <w:r>
              <w:rPr>
                <w:rFonts w:ascii="宋体" w:hAnsi="Times New Roman" w:eastAsia="宋体" w:cs="Times New Roman"/>
                <w:b/>
                <w:bCs/>
                <w:kern w:val="2"/>
                <w:sz w:val="32"/>
                <w:szCs w:val="32"/>
                <w:lang w:val="en-US" w:eastAsia="zh-CN" w:bidi="ar-SA"/>
              </w:rPr>
              <w:drawing>
                <wp:inline distT="0" distB="0" distL="0" distR="0">
                  <wp:extent cx="4991100" cy="7077075"/>
                  <wp:effectExtent l="0" t="0" r="0" b="9525"/>
                  <wp:docPr id="1127" name="图片 3"/>
                  <wp:cNvGraphicFramePr/>
                  <a:graphic xmlns:a="http://schemas.openxmlformats.org/drawingml/2006/main">
                    <a:graphicData uri="http://schemas.openxmlformats.org/drawingml/2006/picture">
                      <pic:pic xmlns:pic="http://schemas.openxmlformats.org/drawingml/2006/picture">
                        <pic:nvPicPr>
                          <pic:cNvPr id="1127" name="图片 3"/>
                          <pic:cNvPicPr/>
                        </pic:nvPicPr>
                        <pic:blipFill>
                          <a:blip r:embed="rId171" cstate="print"/>
                          <a:srcRect/>
                          <a:stretch>
                            <a:fillRect/>
                          </a:stretch>
                        </pic:blipFill>
                        <pic:spPr>
                          <a:xfrm>
                            <a:off x="0" y="0"/>
                            <a:ext cx="4991100" cy="7077075"/>
                          </a:xfrm>
                          <a:prstGeom prst="rect">
                            <a:avLst/>
                          </a:prstGeom>
                          <a:ln>
                            <a:noFill/>
                          </a:ln>
                        </pic:spPr>
                      </pic:pic>
                    </a:graphicData>
                  </a:graphic>
                </wp:inline>
              </w:drawing>
            </w:r>
          </w:p>
        </w:tc>
      </w:tr>
      <w:tr w14:paraId="02B4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88" w:type="dxa"/>
          </w:tcPr>
          <w:p w14:paraId="2DB59297">
            <w:pPr>
              <w:widowControl w:val="0"/>
              <w:ind w:left="0" w:leftChars="0"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ascii="宋体" w:hAnsi="Times New Roman" w:eastAsia="宋体" w:cs="Times New Roman"/>
                <w:b/>
                <w:bCs/>
                <w:kern w:val="2"/>
                <w:sz w:val="32"/>
                <w:szCs w:val="32"/>
                <w:lang w:val="en-US" w:eastAsia="zh-CN" w:bidi="ar-SA"/>
              </w:rPr>
              <w:drawing>
                <wp:inline distT="0" distB="0" distL="0" distR="0">
                  <wp:extent cx="5572125" cy="7905115"/>
                  <wp:effectExtent l="0" t="0" r="9525" b="635"/>
                  <wp:docPr id="1129" name="图片 5"/>
                  <wp:cNvGraphicFramePr/>
                  <a:graphic xmlns:a="http://schemas.openxmlformats.org/drawingml/2006/main">
                    <a:graphicData uri="http://schemas.openxmlformats.org/drawingml/2006/picture">
                      <pic:pic xmlns:pic="http://schemas.openxmlformats.org/drawingml/2006/picture">
                        <pic:nvPicPr>
                          <pic:cNvPr id="1129" name="图片 5"/>
                          <pic:cNvPicPr/>
                        </pic:nvPicPr>
                        <pic:blipFill>
                          <a:blip r:embed="rId172" cstate="print"/>
                          <a:srcRect/>
                          <a:stretch>
                            <a:fillRect/>
                          </a:stretch>
                        </pic:blipFill>
                        <pic:spPr>
                          <a:xfrm>
                            <a:off x="0" y="0"/>
                            <a:ext cx="5572125" cy="7905749"/>
                          </a:xfrm>
                          <a:prstGeom prst="rect">
                            <a:avLst/>
                          </a:prstGeom>
                          <a:ln>
                            <a:noFill/>
                          </a:ln>
                        </pic:spPr>
                      </pic:pic>
                    </a:graphicData>
                  </a:graphic>
                </wp:inline>
              </w:drawing>
            </w:r>
          </w:p>
        </w:tc>
      </w:tr>
    </w:tbl>
    <w:p w14:paraId="61E1DCF4">
      <w:pPr>
        <w:rPr>
          <w:color w:val="auto"/>
          <w:highlight w:val="none"/>
        </w:rPr>
        <w:sectPr>
          <w:pgSz w:w="11907" w:h="16840"/>
          <w:pgMar w:top="1531" w:right="1701" w:bottom="1531" w:left="1531" w:header="1020" w:footer="1020" w:gutter="0"/>
          <w:pgBorders>
            <w:top w:val="none" w:sz="0" w:space="0"/>
            <w:left w:val="none" w:sz="0" w:space="0"/>
            <w:bottom w:val="none" w:sz="0" w:space="0"/>
            <w:right w:val="none" w:sz="0" w:space="0"/>
          </w:pgBorders>
          <w:pgNumType w:fmt="decimal"/>
          <w:cols w:space="720" w:num="1"/>
        </w:sectPr>
      </w:pPr>
    </w:p>
    <w:p w14:paraId="0D904B51">
      <w:pPr>
        <w:spacing w:line="360" w:lineRule="auto"/>
        <w:outlineLvl w:val="0"/>
        <w:rPr>
          <w:rFonts w:hint="eastAsia"/>
          <w:b/>
          <w:bCs/>
          <w:color w:val="auto"/>
          <w:sz w:val="24"/>
          <w:szCs w:val="24"/>
          <w:highlight w:val="none"/>
          <w:lang w:val="en-US" w:eastAsia="zh-CN"/>
        </w:rPr>
      </w:pPr>
      <w:bookmarkStart w:id="196" w:name="_Toc24822"/>
      <w:bookmarkStart w:id="197" w:name="_Toc3631"/>
      <w:bookmarkStart w:id="198" w:name="_Toc11455"/>
      <w:bookmarkStart w:id="199" w:name="_Toc17057"/>
      <w:bookmarkStart w:id="200" w:name="_Toc32"/>
      <w:bookmarkStart w:id="201" w:name="_Toc30993"/>
      <w:bookmarkStart w:id="202" w:name="_Toc6045"/>
      <w:r>
        <w:rPr>
          <w:rFonts w:hint="eastAsia" w:ascii="Times New Roman" w:eastAsia="宋体"/>
          <w:b/>
          <w:bCs/>
          <w:color w:val="auto"/>
          <w:sz w:val="24"/>
          <w:szCs w:val="24"/>
          <w:highlight w:val="none"/>
          <w:lang w:val="en-US" w:eastAsia="zh-CN"/>
        </w:rPr>
        <w:t>附件7 武江中钛的监测数据（引用摘录）</w:t>
      </w:r>
      <w:bookmarkEnd w:id="196"/>
      <w:bookmarkEnd w:id="197"/>
      <w:bookmarkEnd w:id="198"/>
      <w:bookmarkEnd w:id="199"/>
    </w:p>
    <w:p w14:paraId="49444490">
      <w:pPr>
        <w:rPr>
          <w:color w:val="auto"/>
          <w:highlight w:val="none"/>
        </w:rPr>
        <w:sectPr>
          <w:pgSz w:w="11907" w:h="16840"/>
          <w:pgMar w:top="1531" w:right="1701" w:bottom="1531" w:left="1531" w:header="1020" w:footer="1020" w:gutter="0"/>
          <w:pgBorders>
            <w:top w:val="none" w:sz="0" w:space="0"/>
            <w:left w:val="none" w:sz="0" w:space="0"/>
            <w:bottom w:val="none" w:sz="0" w:space="0"/>
            <w:right w:val="none" w:sz="0" w:space="0"/>
          </w:pgBorders>
          <w:pgNumType w:fmt="decimal"/>
          <w:cols w:space="720" w:num="1"/>
        </w:sectPr>
      </w:pPr>
      <w:r>
        <w:rPr>
          <w:rFonts w:hint="eastAsia" w:ascii="Times New Roman" w:eastAsia="宋体"/>
          <w:b/>
          <w:bCs/>
          <w:color w:val="auto"/>
          <w:highlight w:val="none"/>
          <w:lang w:val="en-US" w:eastAsia="zh-CN"/>
        </w:rPr>
        <w:drawing>
          <wp:inline distT="0" distB="0" distL="114300" distR="114300">
            <wp:extent cx="5749925" cy="8134985"/>
            <wp:effectExtent l="0" t="0" r="3175" b="18415"/>
            <wp:docPr id="164" name="图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551"/>
                    <pic:cNvPicPr>
                      <a:picLocks noChangeAspect="1"/>
                    </pic:cNvPicPr>
                  </pic:nvPicPr>
                  <pic:blipFill>
                    <a:blip r:embed="rId173"/>
                    <a:stretch>
                      <a:fillRect/>
                    </a:stretch>
                  </pic:blipFill>
                  <pic:spPr>
                    <a:xfrm>
                      <a:off x="0" y="0"/>
                      <a:ext cx="5749925" cy="8134985"/>
                    </a:xfrm>
                    <a:prstGeom prst="rect">
                      <a:avLst/>
                    </a:prstGeom>
                    <a:noFill/>
                    <a:ln>
                      <a:noFill/>
                    </a:ln>
                  </pic:spPr>
                </pic:pic>
              </a:graphicData>
            </a:graphic>
          </wp:inline>
        </w:drawing>
      </w:r>
      <w:r>
        <w:rPr>
          <w:rFonts w:hint="eastAsia" w:ascii="Times New Roman" w:eastAsia="宋体"/>
          <w:b/>
          <w:bCs/>
          <w:color w:val="auto"/>
          <w:highlight w:val="none"/>
          <w:lang w:val="en-US" w:eastAsia="zh-CN"/>
        </w:rPr>
        <w:drawing>
          <wp:inline distT="0" distB="0" distL="114300" distR="114300">
            <wp:extent cx="5749925" cy="8134985"/>
            <wp:effectExtent l="0" t="0" r="3175" b="18415"/>
            <wp:docPr id="165"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552"/>
                    <pic:cNvPicPr>
                      <a:picLocks noChangeAspect="1"/>
                    </pic:cNvPicPr>
                  </pic:nvPicPr>
                  <pic:blipFill>
                    <a:blip r:embed="rId174"/>
                    <a:stretch>
                      <a:fillRect/>
                    </a:stretch>
                  </pic:blipFill>
                  <pic:spPr>
                    <a:xfrm>
                      <a:off x="0" y="0"/>
                      <a:ext cx="5749925" cy="8134985"/>
                    </a:xfrm>
                    <a:prstGeom prst="rect">
                      <a:avLst/>
                    </a:prstGeom>
                    <a:noFill/>
                    <a:ln>
                      <a:noFill/>
                    </a:ln>
                  </pic:spPr>
                </pic:pic>
              </a:graphicData>
            </a:graphic>
          </wp:inline>
        </w:drawing>
      </w:r>
      <w:r>
        <w:rPr>
          <w:rFonts w:hint="eastAsia" w:ascii="Times New Roman" w:eastAsia="宋体"/>
          <w:b/>
          <w:bCs/>
          <w:color w:val="auto"/>
          <w:highlight w:val="none"/>
          <w:lang w:val="en-US" w:eastAsia="zh-CN"/>
        </w:rPr>
        <w:drawing>
          <wp:inline distT="0" distB="0" distL="114300" distR="114300">
            <wp:extent cx="5749925" cy="8134985"/>
            <wp:effectExtent l="0" t="0" r="3175" b="18415"/>
            <wp:docPr id="87" name="图片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553"/>
                    <pic:cNvPicPr>
                      <a:picLocks noChangeAspect="1"/>
                    </pic:cNvPicPr>
                  </pic:nvPicPr>
                  <pic:blipFill>
                    <a:blip r:embed="rId175"/>
                    <a:stretch>
                      <a:fillRect/>
                    </a:stretch>
                  </pic:blipFill>
                  <pic:spPr>
                    <a:xfrm>
                      <a:off x="0" y="0"/>
                      <a:ext cx="5749925" cy="8134985"/>
                    </a:xfrm>
                    <a:prstGeom prst="rect">
                      <a:avLst/>
                    </a:prstGeom>
                    <a:noFill/>
                    <a:ln>
                      <a:noFill/>
                    </a:ln>
                  </pic:spPr>
                </pic:pic>
              </a:graphicData>
            </a:graphic>
          </wp:inline>
        </w:drawing>
      </w:r>
      <w:r>
        <w:rPr>
          <w:rFonts w:hint="eastAsia" w:ascii="Times New Roman" w:eastAsia="宋体"/>
          <w:b/>
          <w:bCs/>
          <w:color w:val="auto"/>
          <w:highlight w:val="none"/>
          <w:lang w:val="en-US" w:eastAsia="zh-CN"/>
        </w:rPr>
        <w:drawing>
          <wp:inline distT="0" distB="0" distL="114300" distR="114300">
            <wp:extent cx="5749925" cy="8134985"/>
            <wp:effectExtent l="0" t="0" r="3175" b="18415"/>
            <wp:docPr id="90" name="图片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554"/>
                    <pic:cNvPicPr>
                      <a:picLocks noChangeAspect="1"/>
                    </pic:cNvPicPr>
                  </pic:nvPicPr>
                  <pic:blipFill>
                    <a:blip r:embed="rId176"/>
                    <a:stretch>
                      <a:fillRect/>
                    </a:stretch>
                  </pic:blipFill>
                  <pic:spPr>
                    <a:xfrm>
                      <a:off x="0" y="0"/>
                      <a:ext cx="5749925" cy="8134985"/>
                    </a:xfrm>
                    <a:prstGeom prst="rect">
                      <a:avLst/>
                    </a:prstGeom>
                    <a:noFill/>
                    <a:ln>
                      <a:noFill/>
                    </a:ln>
                  </pic:spPr>
                </pic:pic>
              </a:graphicData>
            </a:graphic>
          </wp:inline>
        </w:drawing>
      </w:r>
      <w:r>
        <w:rPr>
          <w:rFonts w:hint="eastAsia" w:ascii="Times New Roman" w:eastAsia="宋体"/>
          <w:b/>
          <w:bCs/>
          <w:color w:val="auto"/>
          <w:highlight w:val="none"/>
          <w:lang w:val="en-US" w:eastAsia="zh-CN"/>
        </w:rPr>
        <w:drawing>
          <wp:inline distT="0" distB="0" distL="114300" distR="114300">
            <wp:extent cx="5749925" cy="8134985"/>
            <wp:effectExtent l="0" t="0" r="3175" b="18415"/>
            <wp:docPr id="173"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555"/>
                    <pic:cNvPicPr>
                      <a:picLocks noChangeAspect="1"/>
                    </pic:cNvPicPr>
                  </pic:nvPicPr>
                  <pic:blipFill>
                    <a:blip r:embed="rId177"/>
                    <a:stretch>
                      <a:fillRect/>
                    </a:stretch>
                  </pic:blipFill>
                  <pic:spPr>
                    <a:xfrm>
                      <a:off x="0" y="0"/>
                      <a:ext cx="5749925" cy="8134985"/>
                    </a:xfrm>
                    <a:prstGeom prst="rect">
                      <a:avLst/>
                    </a:prstGeom>
                    <a:noFill/>
                    <a:ln>
                      <a:noFill/>
                    </a:ln>
                  </pic:spPr>
                </pic:pic>
              </a:graphicData>
            </a:graphic>
          </wp:inline>
        </w:drawing>
      </w:r>
    </w:p>
    <w:p w14:paraId="5A9D7902">
      <w:pPr>
        <w:spacing w:line="360" w:lineRule="auto"/>
        <w:outlineLvl w:val="0"/>
        <w:rPr>
          <w:rFonts w:hint="eastAsia" w:ascii="Times New Roman" w:eastAsia="宋体"/>
          <w:b/>
          <w:bCs/>
          <w:color w:val="auto"/>
          <w:sz w:val="24"/>
          <w:szCs w:val="24"/>
          <w:highlight w:val="none"/>
          <w:lang w:val="en-US" w:eastAsia="zh-CN"/>
        </w:rPr>
      </w:pPr>
      <w:bookmarkStart w:id="203" w:name="_Toc30277"/>
      <w:r>
        <w:rPr>
          <w:rFonts w:hint="eastAsia" w:ascii="Times New Roman" w:eastAsia="宋体"/>
          <w:b/>
          <w:bCs/>
          <w:color w:val="auto"/>
          <w:sz w:val="24"/>
          <w:szCs w:val="24"/>
          <w:highlight w:val="none"/>
          <w:lang w:val="en-US" w:eastAsia="zh-CN"/>
        </w:rPr>
        <w:t>附件8 废水水质监测报告（引用摘录）</w:t>
      </w:r>
      <w:bookmarkEnd w:id="200"/>
      <w:bookmarkEnd w:id="201"/>
      <w:bookmarkEnd w:id="202"/>
      <w:bookmarkEnd w:id="203"/>
    </w:p>
    <w:p w14:paraId="58EF1B2D">
      <w:pPr>
        <w:pStyle w:val="2"/>
        <w:rPr>
          <w:rFonts w:hint="default"/>
          <w:lang w:val="en-US" w:eastAsia="zh-CN"/>
        </w:rPr>
      </w:pPr>
      <w:r>
        <w:drawing>
          <wp:inline distT="0" distB="0" distL="114300" distR="114300">
            <wp:extent cx="5219700" cy="3743325"/>
            <wp:effectExtent l="0" t="0" r="0" b="9525"/>
            <wp:docPr id="14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3"/>
                    <pic:cNvPicPr>
                      <a:picLocks noChangeAspect="1"/>
                    </pic:cNvPicPr>
                  </pic:nvPicPr>
                  <pic:blipFill>
                    <a:blip r:embed="rId178"/>
                    <a:stretch>
                      <a:fillRect/>
                    </a:stretch>
                  </pic:blipFill>
                  <pic:spPr>
                    <a:xfrm>
                      <a:off x="0" y="0"/>
                      <a:ext cx="5219700" cy="3743325"/>
                    </a:xfrm>
                    <a:prstGeom prst="rect">
                      <a:avLst/>
                    </a:prstGeom>
                    <a:noFill/>
                    <a:ln>
                      <a:noFill/>
                    </a:ln>
                  </pic:spPr>
                </pic:pic>
              </a:graphicData>
            </a:graphic>
          </wp:inline>
        </w:drawing>
      </w:r>
    </w:p>
    <w:bookmarkEnd w:id="175"/>
    <w:p w14:paraId="414783B5">
      <w:pPr>
        <w:rPr>
          <w:color w:val="auto"/>
          <w:highlight w:val="none"/>
        </w:rPr>
        <w:sectPr>
          <w:pgSz w:w="11907" w:h="16840"/>
          <w:pgMar w:top="1531" w:right="1701" w:bottom="1531" w:left="1531" w:header="1020" w:footer="1020" w:gutter="0"/>
          <w:pgBorders>
            <w:top w:val="none" w:sz="0" w:space="0"/>
            <w:left w:val="none" w:sz="0" w:space="0"/>
            <w:bottom w:val="none" w:sz="0" w:space="0"/>
            <w:right w:val="none" w:sz="0" w:space="0"/>
          </w:pgBorders>
          <w:pgNumType w:fmt="decimal"/>
          <w:cols w:space="720" w:num="1"/>
        </w:sectPr>
      </w:pPr>
      <w:r>
        <w:drawing>
          <wp:inline distT="0" distB="0" distL="114300" distR="114300">
            <wp:extent cx="5000625" cy="6962775"/>
            <wp:effectExtent l="0" t="0" r="9525" b="9525"/>
            <wp:docPr id="9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3"/>
                    <pic:cNvPicPr>
                      <a:picLocks noChangeAspect="1"/>
                    </pic:cNvPicPr>
                  </pic:nvPicPr>
                  <pic:blipFill>
                    <a:blip r:embed="rId179"/>
                    <a:stretch>
                      <a:fillRect/>
                    </a:stretch>
                  </pic:blipFill>
                  <pic:spPr>
                    <a:xfrm>
                      <a:off x="0" y="0"/>
                      <a:ext cx="5000625" cy="6962775"/>
                    </a:xfrm>
                    <a:prstGeom prst="rect">
                      <a:avLst/>
                    </a:prstGeom>
                    <a:noFill/>
                    <a:ln>
                      <a:noFill/>
                    </a:ln>
                  </pic:spPr>
                </pic:pic>
              </a:graphicData>
            </a:graphic>
          </wp:inline>
        </w:drawing>
      </w:r>
    </w:p>
    <w:p w14:paraId="224BE413">
      <w:pPr>
        <w:spacing w:line="360" w:lineRule="auto"/>
        <w:outlineLvl w:val="0"/>
        <w:rPr>
          <w:rFonts w:hint="default" w:ascii="Times New Roman" w:hAnsi="Times New Roman" w:eastAsia="宋体" w:cs="Times New Roman"/>
          <w:b/>
          <w:bCs/>
          <w:color w:val="auto"/>
          <w:sz w:val="24"/>
          <w:szCs w:val="24"/>
          <w:highlight w:val="none"/>
          <w:lang w:val="en-US" w:eastAsia="zh-CN"/>
        </w:rPr>
      </w:pPr>
      <w:bookmarkStart w:id="204" w:name="_Toc19394"/>
      <w:r>
        <w:rPr>
          <w:rFonts w:hint="eastAsia" w:cs="Times New Roman"/>
          <w:b/>
          <w:bCs/>
          <w:color w:val="auto"/>
          <w:sz w:val="24"/>
          <w:szCs w:val="24"/>
          <w:highlight w:val="none"/>
          <w:lang w:val="en-US" w:eastAsia="zh-CN"/>
        </w:rPr>
        <w:t>附件9 总量替代指标来源复函</w:t>
      </w:r>
      <w:bookmarkEnd w:id="204"/>
    </w:p>
    <w:p w14:paraId="0BBD92FD">
      <w:pPr>
        <w:rPr>
          <w:color w:val="auto"/>
          <w:highlight w:val="none"/>
        </w:rPr>
      </w:pPr>
    </w:p>
    <w:p w14:paraId="68E31EA6">
      <w:pPr>
        <w:rPr>
          <w:color w:val="auto"/>
          <w:highlight w:val="none"/>
        </w:rPr>
      </w:pPr>
    </w:p>
    <w:p w14:paraId="21FC2036">
      <w:pPr>
        <w:widowControl w:val="0"/>
        <w:autoSpaceDE w:val="0"/>
        <w:autoSpaceDN w:val="0"/>
        <w:adjustRightInd w:val="0"/>
        <w:jc w:val="both"/>
        <w:rPr>
          <w:rFonts w:ascii="宋体....." w:hAnsi="Times New Roman" w:eastAsia="宋体....." w:cs="宋体....."/>
          <w:color w:val="000000"/>
          <w:kern w:val="2"/>
          <w:sz w:val="24"/>
          <w:szCs w:val="24"/>
          <w:lang w:val="en-US" w:eastAsia="zh-CN" w:bidi="ar-SA"/>
        </w:rPr>
      </w:pPr>
    </w:p>
    <w:p w14:paraId="24DC0003">
      <w:pPr>
        <w:widowControl w:val="0"/>
        <w:autoSpaceDE w:val="0"/>
        <w:autoSpaceDN w:val="0"/>
        <w:adjustRightInd w:val="0"/>
        <w:jc w:val="both"/>
        <w:rPr>
          <w:rFonts w:ascii="宋体....." w:hAnsi="Times New Roman" w:eastAsia="宋体....." w:cs="宋体....."/>
          <w:color w:val="auto"/>
          <w:kern w:val="2"/>
          <w:sz w:val="24"/>
          <w:szCs w:val="24"/>
          <w:highlight w:val="none"/>
          <w:lang w:val="en-US" w:eastAsia="zh-CN" w:bidi="ar-SA"/>
        </w:rPr>
      </w:pPr>
    </w:p>
    <w:p w14:paraId="32F506DB">
      <w:pPr>
        <w:rPr>
          <w:color w:val="auto"/>
          <w:highlight w:val="none"/>
        </w:rPr>
      </w:pPr>
    </w:p>
    <w:p w14:paraId="59424F04">
      <w:pPr>
        <w:rPr>
          <w:rFonts w:hint="default"/>
          <w:color w:val="auto"/>
          <w:highlight w:val="none"/>
        </w:rPr>
      </w:pPr>
    </w:p>
    <w:p w14:paraId="1FEE28E4"/>
    <w:p w14:paraId="07BE6689">
      <w:pPr>
        <w:pStyle w:val="2"/>
        <w:rPr>
          <w:rFonts w:hint="default"/>
        </w:rPr>
      </w:pPr>
    </w:p>
    <w:sectPr>
      <w:headerReference r:id="rId16" w:type="default"/>
      <w:footerReference r:id="rId17" w:type="default"/>
      <w:pgSz w:w="11907" w:h="16840"/>
      <w:pgMar w:top="1531" w:right="1701" w:bottom="1531" w:left="1531" w:header="1020" w:footer="1020"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02"/>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宋体.....">
    <w:altName w:val="宋体"/>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7F" w:usb3="00000000" w:csb0="203F01FF" w:csb1="DFFF0000"/>
  </w:font>
  <w:font w:name="Cambria">
    <w:panose1 w:val="02040503050406030204"/>
    <w:charset w:val="00"/>
    <w:family w:val="roman"/>
    <w:pitch w:val="default"/>
    <w:sig w:usb0="E00002FF" w:usb1="400004FF" w:usb2="00000000" w:usb3="00000000" w:csb0="2000019F" w:csb1="00000000"/>
  </w:font>
  <w:font w:name="Tahoma">
    <w:panose1 w:val="020B0604030504040204"/>
    <w:charset w:val="00"/>
    <w:family w:val="auto"/>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10022FF" w:usb1="C000E47F" w:usb2="00000029" w:usb3="00000000" w:csb0="200001DF" w:csb1="2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61E63">
    <w:pPr>
      <w:pStyle w:val="3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2A7AD">
    <w:pPr>
      <w:pStyle w:val="38"/>
      <w:framePr w:wrap="around" w:vAnchor="text" w:hAnchor="margin" w:xAlign="center" w:y="1"/>
      <w:rPr>
        <w:rStyle w:val="52"/>
      </w:rPr>
    </w:pPr>
    <w:r>
      <w:fldChar w:fldCharType="begin"/>
    </w:r>
    <w:r>
      <w:rPr>
        <w:rStyle w:val="52"/>
      </w:rPr>
      <w:instrText xml:space="preserve">PAGE  </w:instrText>
    </w:r>
    <w:r>
      <w:fldChar w:fldCharType="end"/>
    </w:r>
  </w:p>
  <w:p w14:paraId="42BE60E2">
    <w:pPr>
      <w:pStyle w:val="3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93127">
    <w:pPr>
      <w:pStyle w:val="38"/>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9" name="文本框 20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CFB8CD">
                          <w:pPr>
                            <w:pStyle w:val="38"/>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Fonts w:ascii="宋体" w:hAnsi="宋体"/>
                              <w:sz w:val="26"/>
                              <w:szCs w:val="26"/>
                            </w:rPr>
                            <w:fldChar w:fldCharType="begin"/>
                          </w:r>
                          <w:r>
                            <w:rPr>
                              <w:rStyle w:val="52"/>
                              <w:rFonts w:ascii="宋体" w:hAnsi="宋体"/>
                              <w:sz w:val="26"/>
                              <w:szCs w:val="26"/>
                            </w:rPr>
                            <w:instrText xml:space="preserve">PAGE  </w:instrText>
                          </w:r>
                          <w:r>
                            <w:rPr>
                              <w:rFonts w:ascii="宋体" w:hAnsi="宋体"/>
                              <w:sz w:val="26"/>
                              <w:szCs w:val="26"/>
                            </w:rPr>
                            <w:fldChar w:fldCharType="separate"/>
                          </w:r>
                          <w:r>
                            <w:rPr>
                              <w:rStyle w:val="52"/>
                              <w:rFonts w:ascii="宋体" w:hAnsi="宋体"/>
                              <w:sz w:val="26"/>
                              <w:szCs w:val="26"/>
                            </w:rPr>
                            <w:t>9</w:t>
                          </w:r>
                          <w:r>
                            <w:rPr>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2058"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BQQ7by4QEAAMMDAAAOAAAA&#10;AAAAAAEAIAAAAB4BAABkcnMvZTJvRG9jLnhtbFBLBQYAAAAABgAGAFkBAABxBQAAAAA=&#10;">
              <v:fill on="f" focussize="0,0"/>
              <v:stroke on="f"/>
              <v:imagedata o:title=""/>
              <o:lock v:ext="edit" aspectratio="f"/>
              <v:textbox inset="0mm,0mm,0mm,0mm" style="mso-fit-shape-to-text:t;">
                <w:txbxContent>
                  <w:p w14:paraId="37CFB8CD">
                    <w:pPr>
                      <w:pStyle w:val="38"/>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Fonts w:ascii="宋体" w:hAnsi="宋体"/>
                        <w:sz w:val="26"/>
                        <w:szCs w:val="26"/>
                      </w:rPr>
                      <w:fldChar w:fldCharType="begin"/>
                    </w:r>
                    <w:r>
                      <w:rPr>
                        <w:rStyle w:val="52"/>
                        <w:rFonts w:ascii="宋体" w:hAnsi="宋体"/>
                        <w:sz w:val="26"/>
                        <w:szCs w:val="26"/>
                      </w:rPr>
                      <w:instrText xml:space="preserve">PAGE  </w:instrText>
                    </w:r>
                    <w:r>
                      <w:rPr>
                        <w:rFonts w:ascii="宋体" w:hAnsi="宋体"/>
                        <w:sz w:val="26"/>
                        <w:szCs w:val="26"/>
                      </w:rPr>
                      <w:fldChar w:fldCharType="separate"/>
                    </w:r>
                    <w:r>
                      <w:rPr>
                        <w:rStyle w:val="52"/>
                        <w:rFonts w:ascii="宋体" w:hAnsi="宋体"/>
                        <w:sz w:val="26"/>
                        <w:szCs w:val="26"/>
                      </w:rPr>
                      <w:t>9</w:t>
                    </w:r>
                    <w:r>
                      <w:rPr>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B2A6A">
    <w:pPr>
      <w:pStyle w:val="38"/>
      <w:ind w:right="360"/>
      <w:jc w:val="both"/>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3"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2EA3ABA">
                          <w:pPr>
                            <w:pStyle w:val="38"/>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Fonts w:ascii="宋体" w:hAnsi="宋体"/>
                              <w:sz w:val="26"/>
                              <w:szCs w:val="26"/>
                            </w:rPr>
                            <w:fldChar w:fldCharType="begin"/>
                          </w:r>
                          <w:r>
                            <w:rPr>
                              <w:rStyle w:val="52"/>
                              <w:rFonts w:ascii="宋体" w:hAnsi="宋体"/>
                              <w:sz w:val="26"/>
                              <w:szCs w:val="26"/>
                            </w:rPr>
                            <w:instrText xml:space="preserve">PAGE  </w:instrText>
                          </w:r>
                          <w:r>
                            <w:rPr>
                              <w:rFonts w:ascii="宋体" w:hAnsi="宋体"/>
                              <w:sz w:val="26"/>
                              <w:szCs w:val="26"/>
                            </w:rPr>
                            <w:fldChar w:fldCharType="separate"/>
                          </w:r>
                          <w:r>
                            <w:rPr>
                              <w:rStyle w:val="52"/>
                              <w:rFonts w:ascii="宋体" w:hAnsi="宋体"/>
                              <w:sz w:val="26"/>
                              <w:szCs w:val="26"/>
                            </w:rPr>
                            <w:t>11</w:t>
                          </w:r>
                          <w:r>
                            <w:rPr>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1030"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KCjkIvgAQAAwwMAAA4AAAAA&#10;AAAAAQAgAAAAHgEAAGRycy9lMm9Eb2MueG1sUEsFBgAAAAAGAAYAWQEAAHAFAAAAAA==&#10;">
              <v:fill on="f" focussize="0,0"/>
              <v:stroke on="f"/>
              <v:imagedata o:title=""/>
              <o:lock v:ext="edit" aspectratio="f"/>
              <v:textbox inset="0mm,0mm,0mm,0mm" style="mso-fit-shape-to-text:t;">
                <w:txbxContent>
                  <w:p w14:paraId="32EA3ABA">
                    <w:pPr>
                      <w:pStyle w:val="38"/>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Fonts w:ascii="宋体" w:hAnsi="宋体"/>
                        <w:sz w:val="26"/>
                        <w:szCs w:val="26"/>
                      </w:rPr>
                      <w:fldChar w:fldCharType="begin"/>
                    </w:r>
                    <w:r>
                      <w:rPr>
                        <w:rStyle w:val="52"/>
                        <w:rFonts w:ascii="宋体" w:hAnsi="宋体"/>
                        <w:sz w:val="26"/>
                        <w:szCs w:val="26"/>
                      </w:rPr>
                      <w:instrText xml:space="preserve">PAGE  </w:instrText>
                    </w:r>
                    <w:r>
                      <w:rPr>
                        <w:rFonts w:ascii="宋体" w:hAnsi="宋体"/>
                        <w:sz w:val="26"/>
                        <w:szCs w:val="26"/>
                      </w:rPr>
                      <w:fldChar w:fldCharType="separate"/>
                    </w:r>
                    <w:r>
                      <w:rPr>
                        <w:rStyle w:val="52"/>
                        <w:rFonts w:ascii="宋体" w:hAnsi="宋体"/>
                        <w:sz w:val="26"/>
                        <w:szCs w:val="26"/>
                      </w:rPr>
                      <w:t>11</w:t>
                    </w:r>
                    <w:r>
                      <w:rPr>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F53F9">
    <w:pPr>
      <w:widowControl w:val="0"/>
      <w:tabs>
        <w:tab w:val="center" w:pos="4153"/>
        <w:tab w:val="right" w:pos="8306"/>
      </w:tabs>
      <w:snapToGrid w:val="0"/>
      <w:ind w:right="360" w:firstLine="360"/>
      <w:jc w:val="center"/>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1" name="文本框 20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D9B5E7">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10</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wps:txbx>
                    <wps:bodyPr vert="horz" wrap="none" lIns="0" tIns="0" rIns="0" bIns="0" anchor="t" anchorCtr="0" upright="0">
                      <a:spAutoFit/>
                    </wps:bodyPr>
                  </wps:wsp>
                </a:graphicData>
              </a:graphic>
            </wp:anchor>
          </w:drawing>
        </mc:Choice>
        <mc:Fallback>
          <w:pict>
            <v:shape id="文本框 2064"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OqXm5zwAAAAUBAAAPAAAAAAAA&#10;AAEAIAAAACIAAABkcnMvZG93bnJldi54bWxQSwECFAAUAAAACACHTuJA+tlNlOIBAADDAwAADgAA&#10;AAAAAAABACAAAAAeAQAAZHJzL2Uyb0RvYy54bWxQSwUGAAAAAAYABgBZAQAAcgUAAAAA&#10;">
              <v:fill on="f" focussize="0,0"/>
              <v:stroke on="f"/>
              <v:imagedata o:title=""/>
              <o:lock v:ext="edit" aspectratio="f"/>
              <v:textbox inset="0mm,0mm,0mm,0mm" style="mso-fit-shape-to-text:t;">
                <w:txbxContent>
                  <w:p w14:paraId="5DD9B5E7">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10</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EE04C">
    <w:pPr>
      <w:widowControl w:val="0"/>
      <w:tabs>
        <w:tab w:val="center" w:pos="4153"/>
        <w:tab w:val="right" w:pos="8306"/>
      </w:tabs>
      <w:snapToGrid w:val="0"/>
      <w:ind w:right="360" w:firstLine="360"/>
      <w:jc w:val="center"/>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0" name="文本框 20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590CF8">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10</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wps:txbx>
                    <wps:bodyPr vert="horz" wrap="none" lIns="0" tIns="0" rIns="0" bIns="0" anchor="t" anchorCtr="0" upright="0">
                      <a:spAutoFit/>
                    </wps:bodyPr>
                  </wps:wsp>
                </a:graphicData>
              </a:graphic>
            </wp:anchor>
          </w:drawing>
        </mc:Choice>
        <mc:Fallback>
          <w:pict>
            <v:shape id="文本框 206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UHpRt4QEAAMMDAAAOAAAA&#10;AAAAAAEAIAAAAB4BAABkcnMvZTJvRG9jLnhtbFBLBQYAAAAABgAGAFkBAABxBQAAAAA=&#10;">
              <v:fill on="f" focussize="0,0"/>
              <v:stroke on="f"/>
              <v:imagedata o:title=""/>
              <o:lock v:ext="edit" aspectratio="f"/>
              <v:textbox inset="0mm,0mm,0mm,0mm" style="mso-fit-shape-to-text:t;">
                <w:txbxContent>
                  <w:p w14:paraId="04590CF8">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10</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F5F2A">
    <w:pPr>
      <w:widowControl w:val="0"/>
      <w:tabs>
        <w:tab w:val="center" w:pos="4153"/>
        <w:tab w:val="right" w:pos="8306"/>
      </w:tabs>
      <w:snapToGrid w:val="0"/>
      <w:ind w:right="360"/>
      <w:jc w:val="both"/>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2"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03B641">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11</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wps:txbx>
                    <wps:bodyPr vert="horz" wrap="none" lIns="0" tIns="0" rIns="0" bIns="0" anchor="t" anchorCtr="0" upright="0">
                      <a:spAutoFit/>
                    </wps:bodyPr>
                  </wps:wsp>
                </a:graphicData>
              </a:graphic>
            </wp:anchor>
          </w:drawing>
        </mc:Choice>
        <mc:Fallback>
          <w:pict>
            <v:shape id="文本框 1029"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CBek+bgAQAAwwMAAA4AAAAA&#10;AAAAAQAgAAAAHgEAAGRycy9lMm9Eb2MueG1sUEsFBgAAAAAGAAYAWQEAAHAFAAAAAA==&#10;">
              <v:fill on="f" focussize="0,0"/>
              <v:stroke on="f"/>
              <v:imagedata o:title=""/>
              <o:lock v:ext="edit" aspectratio="f"/>
              <v:textbox inset="0mm,0mm,0mm,0mm" style="mso-fit-shape-to-text:t;">
                <w:txbxContent>
                  <w:p w14:paraId="1D03B641">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11</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91BDD">
    <w:pPr>
      <w:widowControl w:val="0"/>
      <w:tabs>
        <w:tab w:val="center" w:pos="4153"/>
        <w:tab w:val="right" w:pos="8306"/>
      </w:tabs>
      <w:snapToGrid w:val="0"/>
      <w:ind w:right="360"/>
      <w:jc w:val="both"/>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0"/>
        <w:sz w:val="18"/>
        <w:szCs w:val="20"/>
        <w:lang w:val="en-US" w:eastAsia="zh-CN" w:bidi="ar-SA"/>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2"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819012">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11</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wps:txbx>
                    <wps:bodyPr vert="horz" wrap="none" lIns="0" tIns="0" rIns="0" bIns="0" anchor="t" anchorCtr="0" upright="0">
                      <a:spAutoFit/>
                    </wps:bodyPr>
                  </wps:wsp>
                </a:graphicData>
              </a:graphic>
            </wp:anchor>
          </w:drawing>
        </mc:Choice>
        <mc:Fallback>
          <w:pict>
            <v:shape id="文本框 1030"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FSRlKTgAQAAwwMAAA4AAAAA&#10;AAAAAQAgAAAAHgEAAGRycy9lMm9Eb2MueG1sUEsFBgAAAAAGAAYAWQEAAHAFAAAAAA==&#10;">
              <v:fill on="f" focussize="0,0"/>
              <v:stroke on="f"/>
              <v:imagedata o:title=""/>
              <o:lock v:ext="edit" aspectratio="f"/>
              <v:textbox inset="0mm,0mm,0mm,0mm" style="mso-fit-shape-to-text:t;">
                <w:txbxContent>
                  <w:p w14:paraId="44819012">
                    <w:pPr>
                      <w:widowControl w:val="0"/>
                      <w:tabs>
                        <w:tab w:val="center" w:pos="4153"/>
                        <w:tab w:val="right" w:pos="8306"/>
                      </w:tabs>
                      <w:snapToGrid w:val="0"/>
                      <w:jc w:val="left"/>
                      <w:rPr>
                        <w:rFonts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t>—</w:t>
                    </w:r>
                    <w:r>
                      <w:rPr>
                        <w:rFonts w:hint="eastAsia" w:ascii="宋体" w:hAnsi="宋体" w:eastAsia="宋体" w:cs="Times New Roman"/>
                        <w:kern w:val="2"/>
                        <w:sz w:val="20"/>
                        <w:szCs w:val="24"/>
                        <w:lang w:val="en-US" w:eastAsia="zh-CN" w:bidi="ar-SA"/>
                      </w:rPr>
                      <w:t xml:space="preserve">  </w:t>
                    </w:r>
                    <w:r>
                      <w:rPr>
                        <w:rFonts w:ascii="宋体" w:hAnsi="宋体" w:eastAsia="宋体" w:cs="Times New Roman"/>
                        <w:kern w:val="0"/>
                        <w:sz w:val="26"/>
                        <w:szCs w:val="26"/>
                        <w:lang w:val="en-US" w:eastAsia="zh-CN" w:bidi="ar-SA"/>
                      </w:rPr>
                      <w:fldChar w:fldCharType="begin"/>
                    </w:r>
                    <w:r>
                      <w:rPr>
                        <w:rFonts w:ascii="宋体" w:hAnsi="宋体" w:eastAsia="宋体" w:cs="Times New Roman"/>
                        <w:kern w:val="2"/>
                        <w:sz w:val="26"/>
                        <w:szCs w:val="26"/>
                        <w:lang w:val="en-US" w:eastAsia="zh-CN" w:bidi="ar-SA"/>
                      </w:rPr>
                      <w:instrText xml:space="preserve">PAGE  </w:instrText>
                    </w:r>
                    <w:r>
                      <w:rPr>
                        <w:rFonts w:ascii="宋体" w:hAnsi="宋体" w:eastAsia="宋体" w:cs="Times New Roman"/>
                        <w:kern w:val="0"/>
                        <w:sz w:val="26"/>
                        <w:szCs w:val="26"/>
                        <w:lang w:val="en-US" w:eastAsia="zh-CN" w:bidi="ar-SA"/>
                      </w:rPr>
                      <w:fldChar w:fldCharType="separate"/>
                    </w:r>
                    <w:r>
                      <w:rPr>
                        <w:rFonts w:ascii="宋体" w:hAnsi="宋体" w:eastAsia="宋体" w:cs="Times New Roman"/>
                        <w:kern w:val="2"/>
                        <w:sz w:val="26"/>
                        <w:szCs w:val="26"/>
                        <w:lang w:val="en-US" w:eastAsia="zh-CN" w:bidi="ar-SA"/>
                      </w:rPr>
                      <w:t>11</w:t>
                    </w:r>
                    <w:r>
                      <w:rPr>
                        <w:rFonts w:ascii="宋体" w:hAnsi="宋体" w:eastAsia="宋体" w:cs="Times New Roman"/>
                        <w:kern w:val="0"/>
                        <w:sz w:val="26"/>
                        <w:szCs w:val="26"/>
                        <w:lang w:val="en-US" w:eastAsia="zh-CN" w:bidi="ar-SA"/>
                      </w:rPr>
                      <w:fldChar w:fldCharType="end"/>
                    </w:r>
                    <w:r>
                      <w:rPr>
                        <w:rFonts w:hint="eastAsia" w:ascii="宋体" w:hAnsi="宋体" w:eastAsia="宋体" w:cs="Times New Roman"/>
                        <w:kern w:val="2"/>
                        <w:sz w:val="20"/>
                        <w:szCs w:val="24"/>
                        <w:lang w:val="en-US" w:eastAsia="zh-CN" w:bidi="ar-SA"/>
                      </w:rPr>
                      <w:t xml:space="preserve">  </w:t>
                    </w:r>
                    <w:r>
                      <w:rPr>
                        <w:rFonts w:hint="eastAsia" w:ascii="宋体" w:hAnsi="宋体" w:eastAsia="宋体" w:cs="Times New Roman"/>
                        <w:kern w:val="2"/>
                        <w:sz w:val="28"/>
                        <w:szCs w:val="28"/>
                        <w:lang w:val="en-US" w:eastAsia="zh-CN" w:bidi="ar-SA"/>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5300C">
    <w:pPr>
      <w:pStyle w:val="38"/>
      <w:ind w:right="360"/>
      <w:jc w:val="both"/>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6"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202DCE">
                          <w:pPr>
                            <w:pStyle w:val="38"/>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Fonts w:ascii="宋体" w:hAnsi="宋体"/>
                              <w:sz w:val="26"/>
                              <w:szCs w:val="26"/>
                            </w:rPr>
                            <w:fldChar w:fldCharType="begin"/>
                          </w:r>
                          <w:r>
                            <w:rPr>
                              <w:rStyle w:val="52"/>
                              <w:rFonts w:ascii="宋体" w:hAnsi="宋体"/>
                              <w:sz w:val="26"/>
                              <w:szCs w:val="26"/>
                            </w:rPr>
                            <w:instrText xml:space="preserve">PAGE  </w:instrText>
                          </w:r>
                          <w:r>
                            <w:rPr>
                              <w:rFonts w:ascii="宋体" w:hAnsi="宋体"/>
                              <w:sz w:val="26"/>
                              <w:szCs w:val="26"/>
                            </w:rPr>
                            <w:fldChar w:fldCharType="separate"/>
                          </w:r>
                          <w:r>
                            <w:rPr>
                              <w:rStyle w:val="52"/>
                              <w:rFonts w:ascii="宋体" w:hAnsi="宋体"/>
                              <w:sz w:val="26"/>
                              <w:szCs w:val="26"/>
                            </w:rPr>
                            <w:t>11</w:t>
                          </w:r>
                          <w:r>
                            <w:rPr>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1030"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Cmucw84QEAAMMDAAAOAAAA&#10;AAAAAAEAIAAAAB4BAABkcnMvZTJvRG9jLnhtbFBLBQYAAAAABgAGAFkBAABxBQAAAAA=&#10;">
              <v:fill on="f" focussize="0,0"/>
              <v:stroke on="f"/>
              <v:imagedata o:title=""/>
              <o:lock v:ext="edit" aspectratio="f"/>
              <v:textbox inset="0mm,0mm,0mm,0mm" style="mso-fit-shape-to-text:t;">
                <w:txbxContent>
                  <w:p w14:paraId="4D202DCE">
                    <w:pPr>
                      <w:pStyle w:val="38"/>
                      <w:rPr>
                        <w:rStyle w:val="52"/>
                        <w:rFonts w:ascii="宋体" w:hAnsi="宋体"/>
                        <w:sz w:val="28"/>
                        <w:szCs w:val="28"/>
                      </w:rPr>
                    </w:pPr>
                    <w:r>
                      <w:rPr>
                        <w:rStyle w:val="52"/>
                        <w:rFonts w:hint="eastAsia" w:ascii="宋体" w:hAnsi="宋体"/>
                        <w:sz w:val="28"/>
                        <w:szCs w:val="28"/>
                      </w:rPr>
                      <w:t>—</w:t>
                    </w:r>
                    <w:r>
                      <w:rPr>
                        <w:rStyle w:val="52"/>
                        <w:rFonts w:hint="eastAsia" w:ascii="宋体" w:hAnsi="宋体"/>
                        <w:sz w:val="20"/>
                      </w:rPr>
                      <w:t xml:space="preserve">  </w:t>
                    </w:r>
                    <w:r>
                      <w:rPr>
                        <w:rFonts w:ascii="宋体" w:hAnsi="宋体"/>
                        <w:sz w:val="26"/>
                        <w:szCs w:val="26"/>
                      </w:rPr>
                      <w:fldChar w:fldCharType="begin"/>
                    </w:r>
                    <w:r>
                      <w:rPr>
                        <w:rStyle w:val="52"/>
                        <w:rFonts w:ascii="宋体" w:hAnsi="宋体"/>
                        <w:sz w:val="26"/>
                        <w:szCs w:val="26"/>
                      </w:rPr>
                      <w:instrText xml:space="preserve">PAGE  </w:instrText>
                    </w:r>
                    <w:r>
                      <w:rPr>
                        <w:rFonts w:ascii="宋体" w:hAnsi="宋体"/>
                        <w:sz w:val="26"/>
                        <w:szCs w:val="26"/>
                      </w:rPr>
                      <w:fldChar w:fldCharType="separate"/>
                    </w:r>
                    <w:r>
                      <w:rPr>
                        <w:rStyle w:val="52"/>
                        <w:rFonts w:ascii="宋体" w:hAnsi="宋体"/>
                        <w:sz w:val="26"/>
                        <w:szCs w:val="26"/>
                      </w:rPr>
                      <w:t>11</w:t>
                    </w:r>
                    <w:r>
                      <w:rPr>
                        <w:rFonts w:ascii="宋体" w:hAnsi="宋体"/>
                        <w:sz w:val="26"/>
                        <w:szCs w:val="26"/>
                      </w:rPr>
                      <w:fldChar w:fldCharType="end"/>
                    </w:r>
                    <w:r>
                      <w:rPr>
                        <w:rStyle w:val="52"/>
                        <w:rFonts w:hint="eastAsia" w:ascii="宋体" w:hAnsi="宋体"/>
                        <w:sz w:val="20"/>
                      </w:rPr>
                      <w:t xml:space="preserve">  </w:t>
                    </w:r>
                    <w:r>
                      <w:rPr>
                        <w:rStyle w:val="52"/>
                        <w:rFonts w:hint="eastAsia" w:ascii="宋体" w:hAnsi="宋体"/>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5782F">
    <w:pPr>
      <w:pStyle w:val="3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4A51D">
    <w:pPr>
      <w:pStyle w:val="3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3DA46">
    <w:pPr>
      <w:pStyle w:val="3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96A86">
    <w:pPr>
      <w:widowControl w:val="0"/>
      <w:pBdr>
        <w:bottom w:val="none" w:color="auto" w:sz="0" w:space="1"/>
      </w:pBdr>
      <w:tabs>
        <w:tab w:val="center" w:pos="4153"/>
        <w:tab w:val="right" w:pos="8306"/>
      </w:tabs>
      <w:snapToGrid w:val="0"/>
      <w:jc w:val="center"/>
      <w:rPr>
        <w:rFonts w:ascii="Times New Roman" w:hAnsi="Times New Roman" w:eastAsia="宋体" w:cs="Times New Roman"/>
        <w:kern w:val="0"/>
        <w:sz w:val="18"/>
        <w:szCs w:val="20"/>
        <w:lang w:val="en-US" w:eastAsia="zh-CN" w:bidi="ar-S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4AAA6">
    <w:pPr>
      <w:widowControl w:val="0"/>
      <w:pBdr>
        <w:bottom w:val="none" w:color="auto" w:sz="0" w:space="1"/>
      </w:pBdr>
      <w:tabs>
        <w:tab w:val="center" w:pos="4153"/>
        <w:tab w:val="right" w:pos="8306"/>
      </w:tabs>
      <w:snapToGrid w:val="0"/>
      <w:jc w:val="center"/>
      <w:rPr>
        <w:rFonts w:ascii="Times New Roman" w:hAnsi="Times New Roman" w:eastAsia="宋体" w:cs="Times New Roman"/>
        <w:kern w:val="0"/>
        <w:sz w:val="18"/>
        <w:szCs w:val="20"/>
        <w:lang w:val="en-US" w:eastAsia="zh-CN" w:bidi="ar-S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1022A">
    <w:pPr>
      <w:pStyle w:val="3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00E9B5"/>
    <w:multiLevelType w:val="singleLevel"/>
    <w:tmpl w:val="BB00E9B5"/>
    <w:lvl w:ilvl="0" w:tentative="0">
      <w:start w:val="1"/>
      <w:numFmt w:val="decimal"/>
      <w:pStyle w:val="151"/>
      <w:suff w:val="space"/>
      <w:lvlText w:val="表2-%1"/>
      <w:lvlJc w:val="center"/>
      <w:pPr>
        <w:tabs>
          <w:tab w:val="left" w:pos="0"/>
        </w:tabs>
        <w:ind w:left="0" w:firstLine="0"/>
      </w:pPr>
      <w:rPr>
        <w:rFonts w:hint="default" w:ascii="Times New Roman" w:hAnsi="Times New Roman"/>
        <w:b/>
        <w:bCs/>
        <w:snapToGrid w:val="0"/>
        <w:color w:val="000000"/>
        <w:sz w:val="21"/>
        <w:szCs w:val="21"/>
      </w:rPr>
    </w:lvl>
  </w:abstractNum>
  <w:abstractNum w:abstractNumId="1">
    <w:nsid w:val="D0FA49B2"/>
    <w:multiLevelType w:val="multilevel"/>
    <w:tmpl w:val="D0FA49B2"/>
    <w:lvl w:ilvl="0" w:tentative="0">
      <w:start w:val="1"/>
      <w:numFmt w:val="decimal"/>
      <w:pStyle w:val="153"/>
      <w:suff w:val="space"/>
      <w:lvlText w:val="%1."/>
      <w:lvlJc w:val="left"/>
      <w:pPr>
        <w:tabs>
          <w:tab w:val="left" w:pos="0"/>
        </w:tabs>
        <w:ind w:left="0" w:firstLine="482"/>
      </w:pPr>
      <w:rPr>
        <w:rFonts w:hint="default"/>
        <w:b/>
        <w:bCs/>
        <w:color w:val="000000"/>
        <w:sz w:val="24"/>
        <w:szCs w:val="24"/>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
    <w:nsid w:val="E6BFA822"/>
    <w:multiLevelType w:val="singleLevel"/>
    <w:tmpl w:val="E6BFA822"/>
    <w:lvl w:ilvl="0" w:tentative="0">
      <w:start w:val="1"/>
      <w:numFmt w:val="decimal"/>
      <w:suff w:val="space"/>
      <w:lvlText w:val="图2-%1"/>
      <w:lvlJc w:val="left"/>
      <w:pPr>
        <w:tabs>
          <w:tab w:val="left" w:pos="420"/>
        </w:tabs>
        <w:ind w:left="0" w:firstLine="0"/>
      </w:pPr>
      <w:rPr>
        <w:rFonts w:hint="default"/>
        <w:b/>
        <w:sz w:val="21"/>
        <w:szCs w:val="21"/>
      </w:rPr>
    </w:lvl>
  </w:abstractNum>
  <w:abstractNum w:abstractNumId="3">
    <w:nsid w:val="F24B7D65"/>
    <w:multiLevelType w:val="singleLevel"/>
    <w:tmpl w:val="F24B7D65"/>
    <w:lvl w:ilvl="0" w:tentative="0">
      <w:start w:val="1"/>
      <w:numFmt w:val="decimal"/>
      <w:suff w:val="space"/>
      <w:lvlText w:val="表3-%1"/>
      <w:lvlJc w:val="center"/>
      <w:pPr>
        <w:tabs>
          <w:tab w:val="left" w:pos="0"/>
        </w:tabs>
        <w:ind w:left="0" w:firstLine="40"/>
      </w:pPr>
      <w:rPr>
        <w:rFonts w:hint="default" w:ascii="Times New Roman" w:hAnsi="Times New Roman" w:cs="Times New Roman"/>
        <w:b/>
        <w:color w:val="000000"/>
        <w:sz w:val="21"/>
        <w:szCs w:val="21"/>
      </w:rPr>
    </w:lvl>
  </w:abstractNum>
  <w:abstractNum w:abstractNumId="4">
    <w:nsid w:val="FEFB23CF"/>
    <w:multiLevelType w:val="singleLevel"/>
    <w:tmpl w:val="FEFB23CF"/>
    <w:lvl w:ilvl="0" w:tentative="0">
      <w:start w:val="1"/>
      <w:numFmt w:val="decimal"/>
      <w:suff w:val="space"/>
      <w:lvlText w:val="表2-%1"/>
      <w:lvlJc w:val="center"/>
      <w:pPr>
        <w:tabs>
          <w:tab w:val="left" w:pos="0"/>
        </w:tabs>
        <w:ind w:left="0" w:firstLine="40"/>
      </w:pPr>
      <w:rPr>
        <w:rFonts w:hint="default" w:ascii="Times New Roman" w:hAnsi="Times New Roman" w:cs="Times New Roman"/>
        <w:b/>
        <w:color w:val="000000"/>
        <w:sz w:val="21"/>
        <w:szCs w:val="21"/>
      </w:rPr>
    </w:lvl>
  </w:abstractNum>
  <w:abstractNum w:abstractNumId="5">
    <w:nsid w:val="00000002"/>
    <w:multiLevelType w:val="multilevel"/>
    <w:tmpl w:val="00000002"/>
    <w:lvl w:ilvl="0" w:tentative="0">
      <w:start w:val="1"/>
      <w:numFmt w:val="bullet"/>
      <w:lvlText w:val=""/>
      <w:lvlJc w:val="left"/>
      <w:pPr>
        <w:tabs>
          <w:tab w:val="left" w:pos="780"/>
        </w:tabs>
        <w:ind w:left="840" w:hanging="360"/>
      </w:pPr>
      <w:rPr>
        <w:rFonts w:hint="default" w:ascii="Wingdings" w:hAnsi="Wingding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0000000C"/>
    <w:multiLevelType w:val="singleLevel"/>
    <w:tmpl w:val="0000000C"/>
    <w:lvl w:ilvl="0" w:tentative="0">
      <w:start w:val="1"/>
      <w:numFmt w:val="chineseCounting"/>
      <w:pStyle w:val="176"/>
      <w:suff w:val="nothing"/>
      <w:lvlText w:val="（%1）"/>
      <w:lvlJc w:val="left"/>
      <w:pPr>
        <w:ind w:left="0" w:firstLine="420"/>
      </w:pPr>
      <w:rPr>
        <w:rFonts w:hint="eastAsia"/>
      </w:rPr>
    </w:lvl>
  </w:abstractNum>
  <w:abstractNum w:abstractNumId="7">
    <w:nsid w:val="182F78F9"/>
    <w:multiLevelType w:val="singleLevel"/>
    <w:tmpl w:val="182F78F9"/>
    <w:lvl w:ilvl="0" w:tentative="0">
      <w:start w:val="1"/>
      <w:numFmt w:val="bullet"/>
      <w:pStyle w:val="28"/>
      <w:lvlText w:val=""/>
      <w:lvlJc w:val="left"/>
      <w:pPr>
        <w:tabs>
          <w:tab w:val="left" w:pos="2040"/>
        </w:tabs>
        <w:ind w:left="2040" w:hanging="360"/>
      </w:pPr>
      <w:rPr>
        <w:rFonts w:hint="default" w:ascii="Wingdings" w:hAnsi="Wingdings"/>
      </w:rPr>
    </w:lvl>
  </w:abstractNum>
  <w:abstractNum w:abstractNumId="8">
    <w:nsid w:val="21130950"/>
    <w:multiLevelType w:val="multilevel"/>
    <w:tmpl w:val="21130950"/>
    <w:lvl w:ilvl="0" w:tentative="0">
      <w:start w:val="1"/>
      <w:numFmt w:val="decimal"/>
      <w:lvlText w:val="%1."/>
      <w:lvlJc w:val="left"/>
      <w:pPr>
        <w:ind w:left="567" w:hanging="425"/>
      </w:pPr>
    </w:lvl>
    <w:lvl w:ilvl="1" w:tentative="0">
      <w:start w:val="1"/>
      <w:numFmt w:val="decimal"/>
      <w:pStyle w:val="6"/>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rPr>
        <w:i w:val="0"/>
      </w:r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9">
    <w:nsid w:val="3744670F"/>
    <w:multiLevelType w:val="multilevel"/>
    <w:tmpl w:val="3744670F"/>
    <w:lvl w:ilvl="0" w:tentative="0">
      <w:start w:val="1"/>
      <w:numFmt w:val="decimal"/>
      <w:lvlText w:val="%1"/>
      <w:lvlJc w:val="left"/>
      <w:pPr>
        <w:ind w:left="432" w:hanging="432"/>
      </w:pPr>
      <w:rPr>
        <w:rFonts w:hint="eastAsia"/>
      </w:rPr>
    </w:lvl>
    <w:lvl w:ilvl="1" w:tentative="0">
      <w:start w:val="1"/>
      <w:numFmt w:val="none"/>
      <w:suff w:val="nothing"/>
      <w:lvlText w:val=""/>
      <w:lvlJc w:val="left"/>
      <w:pPr>
        <w:tabs>
          <w:tab w:val="left" w:pos="0"/>
        </w:tabs>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2" w:firstLine="0"/>
      </w:pPr>
      <w:rPr>
        <w:rFonts w:hint="eastAsia" w:ascii="宋体" w:hAnsi="宋体" w:eastAsia="宋体" w:cs="宋体"/>
        <w:b/>
        <w:bCs/>
        <w:sz w:val="24"/>
        <w:szCs w:val="24"/>
      </w:rPr>
    </w:lvl>
    <w:lvl w:ilvl="3" w:tentative="0">
      <w:start w:val="1"/>
      <w:numFmt w:val="decimal"/>
      <w:suff w:val="nothing"/>
      <w:lvlText w:val="%4、"/>
      <w:lvlJc w:val="left"/>
      <w:pPr>
        <w:tabs>
          <w:tab w:val="left" w:pos="0"/>
        </w:tabs>
        <w:ind w:left="-96" w:hanging="864"/>
      </w:pPr>
      <w:rPr>
        <w:rFonts w:hint="eastAsia" w:ascii="Times New Roman" w:hAnsi="Times New Roman" w:eastAsia="宋体" w:cs="宋体"/>
        <w:b/>
        <w:bCs/>
        <w:sz w:val="24"/>
        <w:szCs w:val="24"/>
      </w:rPr>
    </w:lvl>
    <w:lvl w:ilvl="4" w:tentative="0">
      <w:start w:val="1"/>
      <w:numFmt w:val="decimal"/>
      <w:pStyle w:val="21"/>
      <w:suff w:val="nothing"/>
      <w:lvlText w:val="（%5）"/>
      <w:lvlJc w:val="left"/>
      <w:pPr>
        <w:tabs>
          <w:tab w:val="left" w:pos="0"/>
        </w:tabs>
        <w:ind w:left="-960" w:firstLine="0"/>
      </w:pPr>
      <w:rPr>
        <w:rFonts w:hint="eastAsia" w:ascii="Times New Roman" w:hAnsi="Times New Roman" w:eastAsia="宋体" w:cs="宋体"/>
      </w:rPr>
    </w:lvl>
    <w:lvl w:ilvl="5" w:tentative="0">
      <w:start w:val="1"/>
      <w:numFmt w:val="decimalEnclosedCircleChinese"/>
      <w:pStyle w:val="22"/>
      <w:suff w:val="nothing"/>
      <w:lvlText w:val="%6"/>
      <w:lvlJc w:val="left"/>
      <w:pPr>
        <w:tabs>
          <w:tab w:val="left" w:pos="0"/>
        </w:tabs>
        <w:ind w:left="0" w:firstLine="0"/>
      </w:pPr>
      <w:rPr>
        <w:rFonts w:hint="eastAsia" w:ascii="宋体" w:hAnsi="宋体" w:eastAsia="宋体" w:cs="宋体"/>
        <w:sz w:val="21"/>
        <w:szCs w:val="21"/>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10">
    <w:nsid w:val="41862CA9"/>
    <w:multiLevelType w:val="multilevel"/>
    <w:tmpl w:val="41862CA9"/>
    <w:lvl w:ilvl="0" w:tentative="0">
      <w:start w:val="1"/>
      <w:numFmt w:val="decimal"/>
      <w:suff w:val="space"/>
      <w:lvlText w:val="%1"/>
      <w:lvlJc w:val="left"/>
      <w:pPr>
        <w:ind w:left="0" w:firstLine="0"/>
      </w:pPr>
      <w:rPr>
        <w:rFonts w:hint="eastAsia"/>
        <w:sz w:val="30"/>
        <w:szCs w:val="30"/>
      </w:rPr>
    </w:lvl>
    <w:lvl w:ilvl="1" w:tentative="0">
      <w:start w:val="1"/>
      <w:numFmt w:val="decimal"/>
      <w:pStyle w:val="75"/>
      <w:suff w:val="space"/>
      <w:lvlText w:val="%1.%2"/>
      <w:lvlJc w:val="left"/>
      <w:pPr>
        <w:ind w:left="1560" w:firstLine="0"/>
      </w:pPr>
      <w:rPr>
        <w:rFonts w:hint="default" w:ascii="Arial" w:hAnsi="Arial"/>
      </w:rPr>
    </w:lvl>
    <w:lvl w:ilvl="2" w:tentative="0">
      <w:start w:val="1"/>
      <w:numFmt w:val="decimal"/>
      <w:suff w:val="space"/>
      <w:lvlText w:val="%1.%2.%3"/>
      <w:lvlJc w:val="left"/>
      <w:pPr>
        <w:ind w:left="994" w:hanging="426"/>
      </w:pPr>
      <w:rPr>
        <w:rFonts w:hint="default" w:ascii="Arial" w:hAnsi="Arial"/>
      </w:rPr>
    </w:lvl>
    <w:lvl w:ilvl="3" w:tentative="0">
      <w:start w:val="1"/>
      <w:numFmt w:val="decimal"/>
      <w:suff w:val="nothing"/>
      <w:lvlText w:val="%1.%2.%3.%4"/>
      <w:lvlJc w:val="left"/>
      <w:pPr>
        <w:ind w:left="851" w:hanging="851"/>
      </w:pPr>
      <w:rPr>
        <w:rFonts w:hint="eastAsia" w:ascii="Arial" w:hAnsi="Arial"/>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1">
    <w:nsid w:val="4A3CC985"/>
    <w:multiLevelType w:val="singleLevel"/>
    <w:tmpl w:val="4A3CC985"/>
    <w:lvl w:ilvl="0" w:tentative="0">
      <w:start w:val="1"/>
      <w:numFmt w:val="decimal"/>
      <w:suff w:val="nothing"/>
      <w:lvlText w:val="%1、"/>
      <w:lvlJc w:val="left"/>
    </w:lvl>
  </w:abstractNum>
  <w:abstractNum w:abstractNumId="12">
    <w:nsid w:val="68BC5020"/>
    <w:multiLevelType w:val="singleLevel"/>
    <w:tmpl w:val="68BC5020"/>
    <w:lvl w:ilvl="0" w:tentative="0">
      <w:start w:val="3"/>
      <w:numFmt w:val="chineseCounting"/>
      <w:suff w:val="nothing"/>
      <w:lvlText w:val="%1、"/>
      <w:lvlJc w:val="left"/>
      <w:rPr>
        <w:rFonts w:hint="eastAsia"/>
      </w:rPr>
    </w:lvl>
  </w:abstractNum>
  <w:abstractNum w:abstractNumId="13">
    <w:nsid w:val="6FCC5E05"/>
    <w:multiLevelType w:val="singleLevel"/>
    <w:tmpl w:val="6FCC5E05"/>
    <w:lvl w:ilvl="0" w:tentative="0">
      <w:start w:val="6"/>
      <w:numFmt w:val="decimal"/>
      <w:suff w:val="nothing"/>
      <w:lvlText w:val="%1、"/>
      <w:lvlJc w:val="left"/>
    </w:lvl>
  </w:abstractNum>
  <w:abstractNum w:abstractNumId="14">
    <w:nsid w:val="72B149C0"/>
    <w:multiLevelType w:val="singleLevel"/>
    <w:tmpl w:val="72B149C0"/>
    <w:lvl w:ilvl="0" w:tentative="0">
      <w:start w:val="1"/>
      <w:numFmt w:val="bullet"/>
      <w:pStyle w:val="30"/>
      <w:lvlText w:val=""/>
      <w:lvlJc w:val="left"/>
      <w:pPr>
        <w:tabs>
          <w:tab w:val="left" w:pos="780"/>
        </w:tabs>
        <w:ind w:left="780" w:hanging="360"/>
      </w:pPr>
      <w:rPr>
        <w:rFonts w:hint="default" w:ascii="Wingdings" w:hAnsi="Wingdings"/>
      </w:rPr>
    </w:lvl>
  </w:abstractNum>
  <w:abstractNum w:abstractNumId="15">
    <w:nsid w:val="7E84E819"/>
    <w:multiLevelType w:val="singleLevel"/>
    <w:tmpl w:val="7E84E819"/>
    <w:lvl w:ilvl="0" w:tentative="0">
      <w:start w:val="1"/>
      <w:numFmt w:val="decimal"/>
      <w:pStyle w:val="155"/>
      <w:suff w:val="space"/>
      <w:lvlText w:val="表1-%1"/>
      <w:lvlJc w:val="center"/>
      <w:pPr>
        <w:tabs>
          <w:tab w:val="left" w:pos="0"/>
        </w:tabs>
        <w:ind w:left="0" w:firstLine="0"/>
      </w:pPr>
      <w:rPr>
        <w:rFonts w:hint="default" w:ascii="Times New Roman" w:hAnsi="Times New Roman"/>
        <w:b/>
        <w:bCs/>
        <w:sz w:val="21"/>
        <w:szCs w:val="21"/>
      </w:rPr>
    </w:lvl>
  </w:abstractNum>
  <w:num w:numId="1">
    <w:abstractNumId w:val="9"/>
  </w:num>
  <w:num w:numId="2">
    <w:abstractNumId w:val="8"/>
  </w:num>
  <w:num w:numId="3">
    <w:abstractNumId w:val="7"/>
  </w:num>
  <w:num w:numId="4">
    <w:abstractNumId w:val="14"/>
  </w:num>
  <w:num w:numId="5">
    <w:abstractNumId w:val="10"/>
  </w:num>
  <w:num w:numId="6">
    <w:abstractNumId w:val="0"/>
  </w:num>
  <w:num w:numId="7">
    <w:abstractNumId w:val="1"/>
  </w:num>
  <w:num w:numId="8">
    <w:abstractNumId w:val="15"/>
  </w:num>
  <w:num w:numId="9">
    <w:abstractNumId w:val="6"/>
  </w:num>
  <w:num w:numId="10">
    <w:abstractNumId w:val="4"/>
  </w:num>
  <w:num w:numId="11">
    <w:abstractNumId w:val="2"/>
  </w:num>
  <w:num w:numId="12">
    <w:abstractNumId w:val="11"/>
  </w:num>
  <w:num w:numId="13">
    <w:abstractNumId w:val="12"/>
  </w:num>
  <w:num w:numId="14">
    <w:abstractNumId w:val="3"/>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zZmVlNzJjYTlkNDJmNTU5YjllMGJmOTE3YjBlZjkifQ=="/>
  </w:docVars>
  <w:rsids>
    <w:rsidRoot w:val="00172A27"/>
    <w:rsid w:val="000060B3"/>
    <w:rsid w:val="00015F24"/>
    <w:rsid w:val="0004364B"/>
    <w:rsid w:val="00061B1F"/>
    <w:rsid w:val="00062D88"/>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283E"/>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1F6F"/>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1AF3"/>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4E1D"/>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2862"/>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4795"/>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22DA5"/>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3BB5"/>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C4924"/>
    <w:rsid w:val="00AD055E"/>
    <w:rsid w:val="00AD47A7"/>
    <w:rsid w:val="00AF0CBF"/>
    <w:rsid w:val="00AF257F"/>
    <w:rsid w:val="00AF33CF"/>
    <w:rsid w:val="00AF4D50"/>
    <w:rsid w:val="00AF6179"/>
    <w:rsid w:val="00B1295A"/>
    <w:rsid w:val="00B20A45"/>
    <w:rsid w:val="00B22C5C"/>
    <w:rsid w:val="00B24F30"/>
    <w:rsid w:val="00B31ABF"/>
    <w:rsid w:val="00B33BE3"/>
    <w:rsid w:val="00B356EC"/>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056B"/>
    <w:rsid w:val="00CF0C49"/>
    <w:rsid w:val="00CF36BE"/>
    <w:rsid w:val="00CF6000"/>
    <w:rsid w:val="00D003F3"/>
    <w:rsid w:val="00D0364F"/>
    <w:rsid w:val="00D06834"/>
    <w:rsid w:val="00D118B6"/>
    <w:rsid w:val="00D308ED"/>
    <w:rsid w:val="00D36D86"/>
    <w:rsid w:val="00D428AA"/>
    <w:rsid w:val="00D50A34"/>
    <w:rsid w:val="00D53EFA"/>
    <w:rsid w:val="00D94A7C"/>
    <w:rsid w:val="00D95896"/>
    <w:rsid w:val="00DA7A42"/>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23D"/>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36B2E"/>
    <w:rsid w:val="00F41BAF"/>
    <w:rsid w:val="00F465A7"/>
    <w:rsid w:val="00F50B7C"/>
    <w:rsid w:val="00F550E6"/>
    <w:rsid w:val="00F62C86"/>
    <w:rsid w:val="00F74345"/>
    <w:rsid w:val="00F80A0A"/>
    <w:rsid w:val="00F82B19"/>
    <w:rsid w:val="00F9212D"/>
    <w:rsid w:val="00F965DA"/>
    <w:rsid w:val="00FA406A"/>
    <w:rsid w:val="00FB503A"/>
    <w:rsid w:val="00FB516C"/>
    <w:rsid w:val="00FD0236"/>
    <w:rsid w:val="00FD18F4"/>
    <w:rsid w:val="00FD54DB"/>
    <w:rsid w:val="00FD619F"/>
    <w:rsid w:val="010E282D"/>
    <w:rsid w:val="01290F7E"/>
    <w:rsid w:val="012F2BCE"/>
    <w:rsid w:val="013C3EE0"/>
    <w:rsid w:val="0143304E"/>
    <w:rsid w:val="015C24E4"/>
    <w:rsid w:val="015D1E09"/>
    <w:rsid w:val="01826A17"/>
    <w:rsid w:val="01A5507F"/>
    <w:rsid w:val="01D76954"/>
    <w:rsid w:val="01FD42EF"/>
    <w:rsid w:val="01FE0E66"/>
    <w:rsid w:val="021310DD"/>
    <w:rsid w:val="024504DC"/>
    <w:rsid w:val="02495331"/>
    <w:rsid w:val="024C58EB"/>
    <w:rsid w:val="02662932"/>
    <w:rsid w:val="026954E1"/>
    <w:rsid w:val="02697903"/>
    <w:rsid w:val="028F1F9B"/>
    <w:rsid w:val="02A66119"/>
    <w:rsid w:val="02A827E4"/>
    <w:rsid w:val="02C90E2C"/>
    <w:rsid w:val="02DF2F0D"/>
    <w:rsid w:val="02E133A0"/>
    <w:rsid w:val="02E13FA3"/>
    <w:rsid w:val="02F96569"/>
    <w:rsid w:val="03093B72"/>
    <w:rsid w:val="031225E8"/>
    <w:rsid w:val="03B45AF7"/>
    <w:rsid w:val="03C1058A"/>
    <w:rsid w:val="03C3052E"/>
    <w:rsid w:val="03D31F2C"/>
    <w:rsid w:val="03D659E0"/>
    <w:rsid w:val="03DE67E9"/>
    <w:rsid w:val="03EA7B21"/>
    <w:rsid w:val="04100812"/>
    <w:rsid w:val="042457FA"/>
    <w:rsid w:val="042B6695"/>
    <w:rsid w:val="043D4E77"/>
    <w:rsid w:val="0458524B"/>
    <w:rsid w:val="04645A2A"/>
    <w:rsid w:val="04684689"/>
    <w:rsid w:val="046B0E24"/>
    <w:rsid w:val="0471784D"/>
    <w:rsid w:val="048A42E4"/>
    <w:rsid w:val="04A566F5"/>
    <w:rsid w:val="04A616D1"/>
    <w:rsid w:val="04CE320D"/>
    <w:rsid w:val="04FF3EDA"/>
    <w:rsid w:val="051152CB"/>
    <w:rsid w:val="052D4876"/>
    <w:rsid w:val="053100FA"/>
    <w:rsid w:val="05346253"/>
    <w:rsid w:val="05381717"/>
    <w:rsid w:val="05832D5D"/>
    <w:rsid w:val="05A21C1D"/>
    <w:rsid w:val="05AB446F"/>
    <w:rsid w:val="05BC1F51"/>
    <w:rsid w:val="05F83EAE"/>
    <w:rsid w:val="0626774E"/>
    <w:rsid w:val="06290260"/>
    <w:rsid w:val="063D6CE4"/>
    <w:rsid w:val="063E747F"/>
    <w:rsid w:val="063E7D85"/>
    <w:rsid w:val="064E336B"/>
    <w:rsid w:val="069D706F"/>
    <w:rsid w:val="06A25139"/>
    <w:rsid w:val="06B13B75"/>
    <w:rsid w:val="06B815B4"/>
    <w:rsid w:val="06FE1CD1"/>
    <w:rsid w:val="07030262"/>
    <w:rsid w:val="07246C5B"/>
    <w:rsid w:val="07255449"/>
    <w:rsid w:val="07287718"/>
    <w:rsid w:val="07293586"/>
    <w:rsid w:val="07295285"/>
    <w:rsid w:val="073B6226"/>
    <w:rsid w:val="074C5CD1"/>
    <w:rsid w:val="075A24D5"/>
    <w:rsid w:val="076052AE"/>
    <w:rsid w:val="07636392"/>
    <w:rsid w:val="07770C56"/>
    <w:rsid w:val="077A03A9"/>
    <w:rsid w:val="07CE3EF1"/>
    <w:rsid w:val="07E26EB5"/>
    <w:rsid w:val="08286217"/>
    <w:rsid w:val="08406CE4"/>
    <w:rsid w:val="088975F8"/>
    <w:rsid w:val="08952A3E"/>
    <w:rsid w:val="08BF668D"/>
    <w:rsid w:val="08C53B8B"/>
    <w:rsid w:val="08DF02AB"/>
    <w:rsid w:val="08EF455C"/>
    <w:rsid w:val="08FC5245"/>
    <w:rsid w:val="092217DD"/>
    <w:rsid w:val="093A7294"/>
    <w:rsid w:val="093B46D7"/>
    <w:rsid w:val="097E3F67"/>
    <w:rsid w:val="0999523A"/>
    <w:rsid w:val="099B7362"/>
    <w:rsid w:val="09A62AE3"/>
    <w:rsid w:val="09AE4E7D"/>
    <w:rsid w:val="09D7718C"/>
    <w:rsid w:val="09E41D8F"/>
    <w:rsid w:val="0A032F95"/>
    <w:rsid w:val="0A0452A0"/>
    <w:rsid w:val="0A263993"/>
    <w:rsid w:val="0A2D3AC2"/>
    <w:rsid w:val="0A4B4B56"/>
    <w:rsid w:val="0A4E5F88"/>
    <w:rsid w:val="0A766000"/>
    <w:rsid w:val="0A7C54CF"/>
    <w:rsid w:val="0AA755DF"/>
    <w:rsid w:val="0AB063A2"/>
    <w:rsid w:val="0AB1211B"/>
    <w:rsid w:val="0AB33B33"/>
    <w:rsid w:val="0AB71F6C"/>
    <w:rsid w:val="0AFF2E86"/>
    <w:rsid w:val="0B016F76"/>
    <w:rsid w:val="0B120D44"/>
    <w:rsid w:val="0B373B8A"/>
    <w:rsid w:val="0B485107"/>
    <w:rsid w:val="0B6E4263"/>
    <w:rsid w:val="0B807305"/>
    <w:rsid w:val="0BCD6AE0"/>
    <w:rsid w:val="0BD27BF6"/>
    <w:rsid w:val="0BD33036"/>
    <w:rsid w:val="0BDC4C37"/>
    <w:rsid w:val="0C0F534B"/>
    <w:rsid w:val="0C1C64A4"/>
    <w:rsid w:val="0C28767C"/>
    <w:rsid w:val="0C321AAD"/>
    <w:rsid w:val="0C3A68B7"/>
    <w:rsid w:val="0C3B3C7D"/>
    <w:rsid w:val="0C403416"/>
    <w:rsid w:val="0C611030"/>
    <w:rsid w:val="0C6805B7"/>
    <w:rsid w:val="0C7E5C63"/>
    <w:rsid w:val="0C995D04"/>
    <w:rsid w:val="0CAB2EAE"/>
    <w:rsid w:val="0CEE4692"/>
    <w:rsid w:val="0CEF57A1"/>
    <w:rsid w:val="0D615A36"/>
    <w:rsid w:val="0D621C7D"/>
    <w:rsid w:val="0D87739C"/>
    <w:rsid w:val="0DE2585D"/>
    <w:rsid w:val="0E1409F6"/>
    <w:rsid w:val="0E292F33"/>
    <w:rsid w:val="0E437AF6"/>
    <w:rsid w:val="0E4A60A8"/>
    <w:rsid w:val="0E5A5E98"/>
    <w:rsid w:val="0E66770C"/>
    <w:rsid w:val="0E73034D"/>
    <w:rsid w:val="0E865617"/>
    <w:rsid w:val="0EBC6B76"/>
    <w:rsid w:val="0ED711EA"/>
    <w:rsid w:val="0EDC33A7"/>
    <w:rsid w:val="0EF03DA3"/>
    <w:rsid w:val="0EF35047"/>
    <w:rsid w:val="0EF845D3"/>
    <w:rsid w:val="0F01750C"/>
    <w:rsid w:val="0F13775A"/>
    <w:rsid w:val="0F406C7B"/>
    <w:rsid w:val="0F5F45FE"/>
    <w:rsid w:val="0F6962EB"/>
    <w:rsid w:val="0F77518B"/>
    <w:rsid w:val="0F985B8A"/>
    <w:rsid w:val="0F9A112B"/>
    <w:rsid w:val="0FA658B5"/>
    <w:rsid w:val="0FC37863"/>
    <w:rsid w:val="0FDA631B"/>
    <w:rsid w:val="0FE30A88"/>
    <w:rsid w:val="0FF02D9D"/>
    <w:rsid w:val="100D0C7D"/>
    <w:rsid w:val="100F55B2"/>
    <w:rsid w:val="10125409"/>
    <w:rsid w:val="101F47CC"/>
    <w:rsid w:val="102D2656"/>
    <w:rsid w:val="10342716"/>
    <w:rsid w:val="103F65FA"/>
    <w:rsid w:val="104135F9"/>
    <w:rsid w:val="105F7620"/>
    <w:rsid w:val="106D2F64"/>
    <w:rsid w:val="107A48B4"/>
    <w:rsid w:val="108C1EAE"/>
    <w:rsid w:val="10A3136B"/>
    <w:rsid w:val="10B63710"/>
    <w:rsid w:val="10B668B4"/>
    <w:rsid w:val="10BC5350"/>
    <w:rsid w:val="10D51DC8"/>
    <w:rsid w:val="10F10820"/>
    <w:rsid w:val="111C2F7A"/>
    <w:rsid w:val="115454EC"/>
    <w:rsid w:val="11665CA1"/>
    <w:rsid w:val="119106B1"/>
    <w:rsid w:val="11B52F6D"/>
    <w:rsid w:val="11D37059"/>
    <w:rsid w:val="12145BB7"/>
    <w:rsid w:val="125218AC"/>
    <w:rsid w:val="12582B82"/>
    <w:rsid w:val="12690C99"/>
    <w:rsid w:val="126A686B"/>
    <w:rsid w:val="128B38F7"/>
    <w:rsid w:val="12941337"/>
    <w:rsid w:val="12AA5411"/>
    <w:rsid w:val="12E54299"/>
    <w:rsid w:val="12FF4134"/>
    <w:rsid w:val="13044ACE"/>
    <w:rsid w:val="13723DD9"/>
    <w:rsid w:val="13942FBD"/>
    <w:rsid w:val="13951726"/>
    <w:rsid w:val="139E2E9A"/>
    <w:rsid w:val="13B22958"/>
    <w:rsid w:val="13B44BE1"/>
    <w:rsid w:val="13B917ED"/>
    <w:rsid w:val="13BF7B47"/>
    <w:rsid w:val="13C61FA0"/>
    <w:rsid w:val="13F675E8"/>
    <w:rsid w:val="14396509"/>
    <w:rsid w:val="145E6C55"/>
    <w:rsid w:val="14654EC6"/>
    <w:rsid w:val="148E3F39"/>
    <w:rsid w:val="14B13EB5"/>
    <w:rsid w:val="14CD3440"/>
    <w:rsid w:val="14DD2C3C"/>
    <w:rsid w:val="14E344DD"/>
    <w:rsid w:val="14EA0703"/>
    <w:rsid w:val="14EB54BF"/>
    <w:rsid w:val="14F03B81"/>
    <w:rsid w:val="14F14BB4"/>
    <w:rsid w:val="14F52E34"/>
    <w:rsid w:val="15194C04"/>
    <w:rsid w:val="151D2886"/>
    <w:rsid w:val="152301B3"/>
    <w:rsid w:val="152F47A0"/>
    <w:rsid w:val="1530127D"/>
    <w:rsid w:val="153A08D8"/>
    <w:rsid w:val="1544030E"/>
    <w:rsid w:val="15556386"/>
    <w:rsid w:val="156224F4"/>
    <w:rsid w:val="15733171"/>
    <w:rsid w:val="158F4AE5"/>
    <w:rsid w:val="15931E94"/>
    <w:rsid w:val="16087E1D"/>
    <w:rsid w:val="16106088"/>
    <w:rsid w:val="1618554D"/>
    <w:rsid w:val="161F2542"/>
    <w:rsid w:val="162F484F"/>
    <w:rsid w:val="16442095"/>
    <w:rsid w:val="167209B0"/>
    <w:rsid w:val="16780594"/>
    <w:rsid w:val="16782FC5"/>
    <w:rsid w:val="16795EA2"/>
    <w:rsid w:val="16C53B97"/>
    <w:rsid w:val="16EA752C"/>
    <w:rsid w:val="172F3BED"/>
    <w:rsid w:val="1730153F"/>
    <w:rsid w:val="17373D95"/>
    <w:rsid w:val="17626F2A"/>
    <w:rsid w:val="176B7B12"/>
    <w:rsid w:val="17701D14"/>
    <w:rsid w:val="17735226"/>
    <w:rsid w:val="17A53503"/>
    <w:rsid w:val="17B60666"/>
    <w:rsid w:val="17D57A03"/>
    <w:rsid w:val="185536F8"/>
    <w:rsid w:val="18585984"/>
    <w:rsid w:val="18621B8D"/>
    <w:rsid w:val="188E7321"/>
    <w:rsid w:val="189F624C"/>
    <w:rsid w:val="18BB060B"/>
    <w:rsid w:val="18D86AC4"/>
    <w:rsid w:val="18E17362"/>
    <w:rsid w:val="18F644D4"/>
    <w:rsid w:val="19080183"/>
    <w:rsid w:val="19184990"/>
    <w:rsid w:val="193E05E4"/>
    <w:rsid w:val="19401A14"/>
    <w:rsid w:val="19427951"/>
    <w:rsid w:val="194556FE"/>
    <w:rsid w:val="19875E05"/>
    <w:rsid w:val="198B4A9E"/>
    <w:rsid w:val="199B523C"/>
    <w:rsid w:val="19C06BAC"/>
    <w:rsid w:val="19DE69E9"/>
    <w:rsid w:val="19E94311"/>
    <w:rsid w:val="19E94C67"/>
    <w:rsid w:val="1A1C66C0"/>
    <w:rsid w:val="1A2202E0"/>
    <w:rsid w:val="1A330877"/>
    <w:rsid w:val="1A42393B"/>
    <w:rsid w:val="1A4A5904"/>
    <w:rsid w:val="1A5F042B"/>
    <w:rsid w:val="1A624F25"/>
    <w:rsid w:val="1A656377"/>
    <w:rsid w:val="1A7E034D"/>
    <w:rsid w:val="1A986D4C"/>
    <w:rsid w:val="1AAD45DE"/>
    <w:rsid w:val="1AE43424"/>
    <w:rsid w:val="1AEF6A73"/>
    <w:rsid w:val="1AF53B83"/>
    <w:rsid w:val="1B046F80"/>
    <w:rsid w:val="1B0857DC"/>
    <w:rsid w:val="1B2B3C23"/>
    <w:rsid w:val="1B2C3FF7"/>
    <w:rsid w:val="1B3267B5"/>
    <w:rsid w:val="1B40161D"/>
    <w:rsid w:val="1B441859"/>
    <w:rsid w:val="1B6606B1"/>
    <w:rsid w:val="1B690D73"/>
    <w:rsid w:val="1B7B1C3C"/>
    <w:rsid w:val="1BBE3D12"/>
    <w:rsid w:val="1BC47CCB"/>
    <w:rsid w:val="1BDA75F9"/>
    <w:rsid w:val="1BE72E68"/>
    <w:rsid w:val="1BEC0880"/>
    <w:rsid w:val="1BEF5F30"/>
    <w:rsid w:val="1C027920"/>
    <w:rsid w:val="1C4632E2"/>
    <w:rsid w:val="1C566DC7"/>
    <w:rsid w:val="1C5E7925"/>
    <w:rsid w:val="1C8D6979"/>
    <w:rsid w:val="1C9A0BEA"/>
    <w:rsid w:val="1CA375F1"/>
    <w:rsid w:val="1CD82B58"/>
    <w:rsid w:val="1CD946A4"/>
    <w:rsid w:val="1CFD070F"/>
    <w:rsid w:val="1D037397"/>
    <w:rsid w:val="1D0B1216"/>
    <w:rsid w:val="1D0D78B0"/>
    <w:rsid w:val="1D21334F"/>
    <w:rsid w:val="1D4046FD"/>
    <w:rsid w:val="1D457206"/>
    <w:rsid w:val="1D545355"/>
    <w:rsid w:val="1D5F6196"/>
    <w:rsid w:val="1D6132A5"/>
    <w:rsid w:val="1D8E56D5"/>
    <w:rsid w:val="1D9820F3"/>
    <w:rsid w:val="1DC641CC"/>
    <w:rsid w:val="1DCD7D29"/>
    <w:rsid w:val="1DE06A54"/>
    <w:rsid w:val="1DEC729A"/>
    <w:rsid w:val="1DF123C2"/>
    <w:rsid w:val="1E05035C"/>
    <w:rsid w:val="1E06692E"/>
    <w:rsid w:val="1E1D4DC9"/>
    <w:rsid w:val="1E396257"/>
    <w:rsid w:val="1E42327C"/>
    <w:rsid w:val="1E7A43DA"/>
    <w:rsid w:val="1E867ABE"/>
    <w:rsid w:val="1E905D9E"/>
    <w:rsid w:val="1EBF33C3"/>
    <w:rsid w:val="1EEC32CA"/>
    <w:rsid w:val="1EF22E97"/>
    <w:rsid w:val="1EFA47BB"/>
    <w:rsid w:val="1F2D1B19"/>
    <w:rsid w:val="1F2F76D0"/>
    <w:rsid w:val="1F631D71"/>
    <w:rsid w:val="1FA701E0"/>
    <w:rsid w:val="1FA73C89"/>
    <w:rsid w:val="1FAB4566"/>
    <w:rsid w:val="1FE710E3"/>
    <w:rsid w:val="1FE7539E"/>
    <w:rsid w:val="200E6B42"/>
    <w:rsid w:val="201C1BF4"/>
    <w:rsid w:val="2020101D"/>
    <w:rsid w:val="20307CD4"/>
    <w:rsid w:val="204646AF"/>
    <w:rsid w:val="205E4ED2"/>
    <w:rsid w:val="20671BE0"/>
    <w:rsid w:val="207329B3"/>
    <w:rsid w:val="20963CB8"/>
    <w:rsid w:val="20A81A1B"/>
    <w:rsid w:val="20AE4CDA"/>
    <w:rsid w:val="20B07FB6"/>
    <w:rsid w:val="20B646FB"/>
    <w:rsid w:val="20B85A1A"/>
    <w:rsid w:val="20D10A26"/>
    <w:rsid w:val="20DC5586"/>
    <w:rsid w:val="211C6494"/>
    <w:rsid w:val="213B74B1"/>
    <w:rsid w:val="215869F4"/>
    <w:rsid w:val="215A2310"/>
    <w:rsid w:val="21696E53"/>
    <w:rsid w:val="21861F5B"/>
    <w:rsid w:val="21B7196D"/>
    <w:rsid w:val="21C262FE"/>
    <w:rsid w:val="21DA4292"/>
    <w:rsid w:val="21DC1CB5"/>
    <w:rsid w:val="21DC7625"/>
    <w:rsid w:val="21DE318A"/>
    <w:rsid w:val="21DE5ADD"/>
    <w:rsid w:val="21EF5B80"/>
    <w:rsid w:val="22034BB2"/>
    <w:rsid w:val="220A16FA"/>
    <w:rsid w:val="222334A6"/>
    <w:rsid w:val="222A1CBE"/>
    <w:rsid w:val="22576990"/>
    <w:rsid w:val="229073E5"/>
    <w:rsid w:val="22A10E8E"/>
    <w:rsid w:val="22AB486C"/>
    <w:rsid w:val="22F47480"/>
    <w:rsid w:val="2333430B"/>
    <w:rsid w:val="23445482"/>
    <w:rsid w:val="234E547A"/>
    <w:rsid w:val="23555288"/>
    <w:rsid w:val="235B15AA"/>
    <w:rsid w:val="23871539"/>
    <w:rsid w:val="23900224"/>
    <w:rsid w:val="239C21D7"/>
    <w:rsid w:val="23D81256"/>
    <w:rsid w:val="23DE1C48"/>
    <w:rsid w:val="240210CD"/>
    <w:rsid w:val="240C31EB"/>
    <w:rsid w:val="240D1D18"/>
    <w:rsid w:val="244912F3"/>
    <w:rsid w:val="24863878"/>
    <w:rsid w:val="248640D3"/>
    <w:rsid w:val="249A6912"/>
    <w:rsid w:val="249B49DE"/>
    <w:rsid w:val="24AD4D8B"/>
    <w:rsid w:val="24B53382"/>
    <w:rsid w:val="24BF09F7"/>
    <w:rsid w:val="24C06D8A"/>
    <w:rsid w:val="24C97D64"/>
    <w:rsid w:val="24F15196"/>
    <w:rsid w:val="25091C0A"/>
    <w:rsid w:val="252D53FE"/>
    <w:rsid w:val="255D7D6E"/>
    <w:rsid w:val="25764EA1"/>
    <w:rsid w:val="25C862AE"/>
    <w:rsid w:val="25C96113"/>
    <w:rsid w:val="25EC2D81"/>
    <w:rsid w:val="25F05208"/>
    <w:rsid w:val="25F34F3E"/>
    <w:rsid w:val="25F54EBE"/>
    <w:rsid w:val="260A5749"/>
    <w:rsid w:val="261E645E"/>
    <w:rsid w:val="26283CA1"/>
    <w:rsid w:val="262E4C80"/>
    <w:rsid w:val="26316819"/>
    <w:rsid w:val="263904EC"/>
    <w:rsid w:val="26597B80"/>
    <w:rsid w:val="266B754C"/>
    <w:rsid w:val="26735D96"/>
    <w:rsid w:val="26740622"/>
    <w:rsid w:val="268C220F"/>
    <w:rsid w:val="26DB285D"/>
    <w:rsid w:val="26F01DA0"/>
    <w:rsid w:val="27093701"/>
    <w:rsid w:val="27155308"/>
    <w:rsid w:val="27215588"/>
    <w:rsid w:val="272430AC"/>
    <w:rsid w:val="27297642"/>
    <w:rsid w:val="274F5597"/>
    <w:rsid w:val="277057A2"/>
    <w:rsid w:val="27795441"/>
    <w:rsid w:val="27806CA5"/>
    <w:rsid w:val="278C5610"/>
    <w:rsid w:val="279D1605"/>
    <w:rsid w:val="27BB1BE5"/>
    <w:rsid w:val="27E632BF"/>
    <w:rsid w:val="27EE7149"/>
    <w:rsid w:val="28037DA1"/>
    <w:rsid w:val="28190C8C"/>
    <w:rsid w:val="2829367C"/>
    <w:rsid w:val="2839170E"/>
    <w:rsid w:val="285C61FE"/>
    <w:rsid w:val="28662E60"/>
    <w:rsid w:val="28707358"/>
    <w:rsid w:val="28710FAC"/>
    <w:rsid w:val="287B3A41"/>
    <w:rsid w:val="2889601E"/>
    <w:rsid w:val="288E2C75"/>
    <w:rsid w:val="28907169"/>
    <w:rsid w:val="28A10C81"/>
    <w:rsid w:val="28C1610D"/>
    <w:rsid w:val="28C60EBC"/>
    <w:rsid w:val="28CA68F7"/>
    <w:rsid w:val="29086990"/>
    <w:rsid w:val="29155DEA"/>
    <w:rsid w:val="291C502D"/>
    <w:rsid w:val="29206EB8"/>
    <w:rsid w:val="29261FB1"/>
    <w:rsid w:val="29295B76"/>
    <w:rsid w:val="292F2A2A"/>
    <w:rsid w:val="29595666"/>
    <w:rsid w:val="29874881"/>
    <w:rsid w:val="29D97874"/>
    <w:rsid w:val="29E325E0"/>
    <w:rsid w:val="2A02578E"/>
    <w:rsid w:val="2A213202"/>
    <w:rsid w:val="2A372E29"/>
    <w:rsid w:val="2A430D59"/>
    <w:rsid w:val="2A452503"/>
    <w:rsid w:val="2A493F43"/>
    <w:rsid w:val="2A635327"/>
    <w:rsid w:val="2A681057"/>
    <w:rsid w:val="2A687324"/>
    <w:rsid w:val="2A77260A"/>
    <w:rsid w:val="2AE8528D"/>
    <w:rsid w:val="2AF06EB1"/>
    <w:rsid w:val="2AFF05FC"/>
    <w:rsid w:val="2B150678"/>
    <w:rsid w:val="2B2B1652"/>
    <w:rsid w:val="2B2F45C1"/>
    <w:rsid w:val="2B3F7830"/>
    <w:rsid w:val="2B6C62CF"/>
    <w:rsid w:val="2B87489E"/>
    <w:rsid w:val="2B8E1990"/>
    <w:rsid w:val="2B965634"/>
    <w:rsid w:val="2BA10E59"/>
    <w:rsid w:val="2BA936A8"/>
    <w:rsid w:val="2BB708B3"/>
    <w:rsid w:val="2BCB38C2"/>
    <w:rsid w:val="2BCC7020"/>
    <w:rsid w:val="2BD011B6"/>
    <w:rsid w:val="2C0901E2"/>
    <w:rsid w:val="2C0C573C"/>
    <w:rsid w:val="2C167BD8"/>
    <w:rsid w:val="2C2B6231"/>
    <w:rsid w:val="2C315A5A"/>
    <w:rsid w:val="2C4B1C25"/>
    <w:rsid w:val="2C541DCF"/>
    <w:rsid w:val="2CBA4E13"/>
    <w:rsid w:val="2CEB67AE"/>
    <w:rsid w:val="2D071354"/>
    <w:rsid w:val="2D0E5D03"/>
    <w:rsid w:val="2D3704F4"/>
    <w:rsid w:val="2D3B18D9"/>
    <w:rsid w:val="2D3C366E"/>
    <w:rsid w:val="2D8931CE"/>
    <w:rsid w:val="2D8A262B"/>
    <w:rsid w:val="2D8A60D8"/>
    <w:rsid w:val="2D9E56F5"/>
    <w:rsid w:val="2DA059AB"/>
    <w:rsid w:val="2DA63097"/>
    <w:rsid w:val="2DB938BE"/>
    <w:rsid w:val="2DC80482"/>
    <w:rsid w:val="2DD00106"/>
    <w:rsid w:val="2DD15BC8"/>
    <w:rsid w:val="2DDA68AA"/>
    <w:rsid w:val="2DE177E6"/>
    <w:rsid w:val="2DF06446"/>
    <w:rsid w:val="2E1D6191"/>
    <w:rsid w:val="2E5E4BD8"/>
    <w:rsid w:val="2E641E62"/>
    <w:rsid w:val="2E667F96"/>
    <w:rsid w:val="2E8226AB"/>
    <w:rsid w:val="2EB55486"/>
    <w:rsid w:val="2EBF35AB"/>
    <w:rsid w:val="2EC1468C"/>
    <w:rsid w:val="2EED20CC"/>
    <w:rsid w:val="2EF94A17"/>
    <w:rsid w:val="2F183ED1"/>
    <w:rsid w:val="2F4A686A"/>
    <w:rsid w:val="2F536021"/>
    <w:rsid w:val="2F5F6511"/>
    <w:rsid w:val="2F764C2A"/>
    <w:rsid w:val="2FB3260B"/>
    <w:rsid w:val="2FC43093"/>
    <w:rsid w:val="2FD065E6"/>
    <w:rsid w:val="2FD96870"/>
    <w:rsid w:val="2FE622EC"/>
    <w:rsid w:val="300041BD"/>
    <w:rsid w:val="30127E00"/>
    <w:rsid w:val="304F08EC"/>
    <w:rsid w:val="30580BC9"/>
    <w:rsid w:val="306D0356"/>
    <w:rsid w:val="308E41E1"/>
    <w:rsid w:val="30933F96"/>
    <w:rsid w:val="309B15B7"/>
    <w:rsid w:val="30A218C1"/>
    <w:rsid w:val="30A80D53"/>
    <w:rsid w:val="30AB09B1"/>
    <w:rsid w:val="30B237C6"/>
    <w:rsid w:val="30CB5C83"/>
    <w:rsid w:val="30D4399B"/>
    <w:rsid w:val="30E02529"/>
    <w:rsid w:val="30E62F81"/>
    <w:rsid w:val="30E82383"/>
    <w:rsid w:val="30FE0918"/>
    <w:rsid w:val="311E2ED7"/>
    <w:rsid w:val="314B586F"/>
    <w:rsid w:val="31531589"/>
    <w:rsid w:val="315317D6"/>
    <w:rsid w:val="315619EE"/>
    <w:rsid w:val="315C449C"/>
    <w:rsid w:val="315F59BF"/>
    <w:rsid w:val="31853836"/>
    <w:rsid w:val="31AF2660"/>
    <w:rsid w:val="31B82709"/>
    <w:rsid w:val="31D05482"/>
    <w:rsid w:val="31E20394"/>
    <w:rsid w:val="31E82B0E"/>
    <w:rsid w:val="32400B34"/>
    <w:rsid w:val="32555118"/>
    <w:rsid w:val="326666E5"/>
    <w:rsid w:val="326F3155"/>
    <w:rsid w:val="32792E2E"/>
    <w:rsid w:val="329E6876"/>
    <w:rsid w:val="32BE671E"/>
    <w:rsid w:val="32EE2D23"/>
    <w:rsid w:val="32F47928"/>
    <w:rsid w:val="330B1B18"/>
    <w:rsid w:val="333015F2"/>
    <w:rsid w:val="334B6320"/>
    <w:rsid w:val="336C10B9"/>
    <w:rsid w:val="3370723E"/>
    <w:rsid w:val="33811DDB"/>
    <w:rsid w:val="338B4409"/>
    <w:rsid w:val="339B395D"/>
    <w:rsid w:val="33A50001"/>
    <w:rsid w:val="33CC7B26"/>
    <w:rsid w:val="33D934D4"/>
    <w:rsid w:val="33DA5CD0"/>
    <w:rsid w:val="33F141E5"/>
    <w:rsid w:val="33FE2F6A"/>
    <w:rsid w:val="340B583D"/>
    <w:rsid w:val="340E07E5"/>
    <w:rsid w:val="34235BF7"/>
    <w:rsid w:val="34272982"/>
    <w:rsid w:val="34380DF7"/>
    <w:rsid w:val="343D344F"/>
    <w:rsid w:val="345274FE"/>
    <w:rsid w:val="3455091B"/>
    <w:rsid w:val="346076D9"/>
    <w:rsid w:val="34627E5E"/>
    <w:rsid w:val="346317D1"/>
    <w:rsid w:val="34926A67"/>
    <w:rsid w:val="34BD0FDC"/>
    <w:rsid w:val="34BD1BF4"/>
    <w:rsid w:val="34C23C48"/>
    <w:rsid w:val="34FA6E97"/>
    <w:rsid w:val="34FB51FE"/>
    <w:rsid w:val="35021C1E"/>
    <w:rsid w:val="35260E8C"/>
    <w:rsid w:val="35453974"/>
    <w:rsid w:val="35826304"/>
    <w:rsid w:val="358C5FA8"/>
    <w:rsid w:val="35B13B56"/>
    <w:rsid w:val="35C15DF1"/>
    <w:rsid w:val="35D72186"/>
    <w:rsid w:val="35E535BB"/>
    <w:rsid w:val="35FE448A"/>
    <w:rsid w:val="360427B6"/>
    <w:rsid w:val="36074A7F"/>
    <w:rsid w:val="36097229"/>
    <w:rsid w:val="36122D62"/>
    <w:rsid w:val="362E2680"/>
    <w:rsid w:val="364C3093"/>
    <w:rsid w:val="36596225"/>
    <w:rsid w:val="366704A6"/>
    <w:rsid w:val="366A591B"/>
    <w:rsid w:val="36716265"/>
    <w:rsid w:val="3680640D"/>
    <w:rsid w:val="36923549"/>
    <w:rsid w:val="369F2B94"/>
    <w:rsid w:val="36A706D6"/>
    <w:rsid w:val="36B75FBF"/>
    <w:rsid w:val="36B97010"/>
    <w:rsid w:val="36BB6F25"/>
    <w:rsid w:val="36BD0C45"/>
    <w:rsid w:val="36C1275C"/>
    <w:rsid w:val="36C452CD"/>
    <w:rsid w:val="36C54789"/>
    <w:rsid w:val="36DC1A44"/>
    <w:rsid w:val="36E8505C"/>
    <w:rsid w:val="36E8532A"/>
    <w:rsid w:val="371B7C79"/>
    <w:rsid w:val="372C070C"/>
    <w:rsid w:val="373C61B6"/>
    <w:rsid w:val="377A42FB"/>
    <w:rsid w:val="378C394C"/>
    <w:rsid w:val="37901985"/>
    <w:rsid w:val="37A77C1E"/>
    <w:rsid w:val="37B75022"/>
    <w:rsid w:val="37E00298"/>
    <w:rsid w:val="37E40DEE"/>
    <w:rsid w:val="37FE013A"/>
    <w:rsid w:val="38026503"/>
    <w:rsid w:val="382332A5"/>
    <w:rsid w:val="38456A2B"/>
    <w:rsid w:val="385059E9"/>
    <w:rsid w:val="38641FE2"/>
    <w:rsid w:val="386B3C9C"/>
    <w:rsid w:val="38A42BB4"/>
    <w:rsid w:val="38AA5AD3"/>
    <w:rsid w:val="38B302F9"/>
    <w:rsid w:val="38C84008"/>
    <w:rsid w:val="38E6351F"/>
    <w:rsid w:val="38F12CD3"/>
    <w:rsid w:val="38F94775"/>
    <w:rsid w:val="38FA3F39"/>
    <w:rsid w:val="39070FD4"/>
    <w:rsid w:val="39231B0D"/>
    <w:rsid w:val="392971ED"/>
    <w:rsid w:val="392C13B8"/>
    <w:rsid w:val="39325651"/>
    <w:rsid w:val="39372F3B"/>
    <w:rsid w:val="397A26B8"/>
    <w:rsid w:val="3980612A"/>
    <w:rsid w:val="398F4CC8"/>
    <w:rsid w:val="39AF0542"/>
    <w:rsid w:val="39BE27E9"/>
    <w:rsid w:val="39CA781C"/>
    <w:rsid w:val="39D20A3E"/>
    <w:rsid w:val="39D27CE5"/>
    <w:rsid w:val="39D752A9"/>
    <w:rsid w:val="39E50268"/>
    <w:rsid w:val="39F43B3F"/>
    <w:rsid w:val="39F448CD"/>
    <w:rsid w:val="39F57062"/>
    <w:rsid w:val="3A102E61"/>
    <w:rsid w:val="3A144E00"/>
    <w:rsid w:val="3A2403C2"/>
    <w:rsid w:val="3A275677"/>
    <w:rsid w:val="3A355612"/>
    <w:rsid w:val="3A455684"/>
    <w:rsid w:val="3A471605"/>
    <w:rsid w:val="3A562BEE"/>
    <w:rsid w:val="3A85457C"/>
    <w:rsid w:val="3A872856"/>
    <w:rsid w:val="3AFB6916"/>
    <w:rsid w:val="3AFD268F"/>
    <w:rsid w:val="3B0D106E"/>
    <w:rsid w:val="3B125945"/>
    <w:rsid w:val="3B2763BC"/>
    <w:rsid w:val="3B375B06"/>
    <w:rsid w:val="3B3763D1"/>
    <w:rsid w:val="3B6A4832"/>
    <w:rsid w:val="3B6B52D5"/>
    <w:rsid w:val="3B973A96"/>
    <w:rsid w:val="3BAE4FCF"/>
    <w:rsid w:val="3BDE0CCA"/>
    <w:rsid w:val="3BE92B6C"/>
    <w:rsid w:val="3BF84742"/>
    <w:rsid w:val="3BFE62B3"/>
    <w:rsid w:val="3C0C149A"/>
    <w:rsid w:val="3C240D8C"/>
    <w:rsid w:val="3C2F6E1E"/>
    <w:rsid w:val="3C465AC2"/>
    <w:rsid w:val="3C4B267E"/>
    <w:rsid w:val="3C4F64BA"/>
    <w:rsid w:val="3C500CC0"/>
    <w:rsid w:val="3C6D114E"/>
    <w:rsid w:val="3CDA245A"/>
    <w:rsid w:val="3D09665B"/>
    <w:rsid w:val="3D1E06B7"/>
    <w:rsid w:val="3D2D16A6"/>
    <w:rsid w:val="3D4C60A0"/>
    <w:rsid w:val="3D503063"/>
    <w:rsid w:val="3D6267D9"/>
    <w:rsid w:val="3D81198E"/>
    <w:rsid w:val="3D8336E7"/>
    <w:rsid w:val="3DA8376A"/>
    <w:rsid w:val="3DCF15FB"/>
    <w:rsid w:val="3E021D6A"/>
    <w:rsid w:val="3E4C209B"/>
    <w:rsid w:val="3E68075C"/>
    <w:rsid w:val="3E772DDF"/>
    <w:rsid w:val="3E835B15"/>
    <w:rsid w:val="3E9712E1"/>
    <w:rsid w:val="3E973828"/>
    <w:rsid w:val="3EAB22D1"/>
    <w:rsid w:val="3EB900AE"/>
    <w:rsid w:val="3EBD6CF4"/>
    <w:rsid w:val="3EDA0523"/>
    <w:rsid w:val="3EE43BF5"/>
    <w:rsid w:val="3EFB4009"/>
    <w:rsid w:val="3F0457FF"/>
    <w:rsid w:val="3F270E18"/>
    <w:rsid w:val="3F320513"/>
    <w:rsid w:val="3F3E7867"/>
    <w:rsid w:val="3F4D19CF"/>
    <w:rsid w:val="3F52287D"/>
    <w:rsid w:val="3F553CA7"/>
    <w:rsid w:val="3F8D5BDC"/>
    <w:rsid w:val="3FB36639"/>
    <w:rsid w:val="3FBB30AB"/>
    <w:rsid w:val="3FC63AA8"/>
    <w:rsid w:val="3FF76118"/>
    <w:rsid w:val="3FF8217C"/>
    <w:rsid w:val="3FFF5C73"/>
    <w:rsid w:val="40314F04"/>
    <w:rsid w:val="40364A27"/>
    <w:rsid w:val="407A6407"/>
    <w:rsid w:val="40A67324"/>
    <w:rsid w:val="40F1696F"/>
    <w:rsid w:val="40F86189"/>
    <w:rsid w:val="411F4F79"/>
    <w:rsid w:val="412B49C8"/>
    <w:rsid w:val="41393870"/>
    <w:rsid w:val="415B1EBD"/>
    <w:rsid w:val="417062E3"/>
    <w:rsid w:val="41845925"/>
    <w:rsid w:val="41920B01"/>
    <w:rsid w:val="41945B00"/>
    <w:rsid w:val="419C4BD2"/>
    <w:rsid w:val="41B84F3B"/>
    <w:rsid w:val="41BC4A42"/>
    <w:rsid w:val="41BF366A"/>
    <w:rsid w:val="41BF5A58"/>
    <w:rsid w:val="41CC6917"/>
    <w:rsid w:val="41D06876"/>
    <w:rsid w:val="4200449D"/>
    <w:rsid w:val="423A3BCC"/>
    <w:rsid w:val="424131CE"/>
    <w:rsid w:val="424E57D2"/>
    <w:rsid w:val="42542D56"/>
    <w:rsid w:val="42783849"/>
    <w:rsid w:val="427E684D"/>
    <w:rsid w:val="428537C5"/>
    <w:rsid w:val="428A1FC5"/>
    <w:rsid w:val="42A65E2D"/>
    <w:rsid w:val="42B26C49"/>
    <w:rsid w:val="42BF300E"/>
    <w:rsid w:val="42D64ACA"/>
    <w:rsid w:val="42E00CC7"/>
    <w:rsid w:val="42EF1F98"/>
    <w:rsid w:val="43246AFC"/>
    <w:rsid w:val="4336204F"/>
    <w:rsid w:val="433A6FE6"/>
    <w:rsid w:val="43480868"/>
    <w:rsid w:val="4350713C"/>
    <w:rsid w:val="4359067E"/>
    <w:rsid w:val="435E747C"/>
    <w:rsid w:val="436653E0"/>
    <w:rsid w:val="438869AD"/>
    <w:rsid w:val="43C403B8"/>
    <w:rsid w:val="43C4431A"/>
    <w:rsid w:val="43CE722C"/>
    <w:rsid w:val="43D0018B"/>
    <w:rsid w:val="43D37ED0"/>
    <w:rsid w:val="43D677E2"/>
    <w:rsid w:val="43E21DE1"/>
    <w:rsid w:val="440365E2"/>
    <w:rsid w:val="441A7E0D"/>
    <w:rsid w:val="44224D6E"/>
    <w:rsid w:val="44564BBE"/>
    <w:rsid w:val="44615FCE"/>
    <w:rsid w:val="44815866"/>
    <w:rsid w:val="44887F89"/>
    <w:rsid w:val="4492209A"/>
    <w:rsid w:val="44A818BD"/>
    <w:rsid w:val="44A84EAE"/>
    <w:rsid w:val="44B81FBC"/>
    <w:rsid w:val="44B951CC"/>
    <w:rsid w:val="44BA6822"/>
    <w:rsid w:val="44CD14E0"/>
    <w:rsid w:val="44F20B0B"/>
    <w:rsid w:val="45060BEE"/>
    <w:rsid w:val="4512194F"/>
    <w:rsid w:val="452E5F4C"/>
    <w:rsid w:val="45612018"/>
    <w:rsid w:val="458946E9"/>
    <w:rsid w:val="45A47C0E"/>
    <w:rsid w:val="45B55BBC"/>
    <w:rsid w:val="45DB5E74"/>
    <w:rsid w:val="460A7715"/>
    <w:rsid w:val="461A1F7C"/>
    <w:rsid w:val="46457516"/>
    <w:rsid w:val="46577FD6"/>
    <w:rsid w:val="465D52CB"/>
    <w:rsid w:val="465F0AEE"/>
    <w:rsid w:val="46BC74B1"/>
    <w:rsid w:val="46BE126E"/>
    <w:rsid w:val="46C121E9"/>
    <w:rsid w:val="46D52711"/>
    <w:rsid w:val="46D955A7"/>
    <w:rsid w:val="46E93E6B"/>
    <w:rsid w:val="47133957"/>
    <w:rsid w:val="47260F08"/>
    <w:rsid w:val="472F61A5"/>
    <w:rsid w:val="4730487F"/>
    <w:rsid w:val="473946B4"/>
    <w:rsid w:val="475300E9"/>
    <w:rsid w:val="475E5CD0"/>
    <w:rsid w:val="476A4435"/>
    <w:rsid w:val="477B76C2"/>
    <w:rsid w:val="47A07E0C"/>
    <w:rsid w:val="47AE2EAA"/>
    <w:rsid w:val="47C30B49"/>
    <w:rsid w:val="47D227AD"/>
    <w:rsid w:val="47D71C0C"/>
    <w:rsid w:val="47DA5C76"/>
    <w:rsid w:val="47FB44C2"/>
    <w:rsid w:val="480D4DF5"/>
    <w:rsid w:val="4824672E"/>
    <w:rsid w:val="483E6A94"/>
    <w:rsid w:val="4870272E"/>
    <w:rsid w:val="48990D33"/>
    <w:rsid w:val="48BF3AE0"/>
    <w:rsid w:val="48D44F3A"/>
    <w:rsid w:val="48EB206E"/>
    <w:rsid w:val="491A73CB"/>
    <w:rsid w:val="49352E94"/>
    <w:rsid w:val="495B0E0B"/>
    <w:rsid w:val="49677FDF"/>
    <w:rsid w:val="49914BB6"/>
    <w:rsid w:val="49DC7715"/>
    <w:rsid w:val="49E60786"/>
    <w:rsid w:val="4A023139"/>
    <w:rsid w:val="4A5C7DC7"/>
    <w:rsid w:val="4A5E429C"/>
    <w:rsid w:val="4A7A4BEA"/>
    <w:rsid w:val="4A7B576F"/>
    <w:rsid w:val="4A9459A1"/>
    <w:rsid w:val="4A9C310A"/>
    <w:rsid w:val="4AC61C84"/>
    <w:rsid w:val="4AF561A9"/>
    <w:rsid w:val="4B241572"/>
    <w:rsid w:val="4B2C0426"/>
    <w:rsid w:val="4B2F0591"/>
    <w:rsid w:val="4B634177"/>
    <w:rsid w:val="4B657B82"/>
    <w:rsid w:val="4B88737F"/>
    <w:rsid w:val="4B8D0681"/>
    <w:rsid w:val="4B8E5522"/>
    <w:rsid w:val="4BD42B45"/>
    <w:rsid w:val="4BE303F3"/>
    <w:rsid w:val="4C2B4294"/>
    <w:rsid w:val="4C4013E9"/>
    <w:rsid w:val="4C44161F"/>
    <w:rsid w:val="4C4A0649"/>
    <w:rsid w:val="4C564BEA"/>
    <w:rsid w:val="4C7D7F42"/>
    <w:rsid w:val="4C7E5ECA"/>
    <w:rsid w:val="4C7F114E"/>
    <w:rsid w:val="4C876AA5"/>
    <w:rsid w:val="4CC34D87"/>
    <w:rsid w:val="4CC43DC7"/>
    <w:rsid w:val="4CD86AB8"/>
    <w:rsid w:val="4CF300E1"/>
    <w:rsid w:val="4CF90092"/>
    <w:rsid w:val="4D0045BB"/>
    <w:rsid w:val="4D0E00FB"/>
    <w:rsid w:val="4D176606"/>
    <w:rsid w:val="4D2A360C"/>
    <w:rsid w:val="4D3E4198"/>
    <w:rsid w:val="4D532CB5"/>
    <w:rsid w:val="4D563DCD"/>
    <w:rsid w:val="4D575257"/>
    <w:rsid w:val="4D8C324F"/>
    <w:rsid w:val="4D90451E"/>
    <w:rsid w:val="4D9B2D39"/>
    <w:rsid w:val="4DA77C23"/>
    <w:rsid w:val="4DAE7818"/>
    <w:rsid w:val="4DC16DD5"/>
    <w:rsid w:val="4DDA6459"/>
    <w:rsid w:val="4DEC4FB0"/>
    <w:rsid w:val="4DF20138"/>
    <w:rsid w:val="4DF82FB8"/>
    <w:rsid w:val="4E075D8A"/>
    <w:rsid w:val="4E147857"/>
    <w:rsid w:val="4E21623C"/>
    <w:rsid w:val="4E412773"/>
    <w:rsid w:val="4E441669"/>
    <w:rsid w:val="4E5E2186"/>
    <w:rsid w:val="4E9A256A"/>
    <w:rsid w:val="4EA35E13"/>
    <w:rsid w:val="4EA876EC"/>
    <w:rsid w:val="4EB233C7"/>
    <w:rsid w:val="4EB60628"/>
    <w:rsid w:val="4EC00FAD"/>
    <w:rsid w:val="4EE01078"/>
    <w:rsid w:val="4EED61D2"/>
    <w:rsid w:val="4EF02E36"/>
    <w:rsid w:val="4F1D6170"/>
    <w:rsid w:val="4F2907A0"/>
    <w:rsid w:val="4F2E0C11"/>
    <w:rsid w:val="4F2E6B2E"/>
    <w:rsid w:val="4F42734B"/>
    <w:rsid w:val="4F442128"/>
    <w:rsid w:val="4F455F5A"/>
    <w:rsid w:val="4F4C3DA3"/>
    <w:rsid w:val="4F6A2397"/>
    <w:rsid w:val="4F705936"/>
    <w:rsid w:val="4F8613D9"/>
    <w:rsid w:val="4F94689B"/>
    <w:rsid w:val="4F9843DC"/>
    <w:rsid w:val="4FAE4C69"/>
    <w:rsid w:val="4FB73FB1"/>
    <w:rsid w:val="4FC62A8C"/>
    <w:rsid w:val="4FE20F0D"/>
    <w:rsid w:val="4FE51552"/>
    <w:rsid w:val="4FF17664"/>
    <w:rsid w:val="4FF30104"/>
    <w:rsid w:val="500B2D00"/>
    <w:rsid w:val="50153B7F"/>
    <w:rsid w:val="502868C2"/>
    <w:rsid w:val="50412BB1"/>
    <w:rsid w:val="50412BC6"/>
    <w:rsid w:val="50504C4B"/>
    <w:rsid w:val="507527DB"/>
    <w:rsid w:val="5082740D"/>
    <w:rsid w:val="50971DAD"/>
    <w:rsid w:val="509811E7"/>
    <w:rsid w:val="509C6E7C"/>
    <w:rsid w:val="509E01CB"/>
    <w:rsid w:val="50C07E5C"/>
    <w:rsid w:val="50D04F98"/>
    <w:rsid w:val="51155126"/>
    <w:rsid w:val="51165E00"/>
    <w:rsid w:val="511D5859"/>
    <w:rsid w:val="51366C1E"/>
    <w:rsid w:val="5162104E"/>
    <w:rsid w:val="51B30251"/>
    <w:rsid w:val="51BB0710"/>
    <w:rsid w:val="51D0746C"/>
    <w:rsid w:val="51D71203"/>
    <w:rsid w:val="51E83273"/>
    <w:rsid w:val="52397FF8"/>
    <w:rsid w:val="523C7263"/>
    <w:rsid w:val="52B306CA"/>
    <w:rsid w:val="52BC2BE1"/>
    <w:rsid w:val="52C00A54"/>
    <w:rsid w:val="53421668"/>
    <w:rsid w:val="53825C56"/>
    <w:rsid w:val="53A039CC"/>
    <w:rsid w:val="53A1505A"/>
    <w:rsid w:val="53C93484"/>
    <w:rsid w:val="53E32FD2"/>
    <w:rsid w:val="53E63289"/>
    <w:rsid w:val="54063E08"/>
    <w:rsid w:val="540B1521"/>
    <w:rsid w:val="542E3A7E"/>
    <w:rsid w:val="543437E8"/>
    <w:rsid w:val="54377E22"/>
    <w:rsid w:val="54466602"/>
    <w:rsid w:val="54543E77"/>
    <w:rsid w:val="545C6489"/>
    <w:rsid w:val="545D3EB5"/>
    <w:rsid w:val="54626A2A"/>
    <w:rsid w:val="5484240C"/>
    <w:rsid w:val="54AB6CD1"/>
    <w:rsid w:val="54AC754C"/>
    <w:rsid w:val="54B211D4"/>
    <w:rsid w:val="54E57D83"/>
    <w:rsid w:val="54EB365E"/>
    <w:rsid w:val="54F73313"/>
    <w:rsid w:val="54F80955"/>
    <w:rsid w:val="55294C21"/>
    <w:rsid w:val="555170A7"/>
    <w:rsid w:val="5587536D"/>
    <w:rsid w:val="55895AFA"/>
    <w:rsid w:val="559B174B"/>
    <w:rsid w:val="55AE4859"/>
    <w:rsid w:val="55CE0CF4"/>
    <w:rsid w:val="55E62390"/>
    <w:rsid w:val="55E62C22"/>
    <w:rsid w:val="55F55DC5"/>
    <w:rsid w:val="564B551F"/>
    <w:rsid w:val="5670520B"/>
    <w:rsid w:val="567E07E7"/>
    <w:rsid w:val="56A906E9"/>
    <w:rsid w:val="56B03E41"/>
    <w:rsid w:val="56B22A9C"/>
    <w:rsid w:val="56B45E9F"/>
    <w:rsid w:val="56CA61AA"/>
    <w:rsid w:val="56D17C3F"/>
    <w:rsid w:val="56EA488F"/>
    <w:rsid w:val="56FD401A"/>
    <w:rsid w:val="57076BB7"/>
    <w:rsid w:val="571C5DB6"/>
    <w:rsid w:val="578760B9"/>
    <w:rsid w:val="57A727A9"/>
    <w:rsid w:val="57B72A76"/>
    <w:rsid w:val="57C100D8"/>
    <w:rsid w:val="57C3426C"/>
    <w:rsid w:val="57C52EA9"/>
    <w:rsid w:val="57CB5604"/>
    <w:rsid w:val="57CE1F93"/>
    <w:rsid w:val="57DB7C26"/>
    <w:rsid w:val="57E435FD"/>
    <w:rsid w:val="580801E8"/>
    <w:rsid w:val="580C4523"/>
    <w:rsid w:val="580D49C9"/>
    <w:rsid w:val="58160210"/>
    <w:rsid w:val="581D5CC6"/>
    <w:rsid w:val="58294A5B"/>
    <w:rsid w:val="5830113C"/>
    <w:rsid w:val="58507E4A"/>
    <w:rsid w:val="58607961"/>
    <w:rsid w:val="586B6F75"/>
    <w:rsid w:val="58755A9D"/>
    <w:rsid w:val="587B372D"/>
    <w:rsid w:val="5886503A"/>
    <w:rsid w:val="588743D1"/>
    <w:rsid w:val="5887701A"/>
    <w:rsid w:val="58953AAF"/>
    <w:rsid w:val="589601AE"/>
    <w:rsid w:val="589A10C5"/>
    <w:rsid w:val="58CE2290"/>
    <w:rsid w:val="58E63645"/>
    <w:rsid w:val="592943F0"/>
    <w:rsid w:val="594D1BFB"/>
    <w:rsid w:val="59842069"/>
    <w:rsid w:val="59C0439F"/>
    <w:rsid w:val="59C268CB"/>
    <w:rsid w:val="59D76CB1"/>
    <w:rsid w:val="5A2A4EE1"/>
    <w:rsid w:val="5A301B84"/>
    <w:rsid w:val="5A377465"/>
    <w:rsid w:val="5A5F1760"/>
    <w:rsid w:val="5A7C1425"/>
    <w:rsid w:val="5AA77DB5"/>
    <w:rsid w:val="5ABE2233"/>
    <w:rsid w:val="5AC222A7"/>
    <w:rsid w:val="5ACA1478"/>
    <w:rsid w:val="5ADD01B9"/>
    <w:rsid w:val="5B6756B6"/>
    <w:rsid w:val="5B6A2FD1"/>
    <w:rsid w:val="5B8A3673"/>
    <w:rsid w:val="5B920779"/>
    <w:rsid w:val="5BA50AAE"/>
    <w:rsid w:val="5BAC3BCB"/>
    <w:rsid w:val="5BB32AD9"/>
    <w:rsid w:val="5BDF5D95"/>
    <w:rsid w:val="5BFE7528"/>
    <w:rsid w:val="5C1014A6"/>
    <w:rsid w:val="5C124D16"/>
    <w:rsid w:val="5C142AC5"/>
    <w:rsid w:val="5C2B016C"/>
    <w:rsid w:val="5C3575C0"/>
    <w:rsid w:val="5C7D05CF"/>
    <w:rsid w:val="5C803453"/>
    <w:rsid w:val="5C8452BA"/>
    <w:rsid w:val="5C8512CA"/>
    <w:rsid w:val="5CCE3E69"/>
    <w:rsid w:val="5D0905C7"/>
    <w:rsid w:val="5D0B2EB8"/>
    <w:rsid w:val="5D621E8A"/>
    <w:rsid w:val="5D6D7CC9"/>
    <w:rsid w:val="5D6E05E3"/>
    <w:rsid w:val="5D864AA3"/>
    <w:rsid w:val="5D897632"/>
    <w:rsid w:val="5DB35A81"/>
    <w:rsid w:val="5DC21862"/>
    <w:rsid w:val="5DE427DD"/>
    <w:rsid w:val="5DE96366"/>
    <w:rsid w:val="5E2467F1"/>
    <w:rsid w:val="5E316028"/>
    <w:rsid w:val="5E33609A"/>
    <w:rsid w:val="5E507F5B"/>
    <w:rsid w:val="5E820631"/>
    <w:rsid w:val="5ED76DD9"/>
    <w:rsid w:val="5ED879CC"/>
    <w:rsid w:val="5F1A2B43"/>
    <w:rsid w:val="5F2B57AF"/>
    <w:rsid w:val="5F316193"/>
    <w:rsid w:val="5F337B7D"/>
    <w:rsid w:val="5F375835"/>
    <w:rsid w:val="5F6E3FE3"/>
    <w:rsid w:val="5F781A31"/>
    <w:rsid w:val="5F8D192A"/>
    <w:rsid w:val="5F964CD8"/>
    <w:rsid w:val="5FA06BF6"/>
    <w:rsid w:val="5FA41E86"/>
    <w:rsid w:val="5FAE4A4C"/>
    <w:rsid w:val="5FB641C3"/>
    <w:rsid w:val="5FB837BB"/>
    <w:rsid w:val="5FFD54A0"/>
    <w:rsid w:val="60235F31"/>
    <w:rsid w:val="605C4497"/>
    <w:rsid w:val="605D4239"/>
    <w:rsid w:val="606840E1"/>
    <w:rsid w:val="60792959"/>
    <w:rsid w:val="60B04706"/>
    <w:rsid w:val="60B151FE"/>
    <w:rsid w:val="60B5589E"/>
    <w:rsid w:val="60B75C23"/>
    <w:rsid w:val="60C57631"/>
    <w:rsid w:val="60CB269E"/>
    <w:rsid w:val="60CC3E17"/>
    <w:rsid w:val="60CC405A"/>
    <w:rsid w:val="60DE11C6"/>
    <w:rsid w:val="611867DD"/>
    <w:rsid w:val="612968DD"/>
    <w:rsid w:val="617E2811"/>
    <w:rsid w:val="61925778"/>
    <w:rsid w:val="61B159B5"/>
    <w:rsid w:val="61D334AE"/>
    <w:rsid w:val="61E215D8"/>
    <w:rsid w:val="61F96E5C"/>
    <w:rsid w:val="620D303A"/>
    <w:rsid w:val="62156105"/>
    <w:rsid w:val="621B3775"/>
    <w:rsid w:val="62364782"/>
    <w:rsid w:val="623A6591"/>
    <w:rsid w:val="62400DDA"/>
    <w:rsid w:val="6260147F"/>
    <w:rsid w:val="628F77C1"/>
    <w:rsid w:val="629D540E"/>
    <w:rsid w:val="62BE492C"/>
    <w:rsid w:val="62CA68B3"/>
    <w:rsid w:val="62D27B3D"/>
    <w:rsid w:val="62F505B2"/>
    <w:rsid w:val="62FF2E1F"/>
    <w:rsid w:val="63082288"/>
    <w:rsid w:val="634D2AAE"/>
    <w:rsid w:val="637063C8"/>
    <w:rsid w:val="638C2694"/>
    <w:rsid w:val="6394356A"/>
    <w:rsid w:val="63B41B25"/>
    <w:rsid w:val="63C61B2C"/>
    <w:rsid w:val="63D40BE9"/>
    <w:rsid w:val="63D728C3"/>
    <w:rsid w:val="63FC7C28"/>
    <w:rsid w:val="640332EE"/>
    <w:rsid w:val="64102431"/>
    <w:rsid w:val="64187CF4"/>
    <w:rsid w:val="641F0320"/>
    <w:rsid w:val="643B2AF7"/>
    <w:rsid w:val="64412924"/>
    <w:rsid w:val="64634A61"/>
    <w:rsid w:val="6480574B"/>
    <w:rsid w:val="64A5243A"/>
    <w:rsid w:val="64D2511C"/>
    <w:rsid w:val="64F531DE"/>
    <w:rsid w:val="64F65633"/>
    <w:rsid w:val="65013B1E"/>
    <w:rsid w:val="650709E0"/>
    <w:rsid w:val="650F3710"/>
    <w:rsid w:val="65145749"/>
    <w:rsid w:val="652B155E"/>
    <w:rsid w:val="652C25BD"/>
    <w:rsid w:val="65373578"/>
    <w:rsid w:val="6555058E"/>
    <w:rsid w:val="655D522B"/>
    <w:rsid w:val="657C62EB"/>
    <w:rsid w:val="65813DF1"/>
    <w:rsid w:val="65BB267B"/>
    <w:rsid w:val="65CA272C"/>
    <w:rsid w:val="66045387"/>
    <w:rsid w:val="66117F24"/>
    <w:rsid w:val="662B15AE"/>
    <w:rsid w:val="665A7ACD"/>
    <w:rsid w:val="665F6047"/>
    <w:rsid w:val="66612841"/>
    <w:rsid w:val="666A561B"/>
    <w:rsid w:val="66871921"/>
    <w:rsid w:val="66A54B73"/>
    <w:rsid w:val="66A870A3"/>
    <w:rsid w:val="66B250A2"/>
    <w:rsid w:val="66CA0E9F"/>
    <w:rsid w:val="66E726F1"/>
    <w:rsid w:val="66E73C10"/>
    <w:rsid w:val="66ED0F5A"/>
    <w:rsid w:val="6707201B"/>
    <w:rsid w:val="671F124A"/>
    <w:rsid w:val="67252AD0"/>
    <w:rsid w:val="6736371C"/>
    <w:rsid w:val="673A0E55"/>
    <w:rsid w:val="674D0360"/>
    <w:rsid w:val="67594808"/>
    <w:rsid w:val="676A0013"/>
    <w:rsid w:val="677A33C6"/>
    <w:rsid w:val="677C4A40"/>
    <w:rsid w:val="67841173"/>
    <w:rsid w:val="679505E8"/>
    <w:rsid w:val="67984046"/>
    <w:rsid w:val="679E00CC"/>
    <w:rsid w:val="67BC1EBE"/>
    <w:rsid w:val="67FD6F7B"/>
    <w:rsid w:val="681F6961"/>
    <w:rsid w:val="68610A2F"/>
    <w:rsid w:val="686A5161"/>
    <w:rsid w:val="68805514"/>
    <w:rsid w:val="689B6EBF"/>
    <w:rsid w:val="68C12989"/>
    <w:rsid w:val="68F71C1C"/>
    <w:rsid w:val="69316E2F"/>
    <w:rsid w:val="694E2071"/>
    <w:rsid w:val="69513A22"/>
    <w:rsid w:val="69766163"/>
    <w:rsid w:val="697A3B33"/>
    <w:rsid w:val="699C24C2"/>
    <w:rsid w:val="699E77CC"/>
    <w:rsid w:val="69A61A53"/>
    <w:rsid w:val="69AA611C"/>
    <w:rsid w:val="69D21F22"/>
    <w:rsid w:val="69D44760"/>
    <w:rsid w:val="69D831B4"/>
    <w:rsid w:val="69EF46E2"/>
    <w:rsid w:val="6A000431"/>
    <w:rsid w:val="6A09071E"/>
    <w:rsid w:val="6A106E27"/>
    <w:rsid w:val="6A334ED5"/>
    <w:rsid w:val="6A340C62"/>
    <w:rsid w:val="6A507835"/>
    <w:rsid w:val="6A520EC7"/>
    <w:rsid w:val="6A716433"/>
    <w:rsid w:val="6A7318D2"/>
    <w:rsid w:val="6A830498"/>
    <w:rsid w:val="6A885221"/>
    <w:rsid w:val="6AAC2D80"/>
    <w:rsid w:val="6AD831E2"/>
    <w:rsid w:val="6AF87E20"/>
    <w:rsid w:val="6B1349A9"/>
    <w:rsid w:val="6B190CCB"/>
    <w:rsid w:val="6B19231D"/>
    <w:rsid w:val="6B1940CB"/>
    <w:rsid w:val="6B1B172D"/>
    <w:rsid w:val="6B1B36F7"/>
    <w:rsid w:val="6B211664"/>
    <w:rsid w:val="6B2C5D10"/>
    <w:rsid w:val="6B322639"/>
    <w:rsid w:val="6B3A2E3E"/>
    <w:rsid w:val="6B3D3568"/>
    <w:rsid w:val="6B447911"/>
    <w:rsid w:val="6B575D35"/>
    <w:rsid w:val="6B9A18AC"/>
    <w:rsid w:val="6B9E2823"/>
    <w:rsid w:val="6BB73744"/>
    <w:rsid w:val="6BCF16EA"/>
    <w:rsid w:val="6BD910A1"/>
    <w:rsid w:val="6BF1198A"/>
    <w:rsid w:val="6C636C38"/>
    <w:rsid w:val="6C873EED"/>
    <w:rsid w:val="6CA42DA0"/>
    <w:rsid w:val="6CA80264"/>
    <w:rsid w:val="6CCF6157"/>
    <w:rsid w:val="6CD92752"/>
    <w:rsid w:val="6CF03552"/>
    <w:rsid w:val="6CF76B7D"/>
    <w:rsid w:val="6D5A13CF"/>
    <w:rsid w:val="6D714693"/>
    <w:rsid w:val="6D7236C4"/>
    <w:rsid w:val="6D75048C"/>
    <w:rsid w:val="6D7C0345"/>
    <w:rsid w:val="6D8360D1"/>
    <w:rsid w:val="6DB34098"/>
    <w:rsid w:val="6DB545B6"/>
    <w:rsid w:val="6DE02FB4"/>
    <w:rsid w:val="6DE44514"/>
    <w:rsid w:val="6E015DF0"/>
    <w:rsid w:val="6E0635A2"/>
    <w:rsid w:val="6E514CED"/>
    <w:rsid w:val="6E54004E"/>
    <w:rsid w:val="6E722F24"/>
    <w:rsid w:val="6E9A5725"/>
    <w:rsid w:val="6EB563D5"/>
    <w:rsid w:val="6EC8149F"/>
    <w:rsid w:val="6ED143E7"/>
    <w:rsid w:val="6ED92677"/>
    <w:rsid w:val="6EDF10D9"/>
    <w:rsid w:val="6EDF2742"/>
    <w:rsid w:val="6EE4391A"/>
    <w:rsid w:val="6EF51E6A"/>
    <w:rsid w:val="6F031302"/>
    <w:rsid w:val="6F04276C"/>
    <w:rsid w:val="6F0D7199"/>
    <w:rsid w:val="6F225983"/>
    <w:rsid w:val="6F2679E3"/>
    <w:rsid w:val="6F38357B"/>
    <w:rsid w:val="6F3F1919"/>
    <w:rsid w:val="6F5161E8"/>
    <w:rsid w:val="6F5C7537"/>
    <w:rsid w:val="6F6667CD"/>
    <w:rsid w:val="6F8C40D5"/>
    <w:rsid w:val="6F8D0FE5"/>
    <w:rsid w:val="6F8D27D4"/>
    <w:rsid w:val="6FCF203B"/>
    <w:rsid w:val="6FF8543C"/>
    <w:rsid w:val="6FFC5590"/>
    <w:rsid w:val="701A2DBF"/>
    <w:rsid w:val="70453F88"/>
    <w:rsid w:val="706D1DD0"/>
    <w:rsid w:val="707856AE"/>
    <w:rsid w:val="70852267"/>
    <w:rsid w:val="70856B87"/>
    <w:rsid w:val="709C1A26"/>
    <w:rsid w:val="70D527EE"/>
    <w:rsid w:val="70E47042"/>
    <w:rsid w:val="71120B9E"/>
    <w:rsid w:val="713E1BB9"/>
    <w:rsid w:val="714A4E96"/>
    <w:rsid w:val="714D0DEE"/>
    <w:rsid w:val="7152603A"/>
    <w:rsid w:val="715B5300"/>
    <w:rsid w:val="7160674B"/>
    <w:rsid w:val="71803F15"/>
    <w:rsid w:val="718B7FBD"/>
    <w:rsid w:val="71943523"/>
    <w:rsid w:val="719F0E68"/>
    <w:rsid w:val="71A62431"/>
    <w:rsid w:val="71B22FDE"/>
    <w:rsid w:val="71B87EA3"/>
    <w:rsid w:val="71D27F8A"/>
    <w:rsid w:val="7204578E"/>
    <w:rsid w:val="721F0D4B"/>
    <w:rsid w:val="722C2936"/>
    <w:rsid w:val="723E4B15"/>
    <w:rsid w:val="72553024"/>
    <w:rsid w:val="72566E3A"/>
    <w:rsid w:val="725979C6"/>
    <w:rsid w:val="72752CA5"/>
    <w:rsid w:val="72770396"/>
    <w:rsid w:val="7289422C"/>
    <w:rsid w:val="72B908CC"/>
    <w:rsid w:val="72D5519C"/>
    <w:rsid w:val="72DD1B11"/>
    <w:rsid w:val="72E97241"/>
    <w:rsid w:val="72F60B77"/>
    <w:rsid w:val="72FB40C6"/>
    <w:rsid w:val="72FB5901"/>
    <w:rsid w:val="73104DF7"/>
    <w:rsid w:val="73122968"/>
    <w:rsid w:val="7313195C"/>
    <w:rsid w:val="731F5D5E"/>
    <w:rsid w:val="73261A7B"/>
    <w:rsid w:val="732E6B82"/>
    <w:rsid w:val="735C42E6"/>
    <w:rsid w:val="737F3653"/>
    <w:rsid w:val="73820D97"/>
    <w:rsid w:val="738465C1"/>
    <w:rsid w:val="738B1AF9"/>
    <w:rsid w:val="73BA23D1"/>
    <w:rsid w:val="73BB4017"/>
    <w:rsid w:val="73C35982"/>
    <w:rsid w:val="73C51AD5"/>
    <w:rsid w:val="73C663EF"/>
    <w:rsid w:val="741E793C"/>
    <w:rsid w:val="741F12A9"/>
    <w:rsid w:val="74303A4D"/>
    <w:rsid w:val="74341F76"/>
    <w:rsid w:val="74451EBE"/>
    <w:rsid w:val="745E3944"/>
    <w:rsid w:val="747542CE"/>
    <w:rsid w:val="7483371C"/>
    <w:rsid w:val="749A45ED"/>
    <w:rsid w:val="74B4004C"/>
    <w:rsid w:val="74DD25FB"/>
    <w:rsid w:val="74F236DC"/>
    <w:rsid w:val="751C09C1"/>
    <w:rsid w:val="756D1FC7"/>
    <w:rsid w:val="759766F5"/>
    <w:rsid w:val="759E179B"/>
    <w:rsid w:val="759F5E8E"/>
    <w:rsid w:val="75B346EE"/>
    <w:rsid w:val="75BD0C4E"/>
    <w:rsid w:val="75C71B98"/>
    <w:rsid w:val="75DC122C"/>
    <w:rsid w:val="75E66245"/>
    <w:rsid w:val="75FA0301"/>
    <w:rsid w:val="76165FD1"/>
    <w:rsid w:val="76247D85"/>
    <w:rsid w:val="7635099D"/>
    <w:rsid w:val="764B6C68"/>
    <w:rsid w:val="76691C04"/>
    <w:rsid w:val="766920FE"/>
    <w:rsid w:val="76926017"/>
    <w:rsid w:val="76927F98"/>
    <w:rsid w:val="76961EA4"/>
    <w:rsid w:val="76B92F53"/>
    <w:rsid w:val="76D87ACB"/>
    <w:rsid w:val="76E7615D"/>
    <w:rsid w:val="76F64AD2"/>
    <w:rsid w:val="76FB22D3"/>
    <w:rsid w:val="76FB480B"/>
    <w:rsid w:val="76FE21DD"/>
    <w:rsid w:val="77156C7D"/>
    <w:rsid w:val="77345A6B"/>
    <w:rsid w:val="773C46EE"/>
    <w:rsid w:val="77474423"/>
    <w:rsid w:val="77494E2F"/>
    <w:rsid w:val="77690189"/>
    <w:rsid w:val="776B2153"/>
    <w:rsid w:val="77751056"/>
    <w:rsid w:val="77762421"/>
    <w:rsid w:val="777E040B"/>
    <w:rsid w:val="77845225"/>
    <w:rsid w:val="77B56B1F"/>
    <w:rsid w:val="77C76A64"/>
    <w:rsid w:val="77EB0C48"/>
    <w:rsid w:val="77EB3F5A"/>
    <w:rsid w:val="780810FA"/>
    <w:rsid w:val="780F09F4"/>
    <w:rsid w:val="781F24FD"/>
    <w:rsid w:val="7832573E"/>
    <w:rsid w:val="78474280"/>
    <w:rsid w:val="78A6654F"/>
    <w:rsid w:val="78A90480"/>
    <w:rsid w:val="78AB0948"/>
    <w:rsid w:val="78B03770"/>
    <w:rsid w:val="78B11DE7"/>
    <w:rsid w:val="78B95D6F"/>
    <w:rsid w:val="78BE250F"/>
    <w:rsid w:val="78E30DAD"/>
    <w:rsid w:val="78EC72C3"/>
    <w:rsid w:val="78F95897"/>
    <w:rsid w:val="79126A19"/>
    <w:rsid w:val="79156E10"/>
    <w:rsid w:val="793A1290"/>
    <w:rsid w:val="795433BC"/>
    <w:rsid w:val="796511D6"/>
    <w:rsid w:val="796F56DA"/>
    <w:rsid w:val="799E5A35"/>
    <w:rsid w:val="79B853F7"/>
    <w:rsid w:val="79DE4E5E"/>
    <w:rsid w:val="79FE1126"/>
    <w:rsid w:val="7A0C34FA"/>
    <w:rsid w:val="7A2138EE"/>
    <w:rsid w:val="7A2B7977"/>
    <w:rsid w:val="7A2E7DEF"/>
    <w:rsid w:val="7A364017"/>
    <w:rsid w:val="7A472D47"/>
    <w:rsid w:val="7A4B46FF"/>
    <w:rsid w:val="7A5C3FD5"/>
    <w:rsid w:val="7A707052"/>
    <w:rsid w:val="7A8265E1"/>
    <w:rsid w:val="7A8907D4"/>
    <w:rsid w:val="7A894231"/>
    <w:rsid w:val="7A9A5138"/>
    <w:rsid w:val="7ABC4A73"/>
    <w:rsid w:val="7AC24292"/>
    <w:rsid w:val="7B092401"/>
    <w:rsid w:val="7B324FCD"/>
    <w:rsid w:val="7B686D42"/>
    <w:rsid w:val="7B841746"/>
    <w:rsid w:val="7BDB58D9"/>
    <w:rsid w:val="7BE06FC1"/>
    <w:rsid w:val="7BE77E33"/>
    <w:rsid w:val="7BF16E84"/>
    <w:rsid w:val="7C1D1EC1"/>
    <w:rsid w:val="7C365DE1"/>
    <w:rsid w:val="7C3B673E"/>
    <w:rsid w:val="7C401BE6"/>
    <w:rsid w:val="7C5B0896"/>
    <w:rsid w:val="7C6C5AC7"/>
    <w:rsid w:val="7CB974BC"/>
    <w:rsid w:val="7CC6544B"/>
    <w:rsid w:val="7D0239FF"/>
    <w:rsid w:val="7D11554A"/>
    <w:rsid w:val="7D147C5F"/>
    <w:rsid w:val="7D17018C"/>
    <w:rsid w:val="7D201658"/>
    <w:rsid w:val="7D291BFA"/>
    <w:rsid w:val="7D2B31E4"/>
    <w:rsid w:val="7D4C67BA"/>
    <w:rsid w:val="7D5E40CD"/>
    <w:rsid w:val="7D670168"/>
    <w:rsid w:val="7D770A28"/>
    <w:rsid w:val="7D7D673C"/>
    <w:rsid w:val="7D853842"/>
    <w:rsid w:val="7D9D6FA5"/>
    <w:rsid w:val="7DAE16D1"/>
    <w:rsid w:val="7DCD56F2"/>
    <w:rsid w:val="7DEC183C"/>
    <w:rsid w:val="7DF26EEA"/>
    <w:rsid w:val="7DF91B29"/>
    <w:rsid w:val="7E0C0193"/>
    <w:rsid w:val="7E252FA5"/>
    <w:rsid w:val="7E2E3EDA"/>
    <w:rsid w:val="7E611BB9"/>
    <w:rsid w:val="7E9F4DA1"/>
    <w:rsid w:val="7EA244C7"/>
    <w:rsid w:val="7EC521A7"/>
    <w:rsid w:val="7ED3474D"/>
    <w:rsid w:val="7EF17FBE"/>
    <w:rsid w:val="7F001CE7"/>
    <w:rsid w:val="7F221E2E"/>
    <w:rsid w:val="7F3C1CC8"/>
    <w:rsid w:val="7F693200"/>
    <w:rsid w:val="7F6E016D"/>
    <w:rsid w:val="7F8076EA"/>
    <w:rsid w:val="7F9452D1"/>
    <w:rsid w:val="7F9F0B14"/>
    <w:rsid w:val="7FB41E9D"/>
    <w:rsid w:val="7FE47E50"/>
    <w:rsid w:val="7FE5531B"/>
    <w:rsid w:val="7FE945D4"/>
    <w:rsid w:val="7FEB208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nhideWhenUsed="0" w:uiPriority="0" w:semiHidden="0" w:name="heading 3" w:locked="1"/>
    <w:lsdException w:qFormat="1" w:unhideWhenUsed="0" w:uiPriority="1" w:semiHidden="0" w:name="heading 4" w:locked="1"/>
    <w:lsdException w:qFormat="1" w:uiPriority="0" w:semiHidden="0" w:name="heading 5" w:locked="1"/>
    <w:lsdException w:qFormat="1" w:uiPriority="0" w:semiHidden="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qFormat="1" w:unhideWhenUsed="0" w:uiPriority="39"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35"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qFormat="1" w:unhideWhenUsed="0" w:uiPriority="0" w:semiHidden="0" w:name="List 3" w:locked="1"/>
    <w:lsdException w:unhideWhenUsed="0" w:uiPriority="0" w:semiHidden="0" w:name="List 4" w:locked="1"/>
    <w:lsdException w:unhideWhenUsed="0" w:uiPriority="0" w:semiHidden="0" w:name="List 5" w:locked="1"/>
    <w:lsdException w:qFormat="1"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qFormat="1" w:unhideWhenUsed="0" w:uiPriority="0" w:semiHidden="0" w:name="Salutation" w:locked="1"/>
    <w:lsdException w:qFormat="1" w:unhideWhenUsed="0" w:uiPriority="0" w:semiHidden="0" w:name="Date"/>
    <w:lsdException w:qFormat="1" w:uiPriority="99" w:semiHidden="0" w:name="Body Text First Indent" w:locked="1"/>
    <w:lsdException w:unhideWhenUsed="0" w:uiPriority="0" w:semiHidden="0" w:name="Body Text First Indent 2" w:locked="1"/>
    <w:lsdException w:unhideWhenUsed="0" w:uiPriority="0" w:semiHidden="0" w:name="Note Heading" w:locked="1"/>
    <w:lsdException w:qFormat="1" w:uiPriority="0" w:semiHidden="0" w:name="Body Text 2" w:locked="1"/>
    <w:lsdException w:unhideWhenUsed="0" w:uiPriority="0" w:semiHidden="0" w:name="Body Text 3" w:locked="1"/>
    <w:lsdException w:qFormat="1" w:unhideWhenUsed="0" w:uiPriority="0" w:semiHidden="0" w:name="Body Text Indent 2" w:locked="1"/>
    <w:lsdException w:qFormat="1" w:unhideWhenUsed="0" w:uiPriority="99" w:semiHidden="0" w:name="Body Text Indent 3" w:locked="1"/>
    <w:lsdException w:qFormat="1" w:unhideWhenUsed="0" w:uiPriority="0" w:semiHidden="0" w:name="Block Text" w:locked="1"/>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20" w:semiHidden="0" w:name="Emphasis" w:locked="1"/>
    <w:lsdException w:unhideWhenUsed="0" w:uiPriority="0" w:semiHidden="0" w:name="Document Map" w:locked="1"/>
    <w:lsdException w:qFormat="1" w:unhideWhenUsed="0" w:uiPriority="0" w:semiHidden="0" w:name="Plain Text" w:locked="1"/>
    <w:lsdException w:qFormat="1" w:uiPriority="99"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8">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19">
    <w:name w:val="heading 2"/>
    <w:basedOn w:val="1"/>
    <w:next w:val="1"/>
    <w:link w:val="62"/>
    <w:qFormat/>
    <w:locked/>
    <w:uiPriority w:val="0"/>
    <w:pPr>
      <w:keepNext/>
      <w:keepLines/>
      <w:spacing w:before="260" w:after="260" w:line="416" w:lineRule="auto"/>
      <w:outlineLvl w:val="1"/>
    </w:pPr>
    <w:rPr>
      <w:rFonts w:ascii="等线 Light" w:hAnsi="等线 Light" w:eastAsia="等线 Light" w:cs="Times New Roman"/>
      <w:b/>
      <w:bCs/>
      <w:sz w:val="32"/>
      <w:szCs w:val="32"/>
    </w:rPr>
  </w:style>
  <w:style w:type="paragraph" w:styleId="10">
    <w:name w:val="heading 3"/>
    <w:basedOn w:val="1"/>
    <w:next w:val="1"/>
    <w:qFormat/>
    <w:locked/>
    <w:uiPriority w:val="0"/>
    <w:pPr>
      <w:keepNext/>
      <w:keepLines/>
      <w:spacing w:before="260" w:after="260" w:line="416" w:lineRule="auto"/>
      <w:outlineLvl w:val="2"/>
    </w:pPr>
    <w:rPr>
      <w:b/>
      <w:bCs/>
      <w:sz w:val="32"/>
      <w:szCs w:val="32"/>
    </w:rPr>
  </w:style>
  <w:style w:type="paragraph" w:styleId="20">
    <w:name w:val="heading 4"/>
    <w:basedOn w:val="1"/>
    <w:next w:val="1"/>
    <w:qFormat/>
    <w:locked/>
    <w:uiPriority w:val="1"/>
    <w:pPr>
      <w:outlineLvl w:val="3"/>
    </w:pPr>
    <w:rPr>
      <w:rFonts w:ascii="宋体" w:hAnsi="宋体" w:eastAsia="宋体" w:cs="宋体"/>
      <w:b/>
      <w:bCs/>
      <w:sz w:val="24"/>
      <w:szCs w:val="24"/>
      <w:lang w:val="zh-CN" w:eastAsia="zh-CN" w:bidi="zh-CN"/>
    </w:rPr>
  </w:style>
  <w:style w:type="paragraph" w:styleId="21">
    <w:name w:val="heading 5"/>
    <w:next w:val="1"/>
    <w:unhideWhenUsed/>
    <w:qFormat/>
    <w:locked/>
    <w:uiPriority w:val="0"/>
    <w:pPr>
      <w:keepNext/>
      <w:keepLines/>
      <w:numPr>
        <w:ilvl w:val="4"/>
        <w:numId w:val="1"/>
      </w:numPr>
      <w:spacing w:line="360" w:lineRule="auto"/>
      <w:ind w:firstLine="1440" w:firstLineChars="200"/>
      <w:outlineLvl w:val="4"/>
    </w:pPr>
    <w:rPr>
      <w:rFonts w:ascii="Times New Roman" w:hAnsi="Times New Roman" w:eastAsia="宋体" w:cs="Times New Roman"/>
      <w:b/>
      <w:bCs/>
      <w:sz w:val="24"/>
      <w:szCs w:val="24"/>
      <w:lang w:val="en-US" w:eastAsia="zh-CN" w:bidi="ar-SA"/>
    </w:rPr>
  </w:style>
  <w:style w:type="paragraph" w:styleId="22">
    <w:name w:val="heading 6"/>
    <w:basedOn w:val="1"/>
    <w:next w:val="1"/>
    <w:unhideWhenUsed/>
    <w:qFormat/>
    <w:locked/>
    <w:uiPriority w:val="0"/>
    <w:pPr>
      <w:keepNext/>
      <w:keepLines/>
      <w:numPr>
        <w:ilvl w:val="5"/>
        <w:numId w:val="1"/>
      </w:numPr>
      <w:ind w:firstLine="1440" w:firstLineChars="200"/>
      <w:outlineLvl w:val="5"/>
    </w:pPr>
    <w:rPr>
      <w:szCs w:val="21"/>
    </w:rPr>
  </w:style>
  <w:style w:type="character" w:default="1" w:styleId="50">
    <w:name w:val="Default Paragraph Font"/>
    <w:semiHidden/>
    <w:qFormat/>
    <w:uiPriority w:val="0"/>
  </w:style>
  <w:style w:type="table" w:default="1" w:styleId="48">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
    <w:name w:val="纯文本1"/>
    <w:basedOn w:val="1"/>
    <w:next w:val="1"/>
    <w:qFormat/>
    <w:uiPriority w:val="0"/>
    <w:pPr>
      <w:adjustRightInd w:val="0"/>
    </w:pPr>
    <w:rPr>
      <w:rFonts w:ascii="宋体" w:hAnsi="Courier New"/>
      <w:szCs w:val="20"/>
    </w:rPr>
  </w:style>
  <w:style w:type="paragraph" w:customStyle="1" w:styleId="4">
    <w:name w:val="样式35"/>
    <w:basedOn w:val="5"/>
    <w:next w:val="11"/>
    <w:qFormat/>
    <w:uiPriority w:val="0"/>
    <w:pPr>
      <w:tabs>
        <w:tab w:val="left" w:pos="0"/>
        <w:tab w:val="left" w:pos="360"/>
        <w:tab w:val="left" w:pos="480"/>
        <w:tab w:val="left" w:pos="540"/>
        <w:tab w:val="left" w:pos="567"/>
        <w:tab w:val="left" w:pos="720"/>
        <w:tab w:val="left" w:pos="992"/>
      </w:tabs>
      <w:ind w:hanging="567"/>
    </w:pPr>
  </w:style>
  <w:style w:type="paragraph" w:customStyle="1" w:styleId="5">
    <w:name w:val="样式26"/>
    <w:basedOn w:val="6"/>
    <w:qFormat/>
    <w:uiPriority w:val="0"/>
    <w:pPr>
      <w:tabs>
        <w:tab w:val="left" w:pos="0"/>
        <w:tab w:val="left" w:pos="360"/>
        <w:tab w:val="left" w:pos="480"/>
        <w:tab w:val="left" w:pos="540"/>
        <w:tab w:val="left" w:pos="567"/>
        <w:tab w:val="left" w:pos="720"/>
      </w:tabs>
    </w:pPr>
  </w:style>
  <w:style w:type="paragraph" w:customStyle="1" w:styleId="6">
    <w:name w:val="样式21"/>
    <w:basedOn w:val="7"/>
    <w:qFormat/>
    <w:uiPriority w:val="0"/>
    <w:pPr>
      <w:numPr>
        <w:ilvl w:val="1"/>
        <w:numId w:val="2"/>
      </w:numPr>
    </w:pPr>
    <w:rPr>
      <w:bCs/>
    </w:rPr>
  </w:style>
  <w:style w:type="paragraph" w:customStyle="1" w:styleId="7">
    <w:name w:val="样式5"/>
    <w:basedOn w:val="8"/>
    <w:qFormat/>
    <w:uiPriority w:val="0"/>
    <w:pPr>
      <w:keepNext w:val="0"/>
      <w:keepLines w:val="0"/>
      <w:widowControl/>
      <w:spacing w:beforeLines="50" w:afterLines="50" w:line="360" w:lineRule="auto"/>
      <w:ind w:left="780" w:hanging="360"/>
      <w:jc w:val="left"/>
    </w:pPr>
    <w:rPr>
      <w:rFonts w:ascii="Times New Roman" w:hAnsi="Times New Roman"/>
      <w:bCs w:val="0"/>
      <w:kern w:val="0"/>
      <w:sz w:val="30"/>
      <w:szCs w:val="30"/>
    </w:rPr>
  </w:style>
  <w:style w:type="paragraph" w:customStyle="1" w:styleId="8">
    <w:name w:val="样式12"/>
    <w:basedOn w:val="9"/>
    <w:qFormat/>
    <w:uiPriority w:val="0"/>
    <w:pPr>
      <w:spacing w:before="180" w:after="120" w:line="500" w:lineRule="exact"/>
      <w:ind w:firstLine="200" w:firstLineChars="200"/>
      <w:jc w:val="center"/>
    </w:pPr>
    <w:rPr>
      <w:rFonts w:ascii="Arial" w:hAnsi="Arial"/>
      <w:sz w:val="36"/>
    </w:rPr>
  </w:style>
  <w:style w:type="paragraph" w:customStyle="1" w:styleId="9">
    <w:name w:val="样式 标题 3标题 3 Char标题3H3h33rd level第二层条三级标题ReHead 3 WSA头..."/>
    <w:basedOn w:val="10"/>
    <w:qFormat/>
    <w:uiPriority w:val="0"/>
    <w:pPr>
      <w:ind w:left="4140" w:hanging="720"/>
    </w:pPr>
    <w:rPr>
      <w:rFonts w:eastAsia="黑体"/>
      <w:color w:val="FF0000"/>
    </w:rPr>
  </w:style>
  <w:style w:type="paragraph" w:customStyle="1" w:styleId="11">
    <w:name w:val="font6"/>
    <w:basedOn w:val="1"/>
    <w:next w:val="12"/>
    <w:qFormat/>
    <w:uiPriority w:val="0"/>
    <w:pPr>
      <w:widowControl/>
      <w:spacing w:before="100" w:beforeAutospacing="1" w:after="100" w:afterAutospacing="1"/>
      <w:jc w:val="left"/>
    </w:pPr>
    <w:rPr>
      <w:rFonts w:eastAsia="Arial Unicode MS"/>
      <w:kern w:val="0"/>
      <w:sz w:val="28"/>
      <w:szCs w:val="28"/>
    </w:rPr>
  </w:style>
  <w:style w:type="paragraph" w:styleId="12">
    <w:name w:val="toc 2"/>
    <w:basedOn w:val="1"/>
    <w:next w:val="13"/>
    <w:qFormat/>
    <w:locked/>
    <w:uiPriority w:val="39"/>
    <w:pPr>
      <w:tabs>
        <w:tab w:val="left" w:pos="840"/>
        <w:tab w:val="right" w:leader="dot" w:pos="9060"/>
      </w:tabs>
      <w:spacing w:line="400" w:lineRule="exact"/>
      <w:ind w:left="210"/>
      <w:jc w:val="left"/>
    </w:pPr>
    <w:rPr>
      <w:smallCaps/>
      <w:sz w:val="20"/>
      <w:szCs w:val="20"/>
    </w:rPr>
  </w:style>
  <w:style w:type="paragraph" w:styleId="13">
    <w:name w:val="E-mail Signature"/>
    <w:basedOn w:val="1"/>
    <w:next w:val="14"/>
    <w:unhideWhenUsed/>
    <w:qFormat/>
    <w:locked/>
    <w:uiPriority w:val="99"/>
    <w:pPr>
      <w:spacing w:line="460" w:lineRule="exact"/>
      <w:ind w:firstLine="200"/>
    </w:pPr>
  </w:style>
  <w:style w:type="paragraph" w:customStyle="1" w:styleId="14">
    <w:name w:val="文章"/>
    <w:basedOn w:val="15"/>
    <w:next w:val="17"/>
    <w:qFormat/>
    <w:uiPriority w:val="0"/>
    <w:pPr>
      <w:widowControl/>
      <w:spacing w:line="240" w:lineRule="auto"/>
      <w:jc w:val="center"/>
    </w:pPr>
    <w:rPr>
      <w:sz w:val="26"/>
    </w:rPr>
  </w:style>
  <w:style w:type="paragraph" w:styleId="15">
    <w:name w:val="Body Text Indent"/>
    <w:basedOn w:val="1"/>
    <w:next w:val="16"/>
    <w:link w:val="63"/>
    <w:qFormat/>
    <w:uiPriority w:val="0"/>
    <w:pPr>
      <w:spacing w:after="120"/>
      <w:ind w:left="420" w:leftChars="200"/>
    </w:pPr>
    <w:rPr>
      <w:kern w:val="0"/>
      <w:sz w:val="24"/>
      <w:szCs w:val="20"/>
    </w:rPr>
  </w:style>
  <w:style w:type="paragraph" w:styleId="16">
    <w:name w:val="caption"/>
    <w:basedOn w:val="1"/>
    <w:next w:val="1"/>
    <w:qFormat/>
    <w:locked/>
    <w:uiPriority w:val="35"/>
    <w:pPr>
      <w:tabs>
        <w:tab w:val="left" w:pos="3240"/>
        <w:tab w:val="left" w:pos="6120"/>
      </w:tabs>
    </w:pPr>
    <w:rPr>
      <w:rFonts w:ascii="Cambria" w:hAnsi="Cambria" w:eastAsia="黑体" w:cs="Times New Roman"/>
      <w:sz w:val="20"/>
      <w:szCs w:val="20"/>
    </w:rPr>
  </w:style>
  <w:style w:type="paragraph" w:styleId="17">
    <w:name w:val="List"/>
    <w:basedOn w:val="1"/>
    <w:next w:val="1"/>
    <w:qFormat/>
    <w:locked/>
    <w:uiPriority w:val="0"/>
    <w:pPr>
      <w:ind w:left="200" w:hanging="200" w:hangingChars="200"/>
    </w:pPr>
  </w:style>
  <w:style w:type="paragraph" w:styleId="23">
    <w:name w:val="List 3"/>
    <w:basedOn w:val="1"/>
    <w:next w:val="1"/>
    <w:qFormat/>
    <w:locked/>
    <w:uiPriority w:val="0"/>
    <w:pPr>
      <w:ind w:left="100" w:leftChars="400" w:hanging="200" w:hangingChars="200"/>
    </w:pPr>
    <w:rPr>
      <w:szCs w:val="20"/>
    </w:rPr>
  </w:style>
  <w:style w:type="paragraph" w:styleId="24">
    <w:name w:val="Normal Indent"/>
    <w:basedOn w:val="1"/>
    <w:next w:val="20"/>
    <w:qFormat/>
    <w:locked/>
    <w:uiPriority w:val="0"/>
    <w:pPr>
      <w:spacing w:line="360" w:lineRule="auto"/>
      <w:ind w:firstLine="420" w:firstLineChars="200"/>
    </w:pPr>
    <w:rPr>
      <w:sz w:val="24"/>
    </w:rPr>
  </w:style>
  <w:style w:type="paragraph" w:styleId="25">
    <w:name w:val="annotation text"/>
    <w:basedOn w:val="1"/>
    <w:link w:val="65"/>
    <w:semiHidden/>
    <w:qFormat/>
    <w:uiPriority w:val="0"/>
    <w:pPr>
      <w:jc w:val="left"/>
    </w:pPr>
    <w:rPr>
      <w:kern w:val="0"/>
      <w:sz w:val="24"/>
      <w:szCs w:val="20"/>
    </w:rPr>
  </w:style>
  <w:style w:type="paragraph" w:styleId="26">
    <w:name w:val="Salutation"/>
    <w:basedOn w:val="1"/>
    <w:next w:val="1"/>
    <w:qFormat/>
    <w:locked/>
    <w:uiPriority w:val="0"/>
  </w:style>
  <w:style w:type="paragraph" w:styleId="27">
    <w:name w:val="Body Text"/>
    <w:basedOn w:val="1"/>
    <w:next w:val="28"/>
    <w:link w:val="64"/>
    <w:qFormat/>
    <w:uiPriority w:val="0"/>
    <w:pPr>
      <w:widowControl/>
      <w:snapToGrid w:val="0"/>
      <w:spacing w:before="60" w:after="160" w:line="259" w:lineRule="auto"/>
      <w:ind w:right="113"/>
    </w:pPr>
    <w:rPr>
      <w:kern w:val="0"/>
      <w:sz w:val="18"/>
      <w:szCs w:val="20"/>
    </w:rPr>
  </w:style>
  <w:style w:type="paragraph" w:styleId="28">
    <w:name w:val="List Bullet 5"/>
    <w:basedOn w:val="1"/>
    <w:qFormat/>
    <w:locked/>
    <w:uiPriority w:val="0"/>
    <w:pPr>
      <w:numPr>
        <w:ilvl w:val="0"/>
        <w:numId w:val="3"/>
      </w:numPr>
    </w:pPr>
  </w:style>
  <w:style w:type="paragraph" w:styleId="29">
    <w:name w:val="Block Text"/>
    <w:basedOn w:val="1"/>
    <w:qFormat/>
    <w:locked/>
    <w:uiPriority w:val="0"/>
    <w:pPr>
      <w:spacing w:after="120"/>
      <w:ind w:left="1440" w:leftChars="700" w:right="1440" w:rightChars="700"/>
    </w:pPr>
  </w:style>
  <w:style w:type="paragraph" w:styleId="30">
    <w:name w:val="List Bullet 2"/>
    <w:basedOn w:val="1"/>
    <w:next w:val="31"/>
    <w:qFormat/>
    <w:locked/>
    <w:uiPriority w:val="0"/>
    <w:pPr>
      <w:numPr>
        <w:ilvl w:val="0"/>
        <w:numId w:val="4"/>
      </w:numPr>
    </w:pPr>
  </w:style>
  <w:style w:type="paragraph" w:customStyle="1" w:styleId="31">
    <w:name w:val="xl70"/>
    <w:basedOn w:val="1"/>
    <w:next w:val="32"/>
    <w:qFormat/>
    <w:uiPriority w:val="0"/>
    <w:pPr>
      <w:widowControl/>
      <w:spacing w:before="100" w:beforeAutospacing="1" w:after="100" w:afterAutospacing="1" w:line="240" w:lineRule="auto"/>
      <w:ind w:firstLine="0" w:firstLineChars="0"/>
    </w:pPr>
    <w:rPr>
      <w:rFonts w:ascii="Arial" w:hAnsi="Arial" w:cs="Arial"/>
    </w:rPr>
  </w:style>
  <w:style w:type="paragraph" w:customStyle="1" w:styleId="32">
    <w:name w:val="正文缩进1"/>
    <w:basedOn w:val="1"/>
    <w:next w:val="33"/>
    <w:qFormat/>
    <w:uiPriority w:val="0"/>
    <w:pPr>
      <w:spacing w:line="240" w:lineRule="auto"/>
      <w:ind w:firstLine="420" w:firstLineChars="0"/>
    </w:pPr>
  </w:style>
  <w:style w:type="paragraph" w:customStyle="1" w:styleId="33">
    <w:name w:val="td1"/>
    <w:basedOn w:val="1"/>
    <w:next w:val="1"/>
    <w:qFormat/>
    <w:uiPriority w:val="0"/>
    <w:pPr>
      <w:widowControl/>
      <w:spacing w:before="280" w:after="280" w:line="300" w:lineRule="atLeast"/>
    </w:pPr>
    <w:rPr>
      <w:sz w:val="18"/>
    </w:rPr>
  </w:style>
  <w:style w:type="paragraph" w:styleId="34">
    <w:name w:val="Plain Text"/>
    <w:basedOn w:val="1"/>
    <w:qFormat/>
    <w:locked/>
    <w:uiPriority w:val="0"/>
    <w:rPr>
      <w:rFonts w:ascii="宋体" w:hAnsi="Courier New"/>
      <w:szCs w:val="20"/>
    </w:rPr>
  </w:style>
  <w:style w:type="paragraph" w:styleId="35">
    <w:name w:val="Date"/>
    <w:basedOn w:val="1"/>
    <w:next w:val="1"/>
    <w:link w:val="66"/>
    <w:qFormat/>
    <w:uiPriority w:val="0"/>
    <w:pPr>
      <w:ind w:left="100" w:leftChars="2500"/>
    </w:pPr>
    <w:rPr>
      <w:kern w:val="0"/>
      <w:sz w:val="24"/>
      <w:szCs w:val="20"/>
    </w:rPr>
  </w:style>
  <w:style w:type="paragraph" w:styleId="36">
    <w:name w:val="Body Text Indent 2"/>
    <w:basedOn w:val="1"/>
    <w:qFormat/>
    <w:locked/>
    <w:uiPriority w:val="0"/>
    <w:pPr>
      <w:spacing w:line="300" w:lineRule="auto"/>
      <w:ind w:firstLine="570"/>
    </w:pPr>
    <w:rPr>
      <w:sz w:val="28"/>
      <w:szCs w:val="20"/>
    </w:rPr>
  </w:style>
  <w:style w:type="paragraph" w:styleId="37">
    <w:name w:val="Balloon Text"/>
    <w:basedOn w:val="1"/>
    <w:link w:val="67"/>
    <w:semiHidden/>
    <w:qFormat/>
    <w:uiPriority w:val="0"/>
    <w:rPr>
      <w:kern w:val="0"/>
      <w:sz w:val="18"/>
      <w:szCs w:val="20"/>
    </w:rPr>
  </w:style>
  <w:style w:type="paragraph" w:styleId="38">
    <w:name w:val="footer"/>
    <w:basedOn w:val="1"/>
    <w:link w:val="68"/>
    <w:qFormat/>
    <w:uiPriority w:val="99"/>
    <w:pPr>
      <w:tabs>
        <w:tab w:val="center" w:pos="4153"/>
        <w:tab w:val="right" w:pos="8306"/>
      </w:tabs>
      <w:snapToGrid w:val="0"/>
      <w:jc w:val="left"/>
    </w:pPr>
    <w:rPr>
      <w:kern w:val="0"/>
      <w:sz w:val="18"/>
      <w:szCs w:val="20"/>
    </w:rPr>
  </w:style>
  <w:style w:type="paragraph" w:styleId="39">
    <w:name w:val="header"/>
    <w:basedOn w:val="1"/>
    <w:link w:val="69"/>
    <w:qFormat/>
    <w:uiPriority w:val="0"/>
    <w:pPr>
      <w:pBdr>
        <w:bottom w:val="single" w:color="auto" w:sz="6" w:space="1"/>
      </w:pBdr>
      <w:tabs>
        <w:tab w:val="center" w:pos="4153"/>
        <w:tab w:val="right" w:pos="8306"/>
      </w:tabs>
      <w:snapToGrid w:val="0"/>
      <w:jc w:val="center"/>
    </w:pPr>
    <w:rPr>
      <w:kern w:val="0"/>
      <w:sz w:val="18"/>
      <w:szCs w:val="20"/>
    </w:rPr>
  </w:style>
  <w:style w:type="paragraph" w:styleId="40">
    <w:name w:val="toc 1"/>
    <w:basedOn w:val="1"/>
    <w:next w:val="1"/>
    <w:unhideWhenUsed/>
    <w:qFormat/>
    <w:locked/>
    <w:uiPriority w:val="0"/>
  </w:style>
  <w:style w:type="paragraph" w:styleId="41">
    <w:name w:val="Body Text Indent 3"/>
    <w:basedOn w:val="1"/>
    <w:qFormat/>
    <w:locked/>
    <w:uiPriority w:val="99"/>
    <w:pPr>
      <w:snapToGrid w:val="0"/>
      <w:spacing w:line="480" w:lineRule="exact"/>
      <w:ind w:firstLine="535" w:firstLineChars="191"/>
    </w:pPr>
    <w:rPr>
      <w:sz w:val="28"/>
    </w:rPr>
  </w:style>
  <w:style w:type="paragraph" w:styleId="42">
    <w:name w:val="toc 9"/>
    <w:basedOn w:val="1"/>
    <w:next w:val="1"/>
    <w:qFormat/>
    <w:locked/>
    <w:uiPriority w:val="39"/>
    <w:pPr>
      <w:ind w:left="1680"/>
      <w:jc w:val="left"/>
    </w:pPr>
    <w:rPr>
      <w:sz w:val="20"/>
      <w:szCs w:val="20"/>
    </w:rPr>
  </w:style>
  <w:style w:type="paragraph" w:styleId="43">
    <w:name w:val="Body Text 2"/>
    <w:basedOn w:val="1"/>
    <w:unhideWhenUsed/>
    <w:qFormat/>
    <w:locked/>
    <w:uiPriority w:val="0"/>
    <w:pPr>
      <w:spacing w:after="120" w:line="480" w:lineRule="auto"/>
    </w:pPr>
  </w:style>
  <w:style w:type="paragraph" w:styleId="44">
    <w:name w:val="HTML Preformatted"/>
    <w:basedOn w:val="1"/>
    <w:qFormat/>
    <w:lock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5">
    <w:name w:val="Normal (Web)"/>
    <w:basedOn w:val="1"/>
    <w:link w:val="70"/>
    <w:qFormat/>
    <w:uiPriority w:val="0"/>
    <w:pPr>
      <w:widowControl/>
      <w:spacing w:before="100" w:beforeAutospacing="1" w:after="100" w:afterAutospacing="1"/>
      <w:jc w:val="left"/>
    </w:pPr>
    <w:rPr>
      <w:rFonts w:ascii="宋体" w:hAnsi="宋体"/>
      <w:kern w:val="0"/>
      <w:sz w:val="24"/>
      <w:szCs w:val="20"/>
    </w:rPr>
  </w:style>
  <w:style w:type="paragraph" w:styleId="46">
    <w:name w:val="annotation subject"/>
    <w:basedOn w:val="25"/>
    <w:next w:val="25"/>
    <w:link w:val="71"/>
    <w:semiHidden/>
    <w:qFormat/>
    <w:uiPriority w:val="0"/>
    <w:rPr>
      <w:b/>
      <w:sz w:val="24"/>
      <w:szCs w:val="20"/>
    </w:rPr>
  </w:style>
  <w:style w:type="paragraph" w:styleId="47">
    <w:name w:val="Body Text First Indent"/>
    <w:basedOn w:val="27"/>
    <w:unhideWhenUsed/>
    <w:qFormat/>
    <w:locked/>
    <w:uiPriority w:val="99"/>
    <w:pPr>
      <w:ind w:firstLine="420" w:firstLineChars="100"/>
    </w:pPr>
  </w:style>
  <w:style w:type="table" w:styleId="49">
    <w:name w:val="Table Grid"/>
    <w:basedOn w:val="48"/>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basedOn w:val="50"/>
    <w:qFormat/>
    <w:locked/>
    <w:uiPriority w:val="0"/>
    <w:rPr>
      <w:b/>
    </w:rPr>
  </w:style>
  <w:style w:type="character" w:styleId="52">
    <w:name w:val="page number"/>
    <w:qFormat/>
    <w:locked/>
    <w:uiPriority w:val="0"/>
  </w:style>
  <w:style w:type="character" w:styleId="53">
    <w:name w:val="Emphasis"/>
    <w:qFormat/>
    <w:locked/>
    <w:uiPriority w:val="20"/>
    <w:rPr>
      <w:i/>
    </w:rPr>
  </w:style>
  <w:style w:type="character" w:styleId="54">
    <w:name w:val="Hyperlink"/>
    <w:qFormat/>
    <w:locked/>
    <w:uiPriority w:val="0"/>
    <w:rPr>
      <w:color w:val="0000FF"/>
      <w:u w:val="single"/>
    </w:rPr>
  </w:style>
  <w:style w:type="character" w:styleId="55">
    <w:name w:val="annotation reference"/>
    <w:semiHidden/>
    <w:qFormat/>
    <w:uiPriority w:val="0"/>
    <w:rPr>
      <w:sz w:val="21"/>
    </w:rPr>
  </w:style>
  <w:style w:type="paragraph" w:customStyle="1" w:styleId="56">
    <w:name w:val="正文文字 6"/>
    <w:basedOn w:val="57"/>
    <w:next w:val="1"/>
    <w:qFormat/>
    <w:uiPriority w:val="0"/>
    <w:pPr>
      <w:widowControl w:val="0"/>
      <w:ind w:left="240"/>
      <w:jc w:val="both"/>
    </w:pPr>
    <w:rPr>
      <w:rFonts w:ascii="宋体"/>
      <w:b/>
      <w:bCs/>
      <w:kern w:val="2"/>
      <w:sz w:val="32"/>
      <w:szCs w:val="32"/>
      <w:lang w:val="en-US" w:eastAsia="zh-CN" w:bidi="ar-SA"/>
    </w:rPr>
  </w:style>
  <w:style w:type="paragraph" w:customStyle="1" w:styleId="57">
    <w:name w:val="图位置"/>
    <w:next w:val="58"/>
    <w:qFormat/>
    <w:uiPriority w:val="0"/>
    <w:pPr>
      <w:jc w:val="center"/>
    </w:pPr>
    <w:rPr>
      <w:rFonts w:ascii="Times New Roman" w:hAnsi="Times New Roman" w:eastAsia="宋体" w:cs="Times New Roman"/>
      <w:kern w:val="2"/>
      <w:sz w:val="24"/>
      <w:szCs w:val="21"/>
      <w:lang w:val="en-US" w:eastAsia="zh-CN" w:bidi="ar-SA"/>
    </w:rPr>
  </w:style>
  <w:style w:type="paragraph" w:customStyle="1" w:styleId="58">
    <w:name w:val="图题"/>
    <w:basedOn w:val="1"/>
    <w:next w:val="1"/>
    <w:qFormat/>
    <w:uiPriority w:val="0"/>
    <w:pPr>
      <w:jc w:val="center"/>
    </w:pPr>
    <w:rPr>
      <w:rFonts w:ascii="宋体" w:hAnsi="宋体" w:eastAsia="黑体"/>
      <w:b/>
    </w:rPr>
  </w:style>
  <w:style w:type="paragraph" w:customStyle="1" w:styleId="59">
    <w:name w:val="图表名称"/>
    <w:basedOn w:val="47"/>
    <w:next w:val="60"/>
    <w:qFormat/>
    <w:uiPriority w:val="0"/>
    <w:pPr>
      <w:tabs>
        <w:tab w:val="left" w:pos="3240"/>
        <w:tab w:val="left" w:pos="6120"/>
      </w:tabs>
      <w:adjustRightInd w:val="0"/>
      <w:snapToGrid w:val="0"/>
      <w:ind w:left="0" w:firstLine="0" w:firstLineChars="0"/>
      <w:jc w:val="center"/>
    </w:pPr>
    <w:rPr>
      <w:rFonts w:ascii="Times New Roman" w:hAnsi="Times New Roman"/>
      <w:b/>
      <w:bCs/>
      <w:kern w:val="2"/>
      <w:sz w:val="24"/>
      <w:szCs w:val="28"/>
      <w:lang w:eastAsia="zh-CN"/>
    </w:rPr>
  </w:style>
  <w:style w:type="paragraph" w:customStyle="1" w:styleId="60">
    <w:name w:val="报告正文"/>
    <w:basedOn w:val="61"/>
    <w:qFormat/>
    <w:uiPriority w:val="1"/>
    <w:pPr>
      <w:ind w:firstLine="200"/>
      <w:jc w:val="both"/>
    </w:pPr>
    <w:rPr>
      <w:kern w:val="2"/>
      <w:szCs w:val="22"/>
    </w:rPr>
  </w:style>
  <w:style w:type="paragraph" w:styleId="61">
    <w:name w:val="List Paragraph"/>
    <w:basedOn w:val="1"/>
    <w:qFormat/>
    <w:uiPriority w:val="1"/>
    <w:pPr>
      <w:ind w:left="1057" w:firstLine="480"/>
    </w:pPr>
    <w:rPr>
      <w:rFonts w:ascii="宋体" w:hAnsi="宋体" w:eastAsia="宋体" w:cs="宋体"/>
      <w:lang w:val="en-US" w:eastAsia="zh-CN" w:bidi="ar-SA"/>
    </w:rPr>
  </w:style>
  <w:style w:type="character" w:customStyle="1" w:styleId="62">
    <w:name w:val="标题 2 字符"/>
    <w:link w:val="19"/>
    <w:semiHidden/>
    <w:qFormat/>
    <w:uiPriority w:val="0"/>
    <w:rPr>
      <w:rFonts w:ascii="等线 Light" w:hAnsi="等线 Light" w:eastAsia="等线 Light" w:cs="Times New Roman"/>
      <w:b/>
      <w:bCs/>
      <w:kern w:val="2"/>
      <w:sz w:val="32"/>
      <w:szCs w:val="32"/>
    </w:rPr>
  </w:style>
  <w:style w:type="character" w:customStyle="1" w:styleId="63">
    <w:name w:val="正文文本缩进 字符"/>
    <w:link w:val="15"/>
    <w:semiHidden/>
    <w:qFormat/>
    <w:locked/>
    <w:uiPriority w:val="0"/>
    <w:rPr>
      <w:rFonts w:ascii="Times New Roman" w:hAnsi="Times New Roman" w:eastAsia="宋体"/>
      <w:sz w:val="24"/>
    </w:rPr>
  </w:style>
  <w:style w:type="character" w:customStyle="1" w:styleId="64">
    <w:name w:val="正文文本 字符"/>
    <w:link w:val="27"/>
    <w:qFormat/>
    <w:locked/>
    <w:uiPriority w:val="0"/>
    <w:rPr>
      <w:sz w:val="18"/>
    </w:rPr>
  </w:style>
  <w:style w:type="character" w:customStyle="1" w:styleId="65">
    <w:name w:val="批注文字 字符"/>
    <w:link w:val="25"/>
    <w:qFormat/>
    <w:locked/>
    <w:uiPriority w:val="0"/>
    <w:rPr>
      <w:rFonts w:ascii="Times New Roman" w:hAnsi="Times New Roman" w:eastAsia="宋体"/>
      <w:sz w:val="24"/>
    </w:rPr>
  </w:style>
  <w:style w:type="character" w:customStyle="1" w:styleId="66">
    <w:name w:val="日期 字符1"/>
    <w:link w:val="35"/>
    <w:qFormat/>
    <w:locked/>
    <w:uiPriority w:val="0"/>
    <w:rPr>
      <w:rFonts w:ascii="Times New Roman" w:hAnsi="Times New Roman" w:eastAsia="宋体"/>
      <w:sz w:val="24"/>
    </w:rPr>
  </w:style>
  <w:style w:type="character" w:customStyle="1" w:styleId="67">
    <w:name w:val="批注框文本 字符"/>
    <w:link w:val="37"/>
    <w:semiHidden/>
    <w:qFormat/>
    <w:locked/>
    <w:uiPriority w:val="0"/>
    <w:rPr>
      <w:rFonts w:ascii="Times New Roman" w:hAnsi="Times New Roman" w:eastAsia="宋体"/>
      <w:sz w:val="18"/>
    </w:rPr>
  </w:style>
  <w:style w:type="character" w:customStyle="1" w:styleId="68">
    <w:name w:val="页脚 字符1"/>
    <w:link w:val="38"/>
    <w:qFormat/>
    <w:locked/>
    <w:uiPriority w:val="99"/>
    <w:rPr>
      <w:sz w:val="18"/>
    </w:rPr>
  </w:style>
  <w:style w:type="character" w:customStyle="1" w:styleId="69">
    <w:name w:val="页眉 字符"/>
    <w:link w:val="39"/>
    <w:qFormat/>
    <w:locked/>
    <w:uiPriority w:val="0"/>
    <w:rPr>
      <w:sz w:val="18"/>
    </w:rPr>
  </w:style>
  <w:style w:type="character" w:customStyle="1" w:styleId="70">
    <w:name w:val="普通(网站) 字符"/>
    <w:link w:val="45"/>
    <w:qFormat/>
    <w:locked/>
    <w:uiPriority w:val="0"/>
    <w:rPr>
      <w:rFonts w:ascii="宋体" w:hAnsi="宋体" w:eastAsia="宋体"/>
      <w:sz w:val="24"/>
    </w:rPr>
  </w:style>
  <w:style w:type="character" w:customStyle="1" w:styleId="71">
    <w:name w:val="批注主题 字符"/>
    <w:link w:val="46"/>
    <w:semiHidden/>
    <w:qFormat/>
    <w:locked/>
    <w:uiPriority w:val="0"/>
    <w:rPr>
      <w:rFonts w:ascii="Times New Roman" w:hAnsi="Times New Roman" w:eastAsia="宋体"/>
      <w:b/>
      <w:kern w:val="2"/>
      <w:sz w:val="24"/>
    </w:rPr>
  </w:style>
  <w:style w:type="paragraph" w:customStyle="1" w:styleId="72">
    <w:name w:val="TT标题"/>
    <w:basedOn w:val="1"/>
    <w:qFormat/>
    <w:uiPriority w:val="0"/>
    <w:pPr>
      <w:widowControl/>
      <w:jc w:val="center"/>
    </w:pPr>
    <w:rPr>
      <w:b/>
      <w:kern w:val="0"/>
      <w:sz w:val="24"/>
      <w:szCs w:val="20"/>
    </w:rPr>
  </w:style>
  <w:style w:type="paragraph" w:customStyle="1" w:styleId="73">
    <w:name w:val="Default1"/>
    <w:next w:val="7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4">
    <w:name w:val="正文样式1"/>
    <w:basedOn w:val="1"/>
    <w:next w:val="1"/>
    <w:qFormat/>
    <w:uiPriority w:val="0"/>
    <w:pPr>
      <w:widowControl/>
      <w:ind w:firstLine="510"/>
    </w:pPr>
    <w:rPr>
      <w:rFonts w:ascii="Tahoma" w:hAnsi="Tahoma" w:eastAsia="Tahoma" w:cs="Tahoma"/>
      <w:kern w:val="24"/>
    </w:rPr>
  </w:style>
  <w:style w:type="paragraph" w:customStyle="1" w:styleId="75">
    <w:name w:val="标题2"/>
    <w:basedOn w:val="19"/>
    <w:next w:val="1"/>
    <w:qFormat/>
    <w:uiPriority w:val="0"/>
    <w:pPr>
      <w:numPr>
        <w:ilvl w:val="1"/>
        <w:numId w:val="5"/>
      </w:numPr>
      <w:spacing w:before="0" w:after="0" w:line="440" w:lineRule="exact"/>
    </w:pPr>
    <w:rPr>
      <w:kern w:val="0"/>
      <w:sz w:val="28"/>
    </w:rPr>
  </w:style>
  <w:style w:type="paragraph" w:customStyle="1" w:styleId="76">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77">
    <w:name w:val="xl27"/>
    <w:basedOn w:val="1"/>
    <w:qFormat/>
    <w:uiPriority w:val="0"/>
    <w:pPr>
      <w:widowControl/>
      <w:pBdr>
        <w:bottom w:val="single" w:color="auto" w:sz="4" w:space="0"/>
        <w:right w:val="single" w:color="auto" w:sz="4" w:space="0"/>
      </w:pBdr>
      <w:spacing w:beforeAutospacing="1" w:afterAutospacing="1"/>
      <w:jc w:val="center"/>
    </w:pPr>
    <w:rPr>
      <w:kern w:val="0"/>
      <w:szCs w:val="21"/>
    </w:rPr>
  </w:style>
  <w:style w:type="paragraph" w:customStyle="1" w:styleId="78">
    <w:name w:val="我的表格"/>
    <w:basedOn w:val="4"/>
    <w:next w:val="79"/>
    <w:qFormat/>
    <w:uiPriority w:val="0"/>
    <w:pPr>
      <w:adjustRightInd w:val="0"/>
      <w:snapToGrid w:val="0"/>
      <w:spacing w:before="280" w:after="290"/>
      <w:jc w:val="center"/>
    </w:pPr>
    <w:rPr>
      <w:rFonts w:ascii="宋体" w:hAnsi="宋体" w:cs="宋体"/>
      <w:szCs w:val="21"/>
    </w:rPr>
  </w:style>
  <w:style w:type="paragraph" w:customStyle="1" w:styleId="79">
    <w:name w:val="正文1"/>
    <w:basedOn w:val="1"/>
    <w:qFormat/>
    <w:uiPriority w:val="99"/>
    <w:pPr>
      <w:widowControl/>
      <w:tabs>
        <w:tab w:val="left" w:pos="432"/>
      </w:tabs>
      <w:adjustRightInd w:val="0"/>
      <w:spacing w:line="480" w:lineRule="exact"/>
      <w:jc w:val="center"/>
      <w:textAlignment w:val="baseline"/>
    </w:pPr>
    <w:rPr>
      <w:rFonts w:ascii="宋体" w:hAnsi="Times New Roman"/>
      <w:kern w:val="0"/>
      <w:sz w:val="28"/>
      <w:szCs w:val="20"/>
    </w:rPr>
  </w:style>
  <w:style w:type="paragraph" w:customStyle="1" w:styleId="80">
    <w:name w:val="样式8"/>
    <w:basedOn w:val="81"/>
    <w:qFormat/>
    <w:uiPriority w:val="0"/>
    <w:pPr>
      <w:tabs>
        <w:tab w:val="left" w:pos="567"/>
      </w:tabs>
    </w:pPr>
    <w:rPr>
      <w:snapToGrid w:val="0"/>
    </w:rPr>
  </w:style>
  <w:style w:type="paragraph" w:customStyle="1" w:styleId="81">
    <w:name w:val="样式 标题 1标题 11一、 + Times New Roman 行距: 固定值 23 磅"/>
    <w:basedOn w:val="18"/>
    <w:qFormat/>
    <w:uiPriority w:val="0"/>
    <w:pPr>
      <w:spacing w:before="0" w:after="0" w:line="460" w:lineRule="exact"/>
    </w:pPr>
    <w:rPr>
      <w:rFonts w:ascii="黑体" w:eastAsia="黑体" w:cs="宋体"/>
      <w:b w:val="0"/>
      <w:sz w:val="32"/>
      <w:szCs w:val="32"/>
    </w:rPr>
  </w:style>
  <w:style w:type="character" w:customStyle="1" w:styleId="82">
    <w:name w:val="font11"/>
    <w:basedOn w:val="50"/>
    <w:qFormat/>
    <w:uiPriority w:val="0"/>
    <w:rPr>
      <w:rFonts w:hint="eastAsia" w:ascii="宋体" w:hAnsi="宋体" w:eastAsia="宋体" w:cs="宋体"/>
      <w:b/>
      <w:color w:val="000000"/>
      <w:sz w:val="18"/>
      <w:szCs w:val="18"/>
      <w:u w:val="none"/>
    </w:rPr>
  </w:style>
  <w:style w:type="character" w:customStyle="1" w:styleId="83">
    <w:name w:val="页脚 字符"/>
    <w:qFormat/>
    <w:uiPriority w:val="99"/>
  </w:style>
  <w:style w:type="character" w:customStyle="1" w:styleId="84">
    <w:name w:val="日期 字符"/>
    <w:semiHidden/>
    <w:qFormat/>
    <w:uiPriority w:val="0"/>
    <w:rPr>
      <w:rFonts w:ascii="Times New Roman" w:hAnsi="Times New Roman" w:eastAsia="宋体"/>
      <w:sz w:val="24"/>
    </w:rPr>
  </w:style>
  <w:style w:type="character" w:customStyle="1" w:styleId="85">
    <w:name w:val="正文文本 字符1"/>
    <w:semiHidden/>
    <w:qFormat/>
    <w:uiPriority w:val="0"/>
    <w:rPr>
      <w:rFonts w:ascii="Times New Roman" w:hAnsi="Times New Roman" w:eastAsia="宋体"/>
      <w:sz w:val="24"/>
    </w:rPr>
  </w:style>
  <w:style w:type="character" w:customStyle="1" w:styleId="86">
    <w:name w:val="批注文字 字符1"/>
    <w:semiHidden/>
    <w:qFormat/>
    <w:uiPriority w:val="0"/>
    <w:rPr>
      <w:rFonts w:ascii="Times New Roman" w:hAnsi="Times New Roman" w:eastAsia="宋体"/>
      <w:sz w:val="24"/>
    </w:rPr>
  </w:style>
  <w:style w:type="character" w:customStyle="1" w:styleId="87">
    <w:name w:val="表格 Char"/>
    <w:link w:val="88"/>
    <w:qFormat/>
    <w:locked/>
    <w:uiPriority w:val="0"/>
    <w:rPr>
      <w:rFonts w:ascii="宋体"/>
      <w:sz w:val="21"/>
    </w:rPr>
  </w:style>
  <w:style w:type="paragraph" w:customStyle="1" w:styleId="88">
    <w:name w:val="表格"/>
    <w:basedOn w:val="24"/>
    <w:next w:val="1"/>
    <w:link w:val="87"/>
    <w:qFormat/>
    <w:uiPriority w:val="0"/>
    <w:pPr>
      <w:adjustRightInd w:val="0"/>
      <w:snapToGrid w:val="0"/>
      <w:spacing w:beforeLines="10" w:afterLines="10" w:line="259" w:lineRule="auto"/>
      <w:jc w:val="center"/>
    </w:pPr>
    <w:rPr>
      <w:rFonts w:ascii="宋体"/>
      <w:kern w:val="0"/>
      <w:szCs w:val="20"/>
    </w:rPr>
  </w:style>
  <w:style w:type="paragraph" w:customStyle="1" w:styleId="89">
    <w:name w:val="Lux 正文"/>
    <w:basedOn w:val="1"/>
    <w:qFormat/>
    <w:uiPriority w:val="0"/>
    <w:pPr>
      <w:spacing w:before="80" w:after="80" w:line="500" w:lineRule="exact"/>
      <w:ind w:firstLine="200" w:firstLineChars="200"/>
    </w:pPr>
    <w:rPr>
      <w:kern w:val="0"/>
      <w:sz w:val="24"/>
      <w:szCs w:val="20"/>
    </w:rPr>
  </w:style>
  <w:style w:type="paragraph" w:customStyle="1" w:styleId="90">
    <w:name w:val="0表格内容"/>
    <w:basedOn w:val="1"/>
    <w:qFormat/>
    <w:uiPriority w:val="0"/>
    <w:pPr>
      <w:jc w:val="center"/>
    </w:pPr>
    <w:rPr>
      <w:szCs w:val="24"/>
    </w:rPr>
  </w:style>
  <w:style w:type="paragraph" w:customStyle="1" w:styleId="91">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2">
    <w:name w:val="正文_7"/>
    <w:qFormat/>
    <w:uiPriority w:val="0"/>
    <w:pPr>
      <w:widowControl w:val="0"/>
      <w:jc w:val="both"/>
    </w:pPr>
    <w:rPr>
      <w:rFonts w:ascii="Calibri" w:hAnsi="Calibri" w:eastAsia="宋体" w:cs="Times New Roman"/>
      <w:kern w:val="2"/>
      <w:sz w:val="21"/>
      <w:lang w:val="en-US" w:eastAsia="zh-CN" w:bidi="ar-SA"/>
    </w:rPr>
  </w:style>
  <w:style w:type="paragraph" w:customStyle="1" w:styleId="93">
    <w:name w:val="TT表格文字"/>
    <w:basedOn w:val="1"/>
    <w:qFormat/>
    <w:uiPriority w:val="0"/>
    <w:pPr>
      <w:jc w:val="center"/>
    </w:pPr>
    <w:rPr>
      <w:rFonts w:ascii="Times New Roman" w:hAnsi="Times New Roman"/>
      <w:sz w:val="21"/>
      <w:szCs w:val="20"/>
    </w:rPr>
  </w:style>
  <w:style w:type="paragraph" w:customStyle="1" w:styleId="94">
    <w:name w:val="样式 小四 行距: 1.5 倍行距"/>
    <w:basedOn w:val="20"/>
    <w:qFormat/>
    <w:uiPriority w:val="0"/>
    <w:pPr>
      <w:spacing w:line="360" w:lineRule="auto"/>
    </w:pPr>
    <w:rPr>
      <w:rFonts w:eastAsia="宋体" w:cs="宋体"/>
      <w:sz w:val="24"/>
      <w:szCs w:val="20"/>
    </w:rPr>
  </w:style>
  <w:style w:type="paragraph" w:customStyle="1" w:styleId="95">
    <w:name w:val="Other|2"/>
    <w:basedOn w:val="1"/>
    <w:qFormat/>
    <w:uiPriority w:val="0"/>
    <w:pPr>
      <w:widowControl w:val="0"/>
      <w:shd w:val="clear" w:color="auto" w:fill="auto"/>
      <w:spacing w:before="80"/>
    </w:pPr>
    <w:rPr>
      <w:rFonts w:ascii="宋体" w:hAnsi="宋体" w:eastAsia="宋体" w:cs="宋体"/>
      <w:sz w:val="19"/>
      <w:szCs w:val="19"/>
      <w:u w:val="none"/>
      <w:shd w:val="clear" w:color="auto" w:fill="auto"/>
      <w:lang w:val="zh-TW" w:eastAsia="zh-TW" w:bidi="zh-TW"/>
    </w:rPr>
  </w:style>
  <w:style w:type="paragraph" w:customStyle="1" w:styleId="96">
    <w:name w:val="Body text|1"/>
    <w:basedOn w:val="1"/>
    <w:qFormat/>
    <w:uiPriority w:val="0"/>
    <w:pPr>
      <w:widowControl w:val="0"/>
      <w:shd w:val="clear" w:color="auto" w:fill="auto"/>
      <w:spacing w:line="408" w:lineRule="auto"/>
      <w:ind w:firstLine="400"/>
    </w:pPr>
    <w:rPr>
      <w:rFonts w:ascii="宋体" w:hAnsi="宋体" w:eastAsia="宋体" w:cs="宋体"/>
      <w:u w:val="none"/>
      <w:shd w:val="clear" w:color="auto" w:fill="auto"/>
      <w:lang w:val="zh-TW" w:eastAsia="zh-TW" w:bidi="zh-TW"/>
    </w:rPr>
  </w:style>
  <w:style w:type="paragraph" w:customStyle="1" w:styleId="97">
    <w:name w:val="标题 31"/>
    <w:basedOn w:val="1"/>
    <w:next w:val="1"/>
    <w:qFormat/>
    <w:uiPriority w:val="0"/>
    <w:pPr>
      <w:keepNext/>
      <w:keepLines/>
      <w:spacing w:before="260" w:after="260" w:line="416" w:lineRule="auto"/>
      <w:outlineLvl w:val="2"/>
    </w:pPr>
    <w:rPr>
      <w:b/>
      <w:bCs/>
      <w:sz w:val="32"/>
      <w:szCs w:val="32"/>
    </w:rPr>
  </w:style>
  <w:style w:type="paragraph" w:customStyle="1" w:styleId="98">
    <w:name w:val="Heading #1|1"/>
    <w:basedOn w:val="1"/>
    <w:qFormat/>
    <w:uiPriority w:val="0"/>
    <w:pPr>
      <w:widowControl w:val="0"/>
      <w:shd w:val="clear" w:color="auto" w:fill="auto"/>
      <w:spacing w:line="468" w:lineRule="exact"/>
      <w:ind w:left="1360"/>
      <w:outlineLvl w:val="0"/>
    </w:pPr>
    <w:rPr>
      <w:rFonts w:ascii="宋体" w:hAnsi="宋体" w:eastAsia="宋体" w:cs="宋体"/>
      <w:b/>
      <w:bCs/>
      <w:u w:val="none"/>
      <w:shd w:val="clear" w:color="auto" w:fill="auto"/>
      <w:lang w:val="zh-TW" w:eastAsia="zh-TW" w:bidi="zh-TW"/>
    </w:rPr>
  </w:style>
  <w:style w:type="paragraph" w:customStyle="1" w:styleId="99">
    <w:name w:val="Table caption|1"/>
    <w:basedOn w:val="1"/>
    <w:qFormat/>
    <w:uiPriority w:val="0"/>
    <w:pPr>
      <w:widowControl w:val="0"/>
      <w:shd w:val="clear" w:color="auto" w:fill="auto"/>
      <w:spacing w:line="468" w:lineRule="exact"/>
      <w:ind w:firstLine="480"/>
    </w:pPr>
    <w:rPr>
      <w:rFonts w:ascii="宋体" w:hAnsi="宋体" w:eastAsia="宋体" w:cs="宋体"/>
      <w:u w:val="none"/>
      <w:shd w:val="clear" w:color="auto" w:fill="auto"/>
      <w:lang w:val="zh-TW" w:eastAsia="zh-TW" w:bidi="zh-TW"/>
    </w:rPr>
  </w:style>
  <w:style w:type="paragraph" w:customStyle="1" w:styleId="100">
    <w:name w:val="Other|1"/>
    <w:basedOn w:val="1"/>
    <w:qFormat/>
    <w:uiPriority w:val="0"/>
    <w:pPr>
      <w:widowControl w:val="0"/>
      <w:shd w:val="clear" w:color="auto" w:fill="auto"/>
      <w:spacing w:after="70" w:line="410" w:lineRule="auto"/>
      <w:ind w:firstLine="400"/>
    </w:pPr>
    <w:rPr>
      <w:rFonts w:ascii="宋体" w:hAnsi="宋体" w:eastAsia="宋体" w:cs="宋体"/>
      <w:u w:val="none"/>
      <w:shd w:val="clear" w:color="auto" w:fill="auto"/>
      <w:lang w:val="zh-TW" w:eastAsia="zh-TW" w:bidi="zh-TW"/>
    </w:rPr>
  </w:style>
  <w:style w:type="paragraph" w:customStyle="1" w:styleId="101">
    <w:name w:val="表格字体"/>
    <w:basedOn w:val="1"/>
    <w:semiHidden/>
    <w:qFormat/>
    <w:uiPriority w:val="0"/>
    <w:pPr>
      <w:adjustRightInd w:val="0"/>
      <w:spacing w:beforeLines="20" w:afterLines="20"/>
      <w:jc w:val="center"/>
      <w:textAlignment w:val="center"/>
    </w:pPr>
    <w:rPr>
      <w:szCs w:val="21"/>
    </w:rPr>
  </w:style>
  <w:style w:type="paragraph" w:customStyle="1" w:styleId="102">
    <w:name w:val="mm标题3"/>
    <w:basedOn w:val="1"/>
    <w:qFormat/>
    <w:uiPriority w:val="0"/>
    <w:pPr>
      <w:widowControl/>
      <w:spacing w:line="480" w:lineRule="exact"/>
      <w:ind w:firstLine="200" w:firstLineChars="200"/>
      <w:jc w:val="left"/>
    </w:pPr>
    <w:rPr>
      <w:rFonts w:cs="宋体"/>
      <w:b/>
      <w:bCs/>
      <w:color w:val="000000"/>
      <w:sz w:val="24"/>
      <w:szCs w:val="20"/>
    </w:rPr>
  </w:style>
  <w:style w:type="paragraph" w:customStyle="1" w:styleId="103">
    <w:name w:val="表格文字01"/>
    <w:basedOn w:val="1"/>
    <w:qFormat/>
    <w:uiPriority w:val="0"/>
    <w:pPr>
      <w:tabs>
        <w:tab w:val="left" w:pos="480"/>
      </w:tabs>
      <w:wordWrap w:val="0"/>
      <w:overflowPunct w:val="0"/>
      <w:topLinePunct/>
      <w:spacing w:line="360" w:lineRule="auto"/>
      <w:jc w:val="center"/>
    </w:pPr>
    <w:rPr>
      <w:rFonts w:ascii="Calibri" w:hAnsi="Calibri"/>
      <w:color w:val="000000"/>
      <w:sz w:val="24"/>
    </w:rPr>
  </w:style>
  <w:style w:type="paragraph" w:customStyle="1" w:styleId="104">
    <w:name w:val="表格1"/>
    <w:basedOn w:val="1"/>
    <w:next w:val="1"/>
    <w:qFormat/>
    <w:uiPriority w:val="0"/>
    <w:pPr>
      <w:adjustRightInd w:val="0"/>
      <w:spacing w:line="20" w:lineRule="atLeast"/>
      <w:jc w:val="center"/>
      <w:textAlignment w:val="center"/>
    </w:pPr>
    <w:rPr>
      <w:rFonts w:ascii="宋体"/>
      <w:kern w:val="0"/>
      <w:szCs w:val="20"/>
    </w:rPr>
  </w:style>
  <w:style w:type="paragraph" w:customStyle="1" w:styleId="105">
    <w:name w:val="TT正文"/>
    <w:basedOn w:val="1"/>
    <w:qFormat/>
    <w:uiPriority w:val="0"/>
    <w:pPr>
      <w:spacing w:line="360" w:lineRule="auto"/>
      <w:ind w:firstLine="200" w:firstLineChars="200"/>
    </w:pPr>
    <w:rPr>
      <w:sz w:val="24"/>
    </w:rPr>
  </w:style>
  <w:style w:type="paragraph" w:customStyle="1" w:styleId="106">
    <w:name w:val="【表头】"/>
    <w:basedOn w:val="1"/>
    <w:qFormat/>
    <w:uiPriority w:val="0"/>
    <w:pPr>
      <w:spacing w:after="0" w:line="360" w:lineRule="auto"/>
      <w:jc w:val="center"/>
    </w:pPr>
    <w:rPr>
      <w:rFonts w:ascii="Times New Roman" w:hAnsi="Times New Roman" w:eastAsia="宋体" w:cs="Arial"/>
      <w:b/>
      <w:sz w:val="24"/>
      <w:szCs w:val="20"/>
      <w:lang w:eastAsia="zh-CN"/>
    </w:rPr>
  </w:style>
  <w:style w:type="paragraph" w:customStyle="1" w:styleId="107">
    <w:name w:val="正 文"/>
    <w:qFormat/>
    <w:uiPriority w:val="0"/>
    <w:pPr>
      <w:widowControl w:val="0"/>
      <w:spacing w:line="480" w:lineRule="exact"/>
      <w:ind w:firstLine="471"/>
      <w:jc w:val="both"/>
    </w:pPr>
    <w:rPr>
      <w:rFonts w:ascii="Times New Roman" w:hAnsi="Times New Roman" w:eastAsia="Times New Roman" w:cs="Times New Roman"/>
      <w:kern w:val="2"/>
      <w:sz w:val="24"/>
      <w:szCs w:val="24"/>
      <w:lang w:val="en-US" w:eastAsia="zh-CN" w:bidi="ar-SA"/>
    </w:rPr>
  </w:style>
  <w:style w:type="paragraph" w:customStyle="1" w:styleId="108">
    <w:name w:val="表格内容jophy"/>
    <w:basedOn w:val="1"/>
    <w:qFormat/>
    <w:uiPriority w:val="0"/>
    <w:pPr>
      <w:adjustRightInd w:val="0"/>
      <w:snapToGrid w:val="0"/>
      <w:jc w:val="center"/>
    </w:pPr>
    <w:rPr>
      <w:szCs w:val="18"/>
    </w:rPr>
  </w:style>
  <w:style w:type="paragraph" w:customStyle="1" w:styleId="109">
    <w:name w:val="表格文字"/>
    <w:basedOn w:val="34"/>
    <w:qFormat/>
    <w:uiPriority w:val="0"/>
    <w:pPr>
      <w:adjustRightInd w:val="0"/>
      <w:snapToGrid w:val="0"/>
      <w:jc w:val="center"/>
    </w:pPr>
    <w:rPr>
      <w:sz w:val="21"/>
      <w:lang w:val="en-US" w:eastAsia="zh-CN" w:bidi="ar-SA"/>
    </w:rPr>
  </w:style>
  <w:style w:type="paragraph" w:customStyle="1" w:styleId="110">
    <w:name w:val="表格 32"/>
    <w:basedOn w:val="1"/>
    <w:qFormat/>
    <w:uiPriority w:val="0"/>
    <w:pPr>
      <w:autoSpaceDE w:val="0"/>
      <w:autoSpaceDN w:val="0"/>
      <w:adjustRightInd w:val="0"/>
      <w:jc w:val="center"/>
      <w:textAlignment w:val="baseline"/>
    </w:pPr>
    <w:rPr>
      <w:rFonts w:eastAsia="楷体_GB2312"/>
      <w:kern w:val="0"/>
      <w:sz w:val="24"/>
      <w:szCs w:val="20"/>
    </w:rPr>
  </w:style>
  <w:style w:type="paragraph" w:customStyle="1" w:styleId="111">
    <w:name w:val="Body text|2"/>
    <w:basedOn w:val="1"/>
    <w:qFormat/>
    <w:uiPriority w:val="0"/>
    <w:pPr>
      <w:widowControl w:val="0"/>
      <w:shd w:val="clear" w:color="auto" w:fill="auto"/>
      <w:jc w:val="center"/>
    </w:pPr>
    <w:rPr>
      <w:rFonts w:ascii="宋体" w:hAnsi="宋体" w:eastAsia="宋体" w:cs="宋体"/>
      <w:b/>
      <w:bCs/>
      <w:sz w:val="20"/>
      <w:szCs w:val="20"/>
      <w:u w:val="none"/>
      <w:shd w:val="clear" w:color="auto" w:fill="auto"/>
      <w:lang w:val="zh-TW" w:eastAsia="zh-TW" w:bidi="zh-TW"/>
    </w:rPr>
  </w:style>
  <w:style w:type="paragraph" w:customStyle="1" w:styleId="112">
    <w:name w:val="Table Paragraph"/>
    <w:basedOn w:val="1"/>
    <w:qFormat/>
    <w:uiPriority w:val="1"/>
    <w:pPr>
      <w:jc w:val="left"/>
    </w:pPr>
    <w:rPr>
      <w:rFonts w:ascii="Calibri" w:hAnsi="Calibri"/>
      <w:kern w:val="0"/>
      <w:sz w:val="22"/>
      <w:szCs w:val="22"/>
      <w:lang w:eastAsia="en-US"/>
    </w:rPr>
  </w:style>
  <w:style w:type="paragraph" w:customStyle="1" w:styleId="113">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114">
    <w:name w:val="表 内容"/>
    <w:basedOn w:val="1"/>
    <w:qFormat/>
    <w:uiPriority w:val="0"/>
    <w:pPr>
      <w:spacing w:line="240" w:lineRule="atLeast"/>
      <w:jc w:val="center"/>
    </w:pPr>
    <w:rPr>
      <w:szCs w:val="21"/>
    </w:rPr>
  </w:style>
  <w:style w:type="paragraph" w:customStyle="1" w:styleId="115">
    <w:name w:val="文本正文"/>
    <w:basedOn w:val="1"/>
    <w:qFormat/>
    <w:uiPriority w:val="0"/>
    <w:pPr>
      <w:spacing w:line="360" w:lineRule="auto"/>
      <w:ind w:firstLine="480" w:firstLineChars="200"/>
    </w:pPr>
    <w:rPr>
      <w:sz w:val="24"/>
      <w:szCs w:val="24"/>
    </w:rPr>
  </w:style>
  <w:style w:type="paragraph" w:customStyle="1" w:styleId="116">
    <w:name w:val="表头，图名"/>
    <w:basedOn w:val="1"/>
    <w:qFormat/>
    <w:uiPriority w:val="0"/>
    <w:pPr>
      <w:jc w:val="center"/>
    </w:pPr>
    <w:rPr>
      <w:b/>
    </w:rPr>
  </w:style>
  <w:style w:type="paragraph" w:customStyle="1" w:styleId="117">
    <w:name w:val="!正文"/>
    <w:basedOn w:val="1"/>
    <w:qFormat/>
    <w:uiPriority w:val="0"/>
    <w:pPr>
      <w:spacing w:line="480" w:lineRule="exact"/>
      <w:ind w:firstLine="480"/>
    </w:pPr>
    <w:rPr>
      <w:rFonts w:hAnsi="宋体" w:cs="宋体"/>
    </w:rPr>
  </w:style>
  <w:style w:type="paragraph" w:customStyle="1" w:styleId="118">
    <w:name w:val="样式 表格 32 + 首行缩进:  2 字符"/>
    <w:basedOn w:val="110"/>
    <w:qFormat/>
    <w:uiPriority w:val="0"/>
    <w:pPr>
      <w:autoSpaceDE w:val="0"/>
      <w:autoSpaceDN w:val="0"/>
      <w:adjustRightInd w:val="0"/>
      <w:spacing w:line="0" w:lineRule="atLeast"/>
      <w:jc w:val="center"/>
      <w:textAlignment w:val="baseline"/>
    </w:pPr>
    <w:rPr>
      <w:kern w:val="0"/>
      <w:szCs w:val="21"/>
    </w:rPr>
  </w:style>
  <w:style w:type="paragraph" w:customStyle="1" w:styleId="119">
    <w:name w:val="报告表  段"/>
    <w:basedOn w:val="1"/>
    <w:qFormat/>
    <w:uiPriority w:val="0"/>
    <w:pPr>
      <w:snapToGrid/>
      <w:ind w:firstLine="505"/>
      <w:textAlignment w:val="baseline"/>
    </w:pPr>
    <w:rPr>
      <w:rFonts w:ascii="宋体" w:eastAsia="宋体"/>
      <w:sz w:val="24"/>
      <w:lang w:val="en-US" w:eastAsia="zh-CN" w:bidi="ar-SA"/>
    </w:rPr>
  </w:style>
  <w:style w:type="paragraph" w:customStyle="1" w:styleId="120">
    <w:name w:val="0正文"/>
    <w:basedOn w:val="1"/>
    <w:qFormat/>
    <w:uiPriority w:val="0"/>
    <w:pPr>
      <w:adjustRightInd w:val="0"/>
      <w:spacing w:line="360" w:lineRule="auto"/>
      <w:ind w:firstLine="480" w:firstLineChars="200"/>
    </w:pPr>
    <w:rPr>
      <w:sz w:val="24"/>
      <w:szCs w:val="24"/>
    </w:rPr>
  </w:style>
  <w:style w:type="paragraph" w:customStyle="1" w:styleId="121">
    <w:name w:val="表格标题1111"/>
    <w:basedOn w:val="1"/>
    <w:semiHidden/>
    <w:qFormat/>
    <w:uiPriority w:val="0"/>
    <w:pPr>
      <w:jc w:val="center"/>
    </w:pPr>
    <w:rPr>
      <w:rFonts w:cs="宋体"/>
      <w:b/>
      <w:bCs/>
      <w:color w:val="000000"/>
      <w:sz w:val="24"/>
      <w:szCs w:val="20"/>
    </w:rPr>
  </w:style>
  <w:style w:type="paragraph" w:customStyle="1" w:styleId="122">
    <w:name w:val="TTT"/>
    <w:basedOn w:val="1"/>
    <w:qFormat/>
    <w:uiPriority w:val="0"/>
    <w:pPr>
      <w:tabs>
        <w:tab w:val="left" w:pos="480"/>
      </w:tabs>
      <w:spacing w:line="360" w:lineRule="auto"/>
      <w:ind w:firstLine="200" w:firstLineChars="200"/>
      <w:jc w:val="both"/>
    </w:pPr>
    <w:rPr>
      <w:rFonts w:ascii="Times New Roman" w:hAnsi="Times New Roman" w:cs="Times New Roman"/>
      <w:b/>
    </w:rPr>
  </w:style>
  <w:style w:type="paragraph" w:customStyle="1" w:styleId="123">
    <w:name w:val="Heading 3"/>
    <w:basedOn w:val="1"/>
    <w:qFormat/>
    <w:uiPriority w:val="1"/>
    <w:pPr>
      <w:ind w:left="700"/>
      <w:outlineLvl w:val="3"/>
    </w:pPr>
    <w:rPr>
      <w:rFonts w:ascii="宋体" w:hAnsi="宋体" w:eastAsia="宋体" w:cs="宋体"/>
      <w:b/>
      <w:bCs/>
      <w:sz w:val="24"/>
      <w:szCs w:val="24"/>
      <w:lang w:val="en-US" w:eastAsia="zh-CN" w:bidi="ar-SA"/>
    </w:rPr>
  </w:style>
  <w:style w:type="paragraph" w:customStyle="1" w:styleId="124">
    <w:name w:val="【正文】"/>
    <w:basedOn w:val="1"/>
    <w:link w:val="125"/>
    <w:qFormat/>
    <w:uiPriority w:val="0"/>
    <w:pPr>
      <w:adjustRightInd w:val="0"/>
      <w:snapToGrid w:val="0"/>
      <w:spacing w:line="360" w:lineRule="auto"/>
      <w:ind w:firstLine="200" w:firstLineChars="200"/>
      <w:jc w:val="left"/>
    </w:pPr>
    <w:rPr>
      <w:color w:val="000000"/>
      <w:sz w:val="24"/>
    </w:rPr>
  </w:style>
  <w:style w:type="character" w:customStyle="1" w:styleId="125">
    <w:name w:val="【正文】 Char"/>
    <w:link w:val="124"/>
    <w:qFormat/>
    <w:uiPriority w:val="0"/>
    <w:rPr>
      <w:color w:val="000000"/>
      <w:sz w:val="24"/>
    </w:rPr>
  </w:style>
  <w:style w:type="paragraph" w:customStyle="1" w:styleId="126">
    <w:name w:val="缩进"/>
    <w:basedOn w:val="1"/>
    <w:qFormat/>
    <w:uiPriority w:val="0"/>
    <w:pPr>
      <w:tabs>
        <w:tab w:val="left" w:pos="-52"/>
      </w:tabs>
      <w:spacing w:line="400" w:lineRule="atLeast"/>
      <w:ind w:right="-4" w:firstLine="425"/>
    </w:pPr>
    <w:rPr>
      <w:rFonts w:ascii="宋体" w:hAnsi="宋体"/>
      <w:sz w:val="24"/>
    </w:rPr>
  </w:style>
  <w:style w:type="paragraph" w:customStyle="1" w:styleId="127">
    <w:name w:val="表1表2"/>
    <w:basedOn w:val="1"/>
    <w:qFormat/>
    <w:uiPriority w:val="0"/>
    <w:pPr>
      <w:autoSpaceDE w:val="0"/>
      <w:autoSpaceDN w:val="0"/>
      <w:snapToGrid/>
      <w:spacing w:line="240" w:lineRule="auto"/>
      <w:jc w:val="center"/>
      <w:textAlignment w:val="center"/>
    </w:pPr>
    <w:rPr>
      <w:rFonts w:eastAsia="仿宋体"/>
      <w:kern w:val="0"/>
      <w:sz w:val="24"/>
      <w:szCs w:val="20"/>
    </w:rPr>
  </w:style>
  <w:style w:type="paragraph" w:customStyle="1" w:styleId="128">
    <w:name w:val="样式 正文缩进正文（首行缩进两字） Char Char Char Char Char Char正文（首行缩进两字） Char..."/>
    <w:basedOn w:val="24"/>
    <w:qFormat/>
    <w:uiPriority w:val="0"/>
    <w:pPr>
      <w:ind w:firstLine="480"/>
    </w:pPr>
    <w:rPr>
      <w:rFonts w:ascii="宋体" w:hAnsi="宋体" w:eastAsia="宋体"/>
      <w:color w:val="000000"/>
      <w:szCs w:val="20"/>
    </w:rPr>
  </w:style>
  <w:style w:type="paragraph" w:customStyle="1" w:styleId="129">
    <w:name w:val="mm正文"/>
    <w:basedOn w:val="1"/>
    <w:qFormat/>
    <w:uiPriority w:val="0"/>
    <w:pPr>
      <w:spacing w:line="480" w:lineRule="exact"/>
      <w:ind w:firstLine="200" w:firstLineChars="200"/>
    </w:pPr>
    <w:rPr>
      <w:rFonts w:cs="宋体"/>
      <w:color w:val="000000"/>
    </w:rPr>
  </w:style>
  <w:style w:type="paragraph" w:customStyle="1" w:styleId="130">
    <w:name w:val="WPSOffice手动目录 1"/>
    <w:qFormat/>
    <w:uiPriority w:val="0"/>
    <w:rPr>
      <w:rFonts w:ascii="Times New Roman" w:hAnsi="Times New Roman" w:eastAsia="宋体" w:cs="Times New Roman"/>
      <w:lang w:val="en-US" w:eastAsia="zh-CN" w:bidi="ar-SA"/>
    </w:rPr>
  </w:style>
  <w:style w:type="table" w:customStyle="1" w:styleId="131">
    <w:name w:val="网格型1"/>
    <w:basedOn w:val="4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32">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33">
    <w:name w:val="0表格标题"/>
    <w:basedOn w:val="1"/>
    <w:qFormat/>
    <w:uiPriority w:val="0"/>
    <w:pPr>
      <w:spacing w:before="156" w:beforeLines="50"/>
      <w:jc w:val="center"/>
    </w:pPr>
    <w:rPr>
      <w:b/>
      <w:sz w:val="24"/>
    </w:rPr>
  </w:style>
  <w:style w:type="paragraph" w:customStyle="1" w:styleId="134">
    <w:name w:val="B表内"/>
    <w:basedOn w:val="1"/>
    <w:qFormat/>
    <w:uiPriority w:val="0"/>
    <w:pPr>
      <w:spacing w:line="0" w:lineRule="atLeast"/>
      <w:jc w:val="center"/>
    </w:pPr>
    <w:rPr>
      <w:rFonts w:cs="宋体"/>
    </w:rPr>
  </w:style>
  <w:style w:type="character" w:customStyle="1" w:styleId="135">
    <w:name w:val="NormalCharacter"/>
    <w:qFormat/>
    <w:uiPriority w:val="0"/>
  </w:style>
  <w:style w:type="paragraph" w:customStyle="1" w:styleId="136">
    <w:name w:val="Table Text"/>
    <w:basedOn w:val="1"/>
    <w:semiHidden/>
    <w:qFormat/>
    <w:uiPriority w:val="0"/>
    <w:rPr>
      <w:rFonts w:ascii="宋体" w:hAnsi="宋体" w:eastAsia="宋体" w:cs="宋体"/>
      <w:sz w:val="20"/>
      <w:szCs w:val="20"/>
      <w:lang w:val="en-US" w:eastAsia="en-US" w:bidi="ar-SA"/>
    </w:rPr>
  </w:style>
  <w:style w:type="paragraph" w:customStyle="1" w:styleId="137">
    <w:name w:val="样式 正文首行缩进:  2 字符 + 首行缩进:  2 字符"/>
    <w:basedOn w:val="1"/>
    <w:qFormat/>
    <w:uiPriority w:val="0"/>
    <w:pPr>
      <w:spacing w:line="360" w:lineRule="auto"/>
      <w:ind w:firstLine="480" w:firstLineChars="200"/>
    </w:pPr>
    <w:rPr>
      <w:rFonts w:ascii="Times New Roman" w:hAnsi="Times New Roman" w:eastAsia="宋体" w:cs="宋体"/>
      <w:sz w:val="24"/>
      <w:szCs w:val="20"/>
    </w:rPr>
  </w:style>
  <w:style w:type="paragraph" w:customStyle="1" w:styleId="138">
    <w:name w:val="J表格"/>
    <w:basedOn w:val="139"/>
    <w:qFormat/>
    <w:uiPriority w:val="0"/>
    <w:pPr>
      <w:spacing w:line="240" w:lineRule="auto"/>
      <w:ind w:firstLine="0" w:firstLineChars="0"/>
      <w:jc w:val="center"/>
    </w:pPr>
    <w:rPr>
      <w:sz w:val="21"/>
    </w:rPr>
  </w:style>
  <w:style w:type="paragraph" w:customStyle="1" w:styleId="139">
    <w:name w:val="J"/>
    <w:basedOn w:val="29"/>
    <w:qFormat/>
    <w:uiPriority w:val="0"/>
    <w:pPr>
      <w:autoSpaceDE w:val="0"/>
      <w:autoSpaceDN w:val="0"/>
      <w:adjustRightInd w:val="0"/>
      <w:snapToGrid w:val="0"/>
      <w:spacing w:after="0"/>
      <w:ind w:left="0" w:leftChars="0" w:right="0" w:rightChars="0" w:firstLine="200" w:firstLineChars="200"/>
    </w:pPr>
  </w:style>
  <w:style w:type="character" w:customStyle="1" w:styleId="140">
    <w:name w:val="font21"/>
    <w:basedOn w:val="50"/>
    <w:qFormat/>
    <w:uiPriority w:val="0"/>
    <w:rPr>
      <w:rFonts w:hint="eastAsia" w:ascii="宋体" w:hAnsi="宋体" w:eastAsia="宋体" w:cs="宋体"/>
      <w:color w:val="000000"/>
      <w:sz w:val="21"/>
      <w:szCs w:val="21"/>
      <w:u w:val="none"/>
    </w:rPr>
  </w:style>
  <w:style w:type="paragraph" w:customStyle="1" w:styleId="141">
    <w:name w:val="表格内容居中"/>
    <w:qFormat/>
    <w:uiPriority w:val="0"/>
    <w:pPr>
      <w:adjustRightInd w:val="0"/>
      <w:snapToGrid w:val="0"/>
      <w:spacing w:line="360" w:lineRule="auto"/>
      <w:jc w:val="center"/>
    </w:pPr>
    <w:rPr>
      <w:rFonts w:ascii="Times New Roman" w:hAnsi="Times New Roman" w:eastAsia="宋体" w:cs="Times New Roman"/>
      <w:snapToGrid w:val="0"/>
      <w:kern w:val="0"/>
      <w:sz w:val="21"/>
      <w:szCs w:val="21"/>
      <w:lang w:val="en-US" w:eastAsia="zh-CN" w:bidi="ar-SA"/>
    </w:rPr>
  </w:style>
  <w:style w:type="paragraph" w:customStyle="1" w:styleId="142">
    <w:name w:val="表头"/>
    <w:basedOn w:val="143"/>
    <w:next w:val="1"/>
    <w:qFormat/>
    <w:uiPriority w:val="0"/>
    <w:pPr>
      <w:spacing w:line="360" w:lineRule="auto"/>
      <w:jc w:val="center"/>
    </w:pPr>
    <w:rPr>
      <w:sz w:val="21"/>
      <w:szCs w:val="22"/>
      <w:lang w:val="en-US" w:eastAsia="zh-CN" w:bidi="ar-SA"/>
    </w:rPr>
  </w:style>
  <w:style w:type="paragraph" w:customStyle="1" w:styleId="143">
    <w:name w:val="表标题"/>
    <w:basedOn w:val="27"/>
    <w:next w:val="27"/>
    <w:qFormat/>
    <w:uiPriority w:val="0"/>
    <w:pPr>
      <w:widowControl/>
      <w:ind w:firstLine="510"/>
      <w:jc w:val="center"/>
    </w:pPr>
    <w:rPr>
      <w:rFonts w:ascii="宋体" w:hAnsi="宋体"/>
      <w:b/>
    </w:rPr>
  </w:style>
  <w:style w:type="paragraph" w:customStyle="1" w:styleId="144">
    <w:name w:val="文本"/>
    <w:basedOn w:val="15"/>
    <w:next w:val="1"/>
    <w:qFormat/>
    <w:uiPriority w:val="0"/>
    <w:pPr>
      <w:autoSpaceDE w:val="0"/>
      <w:autoSpaceDN w:val="0"/>
      <w:ind w:firstLine="480"/>
    </w:pPr>
    <w:rPr>
      <w:rFonts w:cs="Times New Roman"/>
      <w:szCs w:val="24"/>
      <w:lang w:val="zh-CN"/>
    </w:rPr>
  </w:style>
  <w:style w:type="character" w:customStyle="1" w:styleId="145">
    <w:name w:val="font01"/>
    <w:qFormat/>
    <w:uiPriority w:val="0"/>
    <w:rPr>
      <w:rFonts w:hint="eastAsia" w:ascii="宋体" w:hAnsi="宋体" w:eastAsia="宋体" w:cs="宋体"/>
      <w:color w:val="000000"/>
      <w:sz w:val="22"/>
      <w:szCs w:val="22"/>
      <w:u w:val="none"/>
      <w:vertAlign w:val="superscript"/>
    </w:rPr>
  </w:style>
  <w:style w:type="paragraph" w:customStyle="1" w:styleId="146">
    <w:name w:val="yjjh正文"/>
    <w:basedOn w:val="1"/>
    <w:qFormat/>
    <w:uiPriority w:val="0"/>
    <w:pPr>
      <w:ind w:firstLine="0" w:firstLineChars="0"/>
      <w:jc w:val="center"/>
    </w:pPr>
    <w:rPr>
      <w:rFonts w:ascii="宋体" w:hAnsi="宋体"/>
      <w:iCs/>
      <w:snapToGrid w:val="0"/>
      <w:sz w:val="28"/>
      <w:szCs w:val="28"/>
      <w:lang w:val="zh-CN"/>
    </w:rPr>
  </w:style>
  <w:style w:type="paragraph" w:customStyle="1" w:styleId="147">
    <w:name w:val="正文（首行缩进） Char"/>
    <w:basedOn w:val="1"/>
    <w:qFormat/>
    <w:uiPriority w:val="0"/>
    <w:pPr>
      <w:widowControl/>
      <w:overflowPunct w:val="0"/>
      <w:topLinePunct/>
      <w:autoSpaceDE w:val="0"/>
      <w:autoSpaceDN w:val="0"/>
      <w:adjustRightInd w:val="0"/>
      <w:snapToGrid w:val="0"/>
      <w:spacing w:line="360" w:lineRule="auto"/>
      <w:ind w:firstLine="480" w:firstLineChars="200"/>
      <w:textAlignment w:val="baseline"/>
    </w:pPr>
    <w:rPr>
      <w:kern w:val="0"/>
      <w:sz w:val="24"/>
      <w:szCs w:val="24"/>
    </w:rPr>
  </w:style>
  <w:style w:type="paragraph" w:customStyle="1" w:styleId="148">
    <w:name w:val="表格标题8"/>
    <w:basedOn w:val="16"/>
    <w:next w:val="1"/>
    <w:qFormat/>
    <w:uiPriority w:val="0"/>
    <w:pPr>
      <w:keepNext/>
      <w:spacing w:line="360" w:lineRule="auto"/>
      <w:ind w:firstLine="0" w:firstLineChars="0"/>
      <w:jc w:val="center"/>
    </w:pPr>
    <w:rPr>
      <w:rFonts w:ascii="Times New Roman" w:hAnsi="Times New Roman" w:eastAsia="宋体" w:cs="Times New Roman"/>
      <w:sz w:val="21"/>
    </w:rPr>
  </w:style>
  <w:style w:type="paragraph" w:customStyle="1" w:styleId="149">
    <w:name w:val="样式 加粗 居中"/>
    <w:basedOn w:val="1"/>
    <w:qFormat/>
    <w:uiPriority w:val="0"/>
    <w:pPr>
      <w:spacing w:line="400" w:lineRule="exact"/>
      <w:jc w:val="center"/>
    </w:pPr>
    <w:rPr>
      <w:rFonts w:cs="宋体"/>
      <w:b/>
      <w:bCs/>
      <w:color w:val="auto"/>
      <w:kern w:val="2"/>
      <w:sz w:val="24"/>
      <w:szCs w:val="20"/>
    </w:rPr>
  </w:style>
  <w:style w:type="table" w:customStyle="1" w:styleId="150">
    <w:name w:val="常规"/>
    <w:basedOn w:val="48"/>
    <w:qFormat/>
    <w:uiPriority w:val="0"/>
    <w:pPr>
      <w:keepNext w:val="0"/>
      <w:keepLines w:val="0"/>
      <w:widowControl/>
      <w:suppressLineNumbers w:val="0"/>
      <w:spacing w:before="0" w:beforeAutospacing="0" w:after="0" w:afterAutospacing="0" w:line="276" w:lineRule="auto"/>
      <w:ind w:left="0" w:right="0"/>
      <w:jc w:val="center"/>
    </w:pPr>
    <w:rPr>
      <w:rFonts w:hint="default" w:ascii="Times New Roman" w:hAnsi="Times New Roman" w:eastAsia="宋体" w:cs="Times New Roman"/>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vAlign w:val="center"/>
    </w:tcPr>
    <w:tblStylePr w:type="firstRow">
      <w:rPr>
        <w:rFonts w:hint="default" w:ascii="Times New Roman" w:hAnsi="Times New Roman" w:eastAsia="宋体" w:cs="Times New Roman"/>
        <w:b w:val="0"/>
        <w:sz w:val="21"/>
        <w:szCs w:val="21"/>
      </w:rPr>
    </w:tblStylePr>
  </w:style>
  <w:style w:type="paragraph" w:customStyle="1" w:styleId="151">
    <w:name w:val="表2"/>
    <w:basedOn w:val="1"/>
    <w:next w:val="88"/>
    <w:qFormat/>
    <w:uiPriority w:val="0"/>
    <w:pPr>
      <w:numPr>
        <w:ilvl w:val="0"/>
        <w:numId w:val="6"/>
      </w:numPr>
    </w:pPr>
  </w:style>
  <w:style w:type="character" w:customStyle="1" w:styleId="152">
    <w:name w:val="font71"/>
    <w:basedOn w:val="50"/>
    <w:qFormat/>
    <w:uiPriority w:val="0"/>
    <w:rPr>
      <w:rFonts w:hint="eastAsia" w:ascii="宋体" w:hAnsi="宋体" w:eastAsia="宋体" w:cs="宋体"/>
      <w:color w:val="000000"/>
      <w:sz w:val="20"/>
      <w:szCs w:val="20"/>
      <w:u w:val="none"/>
    </w:rPr>
  </w:style>
  <w:style w:type="paragraph" w:customStyle="1" w:styleId="153">
    <w:name w:val="小节标题"/>
    <w:basedOn w:val="1"/>
    <w:next w:val="154"/>
    <w:qFormat/>
    <w:uiPriority w:val="0"/>
    <w:pPr>
      <w:widowControl/>
      <w:numPr>
        <w:ilvl w:val="0"/>
        <w:numId w:val="7"/>
      </w:numPr>
      <w:tabs>
        <w:tab w:val="clear" w:pos="0"/>
      </w:tabs>
      <w:spacing w:line="360" w:lineRule="auto"/>
      <w:ind w:firstLine="560" w:firstLineChars="200"/>
      <w:jc w:val="left"/>
    </w:pPr>
    <w:rPr>
      <w:rFonts w:hint="eastAsia" w:cs="宋体"/>
      <w:b/>
      <w:bCs/>
      <w:sz w:val="24"/>
      <w:szCs w:val="21"/>
      <w:lang w:bidi="ar"/>
    </w:rPr>
  </w:style>
  <w:style w:type="paragraph" w:customStyle="1" w:styleId="154">
    <w:name w:val="正文小四"/>
    <w:basedOn w:val="1"/>
    <w:qFormat/>
    <w:uiPriority w:val="0"/>
    <w:pPr>
      <w:spacing w:line="360" w:lineRule="auto"/>
      <w:ind w:firstLine="420" w:firstLineChars="200"/>
    </w:pPr>
    <w:rPr>
      <w:rFonts w:ascii="Times New Roman" w:hAnsi="Times New Roman"/>
      <w:sz w:val="24"/>
    </w:rPr>
  </w:style>
  <w:style w:type="paragraph" w:customStyle="1" w:styleId="155">
    <w:name w:val="表1"/>
    <w:basedOn w:val="1"/>
    <w:next w:val="88"/>
    <w:qFormat/>
    <w:uiPriority w:val="0"/>
    <w:pPr>
      <w:numPr>
        <w:ilvl w:val="0"/>
        <w:numId w:val="8"/>
      </w:numPr>
      <w:spacing w:line="360" w:lineRule="auto"/>
      <w:ind w:firstLine="0" w:firstLineChars="0"/>
      <w:jc w:val="center"/>
    </w:pPr>
    <w:rPr>
      <w:b/>
      <w:sz w:val="24"/>
    </w:rPr>
  </w:style>
  <w:style w:type="character" w:customStyle="1" w:styleId="156">
    <w:name w:val="font31"/>
    <w:basedOn w:val="50"/>
    <w:qFormat/>
    <w:uiPriority w:val="0"/>
    <w:rPr>
      <w:rFonts w:hint="eastAsia" w:ascii="宋体" w:hAnsi="宋体" w:eastAsia="宋体" w:cs="宋体"/>
      <w:color w:val="000000"/>
      <w:sz w:val="24"/>
      <w:szCs w:val="24"/>
      <w:u w:val="none"/>
    </w:rPr>
  </w:style>
  <w:style w:type="character" w:customStyle="1" w:styleId="157">
    <w:name w:val="font41"/>
    <w:basedOn w:val="50"/>
    <w:qFormat/>
    <w:uiPriority w:val="0"/>
    <w:rPr>
      <w:rFonts w:hint="eastAsia" w:ascii="宋体" w:hAnsi="宋体" w:eastAsia="宋体" w:cs="宋体"/>
      <w:color w:val="000000"/>
      <w:sz w:val="24"/>
      <w:szCs w:val="24"/>
      <w:u w:val="none"/>
    </w:rPr>
  </w:style>
  <w:style w:type="paragraph" w:customStyle="1" w:styleId="158">
    <w:name w:val="国寰正文"/>
    <w:basedOn w:val="1"/>
    <w:qFormat/>
    <w:uiPriority w:val="0"/>
    <w:pPr>
      <w:adjustRightInd w:val="0"/>
      <w:snapToGrid w:val="0"/>
      <w:spacing w:line="360" w:lineRule="auto"/>
      <w:ind w:firstLine="200" w:firstLineChars="200"/>
    </w:pPr>
    <w:rPr>
      <w:spacing w:val="0"/>
      <w:kern w:val="2"/>
      <w:sz w:val="24"/>
      <w:szCs w:val="24"/>
    </w:rPr>
  </w:style>
  <w:style w:type="character" w:customStyle="1" w:styleId="159">
    <w:name w:val="fontstyle01"/>
    <w:basedOn w:val="50"/>
    <w:qFormat/>
    <w:uiPriority w:val="0"/>
    <w:rPr>
      <w:rFonts w:hint="eastAsia" w:ascii="宋体" w:hAnsi="宋体" w:eastAsia="宋体"/>
      <w:color w:val="000000"/>
      <w:sz w:val="24"/>
      <w:szCs w:val="24"/>
    </w:rPr>
  </w:style>
  <w:style w:type="character" w:customStyle="1" w:styleId="160">
    <w:name w:val="fontstyle11"/>
    <w:basedOn w:val="50"/>
    <w:qFormat/>
    <w:uiPriority w:val="0"/>
    <w:rPr>
      <w:rFonts w:hint="default" w:ascii="Times New Roman" w:hAnsi="Times New Roman" w:cs="Times New Roman"/>
      <w:color w:val="000000"/>
      <w:sz w:val="24"/>
      <w:szCs w:val="24"/>
    </w:rPr>
  </w:style>
  <w:style w:type="paragraph" w:customStyle="1" w:styleId="161">
    <w:name w:val="附图附件"/>
    <w:basedOn w:val="1"/>
    <w:qFormat/>
    <w:uiPriority w:val="0"/>
    <w:pPr>
      <w:spacing w:line="240" w:lineRule="auto"/>
      <w:jc w:val="center"/>
      <w:outlineLvl w:val="0"/>
    </w:pPr>
  </w:style>
  <w:style w:type="character" w:customStyle="1" w:styleId="162">
    <w:name w:val="fontstyle21"/>
    <w:qFormat/>
    <w:uiPriority w:val="0"/>
    <w:rPr>
      <w:rFonts w:hint="default" w:ascii="Times New Roman" w:hAnsi="Times New Roman" w:cs="Times New Roman"/>
      <w:color w:val="000000"/>
      <w:sz w:val="24"/>
      <w:szCs w:val="24"/>
    </w:rPr>
  </w:style>
  <w:style w:type="paragraph" w:customStyle="1" w:styleId="163">
    <w:name w:val="6-正文"/>
    <w:basedOn w:val="1"/>
    <w:qFormat/>
    <w:uiPriority w:val="0"/>
    <w:rPr>
      <w:szCs w:val="28"/>
    </w:rPr>
  </w:style>
  <w:style w:type="character" w:customStyle="1" w:styleId="164">
    <w:name w:val="font112"/>
    <w:basedOn w:val="50"/>
    <w:qFormat/>
    <w:uiPriority w:val="0"/>
    <w:rPr>
      <w:rFonts w:hint="eastAsia" w:ascii="宋体" w:hAnsi="宋体" w:eastAsia="宋体" w:cs="宋体"/>
      <w:color w:val="000000"/>
      <w:sz w:val="20"/>
      <w:szCs w:val="20"/>
      <w:u w:val="none"/>
    </w:rPr>
  </w:style>
  <w:style w:type="character" w:customStyle="1" w:styleId="165">
    <w:name w:val="font81"/>
    <w:basedOn w:val="50"/>
    <w:qFormat/>
    <w:uiPriority w:val="0"/>
    <w:rPr>
      <w:rFonts w:hint="default" w:ascii="Times New Roman" w:hAnsi="Times New Roman" w:cs="Times New Roman"/>
      <w:b/>
      <w:bCs/>
      <w:color w:val="FF0000"/>
      <w:sz w:val="21"/>
      <w:szCs w:val="21"/>
      <w:u w:val="none"/>
      <w:vertAlign w:val="superscript"/>
    </w:rPr>
  </w:style>
  <w:style w:type="character" w:customStyle="1" w:styleId="166">
    <w:name w:val="font91"/>
    <w:basedOn w:val="50"/>
    <w:qFormat/>
    <w:uiPriority w:val="0"/>
    <w:rPr>
      <w:rFonts w:hint="eastAsia" w:ascii="宋体" w:hAnsi="宋体" w:eastAsia="宋体" w:cs="宋体"/>
      <w:b/>
      <w:bCs/>
      <w:color w:val="000000"/>
      <w:sz w:val="21"/>
      <w:szCs w:val="21"/>
      <w:u w:val="none"/>
    </w:rPr>
  </w:style>
  <w:style w:type="character" w:customStyle="1" w:styleId="167">
    <w:name w:val="font101"/>
    <w:basedOn w:val="50"/>
    <w:qFormat/>
    <w:uiPriority w:val="0"/>
    <w:rPr>
      <w:rFonts w:hint="eastAsia" w:ascii="宋体" w:hAnsi="宋体" w:eastAsia="宋体" w:cs="宋体"/>
      <w:color w:val="FF0000"/>
      <w:sz w:val="21"/>
      <w:szCs w:val="21"/>
      <w:u w:val="none"/>
    </w:rPr>
  </w:style>
  <w:style w:type="character" w:customStyle="1" w:styleId="168">
    <w:name w:val="font51"/>
    <w:basedOn w:val="50"/>
    <w:qFormat/>
    <w:uiPriority w:val="0"/>
    <w:rPr>
      <w:rFonts w:hint="eastAsia" w:ascii="宋体" w:hAnsi="宋体" w:eastAsia="宋体" w:cs="宋体"/>
      <w:b/>
      <w:bCs/>
      <w:color w:val="000000"/>
      <w:sz w:val="21"/>
      <w:szCs w:val="21"/>
      <w:u w:val="none"/>
    </w:rPr>
  </w:style>
  <w:style w:type="character" w:customStyle="1" w:styleId="169">
    <w:name w:val="font61"/>
    <w:basedOn w:val="50"/>
    <w:qFormat/>
    <w:uiPriority w:val="0"/>
    <w:rPr>
      <w:rFonts w:hint="default" w:ascii="Times New Roman" w:hAnsi="Times New Roman" w:cs="Times New Roman"/>
      <w:b/>
      <w:bCs/>
      <w:color w:val="000000"/>
      <w:sz w:val="21"/>
      <w:szCs w:val="21"/>
      <w:u w:val="none"/>
      <w:vertAlign w:val="superscript"/>
    </w:rPr>
  </w:style>
  <w:style w:type="character" w:customStyle="1" w:styleId="170">
    <w:name w:val="font111"/>
    <w:basedOn w:val="50"/>
    <w:qFormat/>
    <w:uiPriority w:val="0"/>
    <w:rPr>
      <w:rFonts w:hint="eastAsia" w:ascii="宋体" w:hAnsi="宋体" w:eastAsia="宋体" w:cs="宋体"/>
      <w:color w:val="FF0000"/>
      <w:sz w:val="21"/>
      <w:szCs w:val="21"/>
      <w:u w:val="none"/>
    </w:rPr>
  </w:style>
  <w:style w:type="character" w:customStyle="1" w:styleId="171">
    <w:name w:val="font122"/>
    <w:basedOn w:val="50"/>
    <w:qFormat/>
    <w:uiPriority w:val="0"/>
    <w:rPr>
      <w:rFonts w:hint="default" w:ascii="Times New Roman" w:hAnsi="Times New Roman" w:cs="Times New Roman"/>
      <w:color w:val="000000"/>
      <w:sz w:val="21"/>
      <w:szCs w:val="21"/>
      <w:u w:val="none"/>
    </w:rPr>
  </w:style>
  <w:style w:type="character" w:customStyle="1" w:styleId="172">
    <w:name w:val="font131"/>
    <w:basedOn w:val="50"/>
    <w:qFormat/>
    <w:uiPriority w:val="0"/>
    <w:rPr>
      <w:rFonts w:hint="eastAsia" w:ascii="宋体" w:hAnsi="宋体" w:eastAsia="宋体" w:cs="宋体"/>
      <w:color w:val="FF0000"/>
      <w:sz w:val="21"/>
      <w:szCs w:val="21"/>
      <w:u w:val="none"/>
    </w:rPr>
  </w:style>
  <w:style w:type="paragraph" w:customStyle="1" w:styleId="173">
    <w:name w:val="报告表小标题"/>
    <w:basedOn w:val="1"/>
    <w:qFormat/>
    <w:uiPriority w:val="0"/>
    <w:pPr>
      <w:spacing w:before="100" w:beforeAutospacing="1" w:line="360" w:lineRule="auto"/>
    </w:pPr>
    <w:rPr>
      <w:b/>
      <w:sz w:val="24"/>
    </w:rPr>
  </w:style>
  <w:style w:type="paragraph" w:customStyle="1" w:styleId="174">
    <w:name w:val="J-表格标题+图片标题（5号+居中）"/>
    <w:basedOn w:val="1"/>
    <w:qFormat/>
    <w:uiPriority w:val="0"/>
    <w:pPr>
      <w:jc w:val="center"/>
    </w:pPr>
    <w:rPr>
      <w:b/>
      <w:sz w:val="21"/>
      <w:szCs w:val="21"/>
    </w:rPr>
  </w:style>
  <w:style w:type="paragraph" w:customStyle="1" w:styleId="175">
    <w:name w:val="表格内容1"/>
    <w:basedOn w:val="1"/>
    <w:qFormat/>
    <w:uiPriority w:val="0"/>
    <w:pPr>
      <w:adjustRightInd w:val="0"/>
      <w:snapToGrid w:val="0"/>
      <w:spacing w:before="15" w:beforeLines="15" w:after="15" w:afterLines="15" w:line="300" w:lineRule="exact"/>
      <w:jc w:val="center"/>
    </w:pPr>
    <w:rPr>
      <w:kern w:val="0"/>
    </w:rPr>
  </w:style>
  <w:style w:type="paragraph" w:customStyle="1" w:styleId="176">
    <w:name w:val="（一）"/>
    <w:basedOn w:val="1"/>
    <w:qFormat/>
    <w:uiPriority w:val="0"/>
    <w:pPr>
      <w:numPr>
        <w:ilvl w:val="0"/>
        <w:numId w:val="9"/>
      </w:numPr>
      <w:spacing w:line="400" w:lineRule="exact"/>
    </w:pPr>
    <w:rPr>
      <w:b/>
      <w:sz w:val="24"/>
    </w:rPr>
  </w:style>
  <w:style w:type="paragraph" w:customStyle="1" w:styleId="177">
    <w:name w:val="正文~"/>
    <w:basedOn w:val="1"/>
    <w:qFormat/>
    <w:uiPriority w:val="0"/>
    <w:pPr>
      <w:spacing w:line="360" w:lineRule="auto"/>
      <w:ind w:firstLine="177" w:firstLineChars="177"/>
    </w:pPr>
  </w:style>
  <w:style w:type="character" w:customStyle="1" w:styleId="178">
    <w:name w:val="font12"/>
    <w:basedOn w:val="50"/>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69.jpeg"/><Relationship Id="rId98" Type="http://schemas.openxmlformats.org/officeDocument/2006/relationships/image" Target="media/image68.jpeg"/><Relationship Id="rId97" Type="http://schemas.openxmlformats.org/officeDocument/2006/relationships/image" Target="media/image67.jpeg"/><Relationship Id="rId96" Type="http://schemas.openxmlformats.org/officeDocument/2006/relationships/image" Target="media/image66.jpeg"/><Relationship Id="rId95" Type="http://schemas.openxmlformats.org/officeDocument/2006/relationships/image" Target="media/image65.jpeg"/><Relationship Id="rId94" Type="http://schemas.openxmlformats.org/officeDocument/2006/relationships/image" Target="media/image64.jpeg"/><Relationship Id="rId93" Type="http://schemas.openxmlformats.org/officeDocument/2006/relationships/image" Target="media/image63.jpeg"/><Relationship Id="rId92" Type="http://schemas.openxmlformats.org/officeDocument/2006/relationships/image" Target="media/image62.jpeg"/><Relationship Id="rId91" Type="http://schemas.openxmlformats.org/officeDocument/2006/relationships/image" Target="media/image61.jpeg"/><Relationship Id="rId90" Type="http://schemas.openxmlformats.org/officeDocument/2006/relationships/image" Target="media/image60.png"/><Relationship Id="rId9" Type="http://schemas.openxmlformats.org/officeDocument/2006/relationships/footer" Target="footer4.xml"/><Relationship Id="rId89" Type="http://schemas.openxmlformats.org/officeDocument/2006/relationships/image" Target="media/image59.jpeg"/><Relationship Id="rId88" Type="http://schemas.openxmlformats.org/officeDocument/2006/relationships/image" Target="media/image58.jpeg"/><Relationship Id="rId87" Type="http://schemas.openxmlformats.org/officeDocument/2006/relationships/image" Target="media/image57.jpeg"/><Relationship Id="rId86" Type="http://schemas.openxmlformats.org/officeDocument/2006/relationships/image" Target="media/image56.jpeg"/><Relationship Id="rId85" Type="http://schemas.openxmlformats.org/officeDocument/2006/relationships/image" Target="media/image55.png"/><Relationship Id="rId84" Type="http://schemas.openxmlformats.org/officeDocument/2006/relationships/image" Target="media/image54.jpeg"/><Relationship Id="rId83" Type="http://schemas.openxmlformats.org/officeDocument/2006/relationships/image" Target="media/image53.jpeg"/><Relationship Id="rId82" Type="http://schemas.openxmlformats.org/officeDocument/2006/relationships/image" Target="media/image52.png"/><Relationship Id="rId81" Type="http://schemas.openxmlformats.org/officeDocument/2006/relationships/image" Target="media/image51.jpeg"/><Relationship Id="rId80" Type="http://schemas.openxmlformats.org/officeDocument/2006/relationships/image" Target="media/image50.png"/><Relationship Id="rId8" Type="http://schemas.openxmlformats.org/officeDocument/2006/relationships/header" Target="header3.xml"/><Relationship Id="rId79" Type="http://schemas.openxmlformats.org/officeDocument/2006/relationships/image" Target="media/image49.jpeg"/><Relationship Id="rId78" Type="http://schemas.openxmlformats.org/officeDocument/2006/relationships/image" Target="media/image48.jpeg"/><Relationship Id="rId77" Type="http://schemas.openxmlformats.org/officeDocument/2006/relationships/image" Target="media/image47.png"/><Relationship Id="rId76" Type="http://schemas.openxmlformats.org/officeDocument/2006/relationships/image" Target="media/image46.jpeg"/><Relationship Id="rId75" Type="http://schemas.openxmlformats.org/officeDocument/2006/relationships/image" Target="media/image45.png"/><Relationship Id="rId74" Type="http://schemas.openxmlformats.org/officeDocument/2006/relationships/image" Target="media/image44.png"/><Relationship Id="rId73" Type="http://schemas.openxmlformats.org/officeDocument/2006/relationships/image" Target="media/image43.jpeg"/><Relationship Id="rId72" Type="http://schemas.openxmlformats.org/officeDocument/2006/relationships/image" Target="media/image42.jpeg"/><Relationship Id="rId71" Type="http://schemas.openxmlformats.org/officeDocument/2006/relationships/image" Target="media/image41.jpeg"/><Relationship Id="rId70" Type="http://schemas.openxmlformats.org/officeDocument/2006/relationships/image" Target="media/image40.jpeg"/><Relationship Id="rId7" Type="http://schemas.openxmlformats.org/officeDocument/2006/relationships/footer" Target="footer3.xml"/><Relationship Id="rId69" Type="http://schemas.openxmlformats.org/officeDocument/2006/relationships/image" Target="media/image39.jpeg"/><Relationship Id="rId68" Type="http://schemas.openxmlformats.org/officeDocument/2006/relationships/image" Target="media/image38.png"/><Relationship Id="rId67" Type="http://schemas.openxmlformats.org/officeDocument/2006/relationships/image" Target="media/image37.png"/><Relationship Id="rId66" Type="http://schemas.openxmlformats.org/officeDocument/2006/relationships/image" Target="media/image36.jpeg"/><Relationship Id="rId65" Type="http://schemas.openxmlformats.org/officeDocument/2006/relationships/image" Target="media/image35.png"/><Relationship Id="rId64" Type="http://schemas.openxmlformats.org/officeDocument/2006/relationships/image" Target="media/image34.jpeg"/><Relationship Id="rId63" Type="http://schemas.openxmlformats.org/officeDocument/2006/relationships/image" Target="media/image33.jpeg"/><Relationship Id="rId62" Type="http://schemas.openxmlformats.org/officeDocument/2006/relationships/image" Target="media/image32.jpeg"/><Relationship Id="rId61" Type="http://schemas.openxmlformats.org/officeDocument/2006/relationships/image" Target="media/image31.jpeg"/><Relationship Id="rId60" Type="http://schemas.openxmlformats.org/officeDocument/2006/relationships/image" Target="media/image30.jpeg"/><Relationship Id="rId6" Type="http://schemas.openxmlformats.org/officeDocument/2006/relationships/footer" Target="footer2.xml"/><Relationship Id="rId59" Type="http://schemas.openxmlformats.org/officeDocument/2006/relationships/image" Target="media/image29.png"/><Relationship Id="rId58" Type="http://schemas.openxmlformats.org/officeDocument/2006/relationships/image" Target="media/image28.bmp"/><Relationship Id="rId57" Type="http://schemas.openxmlformats.org/officeDocument/2006/relationships/image" Target="media/image27.png"/><Relationship Id="rId56" Type="http://schemas.openxmlformats.org/officeDocument/2006/relationships/image" Target="media/image26.jpeg"/><Relationship Id="rId55" Type="http://schemas.openxmlformats.org/officeDocument/2006/relationships/image" Target="media/image25.png"/><Relationship Id="rId54" Type="http://schemas.openxmlformats.org/officeDocument/2006/relationships/image" Target="media/image24.png"/><Relationship Id="rId53" Type="http://schemas.openxmlformats.org/officeDocument/2006/relationships/image" Target="media/image23.png"/><Relationship Id="rId52" Type="http://schemas.openxmlformats.org/officeDocument/2006/relationships/image" Target="media/image22.jpeg"/><Relationship Id="rId51" Type="http://schemas.openxmlformats.org/officeDocument/2006/relationships/image" Target="media/image21.jpeg"/><Relationship Id="rId50" Type="http://schemas.openxmlformats.org/officeDocument/2006/relationships/image" Target="media/image20.jpeg"/><Relationship Id="rId5" Type="http://schemas.openxmlformats.org/officeDocument/2006/relationships/footer" Target="footer1.xml"/><Relationship Id="rId49" Type="http://schemas.openxmlformats.org/officeDocument/2006/relationships/image" Target="media/image19.jpeg"/><Relationship Id="rId48" Type="http://schemas.openxmlformats.org/officeDocument/2006/relationships/image" Target="media/image18.wmf"/><Relationship Id="rId47" Type="http://schemas.openxmlformats.org/officeDocument/2006/relationships/oleObject" Target="embeddings/oleObject12.bin"/><Relationship Id="rId46" Type="http://schemas.openxmlformats.org/officeDocument/2006/relationships/image" Target="media/image17.wmf"/><Relationship Id="rId45" Type="http://schemas.openxmlformats.org/officeDocument/2006/relationships/oleObject" Target="embeddings/oleObject11.bin"/><Relationship Id="rId44" Type="http://schemas.openxmlformats.org/officeDocument/2006/relationships/image" Target="media/image16.wmf"/><Relationship Id="rId43" Type="http://schemas.openxmlformats.org/officeDocument/2006/relationships/oleObject" Target="embeddings/oleObject10.bin"/><Relationship Id="rId42" Type="http://schemas.openxmlformats.org/officeDocument/2006/relationships/image" Target="media/image15.wmf"/><Relationship Id="rId41" Type="http://schemas.openxmlformats.org/officeDocument/2006/relationships/oleObject" Target="embeddings/oleObject9.bin"/><Relationship Id="rId40" Type="http://schemas.openxmlformats.org/officeDocument/2006/relationships/image" Target="media/image14.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13.wmf"/><Relationship Id="rId37" Type="http://schemas.openxmlformats.org/officeDocument/2006/relationships/oleObject" Target="embeddings/oleObject7.bin"/><Relationship Id="rId36" Type="http://schemas.openxmlformats.org/officeDocument/2006/relationships/image" Target="media/image12.png"/><Relationship Id="rId35" Type="http://schemas.openxmlformats.org/officeDocument/2006/relationships/image" Target="media/image11.png"/><Relationship Id="rId34" Type="http://schemas.openxmlformats.org/officeDocument/2006/relationships/image" Target="media/image10.png"/><Relationship Id="rId33" Type="http://schemas.openxmlformats.org/officeDocument/2006/relationships/image" Target="media/image9.wmf"/><Relationship Id="rId32" Type="http://schemas.openxmlformats.org/officeDocument/2006/relationships/oleObject" Target="embeddings/oleObject6.bin"/><Relationship Id="rId31" Type="http://schemas.openxmlformats.org/officeDocument/2006/relationships/image" Target="media/image8.jpeg"/><Relationship Id="rId30" Type="http://schemas.openxmlformats.org/officeDocument/2006/relationships/image" Target="media/image7.e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6.png"/><Relationship Id="rId27" Type="http://schemas.openxmlformats.org/officeDocument/2006/relationships/image" Target="media/image5.emf"/><Relationship Id="rId26" Type="http://schemas.openxmlformats.org/officeDocument/2006/relationships/oleObject" Target="embeddings/oleObject4.bin"/><Relationship Id="rId25" Type="http://schemas.openxmlformats.org/officeDocument/2006/relationships/image" Target="media/image4.wmf"/><Relationship Id="rId24" Type="http://schemas.openxmlformats.org/officeDocument/2006/relationships/oleObject" Target="embeddings/oleObject3.bin"/><Relationship Id="rId23" Type="http://schemas.openxmlformats.org/officeDocument/2006/relationships/image" Target="media/image3.emf"/><Relationship Id="rId22" Type="http://schemas.openxmlformats.org/officeDocument/2006/relationships/oleObject" Target="embeddings/oleObject2.bin"/><Relationship Id="rId21" Type="http://schemas.openxmlformats.org/officeDocument/2006/relationships/image" Target="media/image2.e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jpeg"/><Relationship Id="rId182" Type="http://schemas.openxmlformats.org/officeDocument/2006/relationships/fontTable" Target="fontTable.xml"/><Relationship Id="rId181" Type="http://schemas.openxmlformats.org/officeDocument/2006/relationships/numbering" Target="numbering.xml"/><Relationship Id="rId180" Type="http://schemas.openxmlformats.org/officeDocument/2006/relationships/customXml" Target="../customXml/item1.xml"/><Relationship Id="rId18" Type="http://schemas.openxmlformats.org/officeDocument/2006/relationships/theme" Target="theme/theme1.xml"/><Relationship Id="rId179" Type="http://schemas.openxmlformats.org/officeDocument/2006/relationships/image" Target="media/image149.png"/><Relationship Id="rId178" Type="http://schemas.openxmlformats.org/officeDocument/2006/relationships/image" Target="media/image148.png"/><Relationship Id="rId177" Type="http://schemas.openxmlformats.org/officeDocument/2006/relationships/image" Target="media/image147.jpeg"/><Relationship Id="rId176" Type="http://schemas.openxmlformats.org/officeDocument/2006/relationships/image" Target="media/image146.jpeg"/><Relationship Id="rId175" Type="http://schemas.openxmlformats.org/officeDocument/2006/relationships/image" Target="media/image145.jpeg"/><Relationship Id="rId174" Type="http://schemas.openxmlformats.org/officeDocument/2006/relationships/image" Target="media/image144.jpeg"/><Relationship Id="rId173" Type="http://schemas.openxmlformats.org/officeDocument/2006/relationships/image" Target="media/image143.jpeg"/><Relationship Id="rId172" Type="http://schemas.openxmlformats.org/officeDocument/2006/relationships/image" Target="media/image142.png"/><Relationship Id="rId171" Type="http://schemas.openxmlformats.org/officeDocument/2006/relationships/image" Target="media/image141.png"/><Relationship Id="rId170" Type="http://schemas.openxmlformats.org/officeDocument/2006/relationships/image" Target="media/image140.png"/><Relationship Id="rId17" Type="http://schemas.openxmlformats.org/officeDocument/2006/relationships/footer" Target="footer9.xml"/><Relationship Id="rId169" Type="http://schemas.openxmlformats.org/officeDocument/2006/relationships/image" Target="media/image139.png"/><Relationship Id="rId168" Type="http://schemas.openxmlformats.org/officeDocument/2006/relationships/image" Target="media/image138.png"/><Relationship Id="rId167" Type="http://schemas.openxmlformats.org/officeDocument/2006/relationships/image" Target="media/image137.png"/><Relationship Id="rId166" Type="http://schemas.openxmlformats.org/officeDocument/2006/relationships/image" Target="media/image136.png"/><Relationship Id="rId165" Type="http://schemas.openxmlformats.org/officeDocument/2006/relationships/image" Target="media/image135.png"/><Relationship Id="rId164" Type="http://schemas.openxmlformats.org/officeDocument/2006/relationships/image" Target="media/image134.png"/><Relationship Id="rId163" Type="http://schemas.openxmlformats.org/officeDocument/2006/relationships/image" Target="media/image133.png"/><Relationship Id="rId162" Type="http://schemas.openxmlformats.org/officeDocument/2006/relationships/image" Target="media/image132.png"/><Relationship Id="rId161" Type="http://schemas.openxmlformats.org/officeDocument/2006/relationships/image" Target="media/image131.png"/><Relationship Id="rId160" Type="http://schemas.openxmlformats.org/officeDocument/2006/relationships/image" Target="media/image130.png"/><Relationship Id="rId16" Type="http://schemas.openxmlformats.org/officeDocument/2006/relationships/header" Target="header6.xml"/><Relationship Id="rId159" Type="http://schemas.openxmlformats.org/officeDocument/2006/relationships/image" Target="media/image129.png"/><Relationship Id="rId158" Type="http://schemas.openxmlformats.org/officeDocument/2006/relationships/image" Target="media/image128.png"/><Relationship Id="rId157" Type="http://schemas.openxmlformats.org/officeDocument/2006/relationships/image" Target="media/image127.png"/><Relationship Id="rId156" Type="http://schemas.openxmlformats.org/officeDocument/2006/relationships/image" Target="media/image126.png"/><Relationship Id="rId155" Type="http://schemas.openxmlformats.org/officeDocument/2006/relationships/image" Target="media/image125.png"/><Relationship Id="rId154" Type="http://schemas.openxmlformats.org/officeDocument/2006/relationships/image" Target="media/image124.png"/><Relationship Id="rId153" Type="http://schemas.openxmlformats.org/officeDocument/2006/relationships/image" Target="media/image123.png"/><Relationship Id="rId152" Type="http://schemas.openxmlformats.org/officeDocument/2006/relationships/image" Target="media/image122.png"/><Relationship Id="rId151" Type="http://schemas.openxmlformats.org/officeDocument/2006/relationships/image" Target="media/image121.png"/><Relationship Id="rId150" Type="http://schemas.openxmlformats.org/officeDocument/2006/relationships/image" Target="media/image120.png"/><Relationship Id="rId15" Type="http://schemas.openxmlformats.org/officeDocument/2006/relationships/footer" Target="footer8.xml"/><Relationship Id="rId149" Type="http://schemas.openxmlformats.org/officeDocument/2006/relationships/image" Target="media/image119.png"/><Relationship Id="rId148" Type="http://schemas.openxmlformats.org/officeDocument/2006/relationships/image" Target="media/image118.png"/><Relationship Id="rId147" Type="http://schemas.openxmlformats.org/officeDocument/2006/relationships/image" Target="media/image117.png"/><Relationship Id="rId146" Type="http://schemas.openxmlformats.org/officeDocument/2006/relationships/image" Target="media/image116.png"/><Relationship Id="rId145" Type="http://schemas.openxmlformats.org/officeDocument/2006/relationships/image" Target="media/image115.png"/><Relationship Id="rId144" Type="http://schemas.openxmlformats.org/officeDocument/2006/relationships/image" Target="media/image114.png"/><Relationship Id="rId143" Type="http://schemas.openxmlformats.org/officeDocument/2006/relationships/image" Target="media/image113.png"/><Relationship Id="rId142" Type="http://schemas.openxmlformats.org/officeDocument/2006/relationships/image" Target="media/image112.png"/><Relationship Id="rId141" Type="http://schemas.openxmlformats.org/officeDocument/2006/relationships/image" Target="media/image111.png"/><Relationship Id="rId140" Type="http://schemas.openxmlformats.org/officeDocument/2006/relationships/image" Target="media/image110.png"/><Relationship Id="rId14" Type="http://schemas.openxmlformats.org/officeDocument/2006/relationships/header" Target="header5.xml"/><Relationship Id="rId139" Type="http://schemas.openxmlformats.org/officeDocument/2006/relationships/image" Target="media/image109.png"/><Relationship Id="rId138" Type="http://schemas.openxmlformats.org/officeDocument/2006/relationships/image" Target="media/image108.png"/><Relationship Id="rId137" Type="http://schemas.openxmlformats.org/officeDocument/2006/relationships/image" Target="media/image107.png"/><Relationship Id="rId136" Type="http://schemas.openxmlformats.org/officeDocument/2006/relationships/image" Target="media/image106.png"/><Relationship Id="rId135" Type="http://schemas.openxmlformats.org/officeDocument/2006/relationships/image" Target="media/image105.png"/><Relationship Id="rId134" Type="http://schemas.openxmlformats.org/officeDocument/2006/relationships/image" Target="media/image104.png"/><Relationship Id="rId133" Type="http://schemas.openxmlformats.org/officeDocument/2006/relationships/image" Target="media/image103.png"/><Relationship Id="rId132" Type="http://schemas.openxmlformats.org/officeDocument/2006/relationships/image" Target="media/image102.png"/><Relationship Id="rId131" Type="http://schemas.openxmlformats.org/officeDocument/2006/relationships/image" Target="media/image101.png"/><Relationship Id="rId130" Type="http://schemas.openxmlformats.org/officeDocument/2006/relationships/image" Target="media/image100.png"/><Relationship Id="rId13" Type="http://schemas.openxmlformats.org/officeDocument/2006/relationships/header" Target="header4.xml"/><Relationship Id="rId129" Type="http://schemas.openxmlformats.org/officeDocument/2006/relationships/image" Target="media/image99.png"/><Relationship Id="rId128" Type="http://schemas.openxmlformats.org/officeDocument/2006/relationships/image" Target="media/image98.png"/><Relationship Id="rId127" Type="http://schemas.openxmlformats.org/officeDocument/2006/relationships/image" Target="media/image97.png"/><Relationship Id="rId126" Type="http://schemas.openxmlformats.org/officeDocument/2006/relationships/image" Target="media/image96.png"/><Relationship Id="rId125" Type="http://schemas.openxmlformats.org/officeDocument/2006/relationships/image" Target="media/image95.png"/><Relationship Id="rId124" Type="http://schemas.openxmlformats.org/officeDocument/2006/relationships/image" Target="media/image94.png"/><Relationship Id="rId123" Type="http://schemas.openxmlformats.org/officeDocument/2006/relationships/image" Target="media/image93.png"/><Relationship Id="rId122" Type="http://schemas.openxmlformats.org/officeDocument/2006/relationships/image" Target="media/image92.png"/><Relationship Id="rId121" Type="http://schemas.openxmlformats.org/officeDocument/2006/relationships/image" Target="media/image91.png"/><Relationship Id="rId120" Type="http://schemas.openxmlformats.org/officeDocument/2006/relationships/image" Target="media/image90.png"/><Relationship Id="rId12" Type="http://schemas.openxmlformats.org/officeDocument/2006/relationships/footer" Target="footer7.xml"/><Relationship Id="rId119" Type="http://schemas.openxmlformats.org/officeDocument/2006/relationships/image" Target="media/image89.png"/><Relationship Id="rId118" Type="http://schemas.openxmlformats.org/officeDocument/2006/relationships/image" Target="media/image88.png"/><Relationship Id="rId117" Type="http://schemas.openxmlformats.org/officeDocument/2006/relationships/image" Target="media/image87.png"/><Relationship Id="rId116" Type="http://schemas.openxmlformats.org/officeDocument/2006/relationships/image" Target="media/image86.png"/><Relationship Id="rId115" Type="http://schemas.openxmlformats.org/officeDocument/2006/relationships/image" Target="media/image85.png"/><Relationship Id="rId114" Type="http://schemas.openxmlformats.org/officeDocument/2006/relationships/image" Target="media/image84.png"/><Relationship Id="rId113" Type="http://schemas.openxmlformats.org/officeDocument/2006/relationships/image" Target="media/image83.png"/><Relationship Id="rId112" Type="http://schemas.openxmlformats.org/officeDocument/2006/relationships/image" Target="media/image82.png"/><Relationship Id="rId111" Type="http://schemas.openxmlformats.org/officeDocument/2006/relationships/image" Target="media/image81.png"/><Relationship Id="rId110" Type="http://schemas.openxmlformats.org/officeDocument/2006/relationships/image" Target="media/image80.png"/><Relationship Id="rId11" Type="http://schemas.openxmlformats.org/officeDocument/2006/relationships/footer" Target="footer6.xml"/><Relationship Id="rId109" Type="http://schemas.openxmlformats.org/officeDocument/2006/relationships/image" Target="media/image79.png"/><Relationship Id="rId108" Type="http://schemas.openxmlformats.org/officeDocument/2006/relationships/image" Target="media/image78.png"/><Relationship Id="rId107" Type="http://schemas.openxmlformats.org/officeDocument/2006/relationships/image" Target="media/image77.png"/><Relationship Id="rId106" Type="http://schemas.openxmlformats.org/officeDocument/2006/relationships/image" Target="media/image76.png"/><Relationship Id="rId105" Type="http://schemas.openxmlformats.org/officeDocument/2006/relationships/image" Target="media/image75.png"/><Relationship Id="rId104" Type="http://schemas.openxmlformats.org/officeDocument/2006/relationships/image" Target="media/image74.png"/><Relationship Id="rId103" Type="http://schemas.openxmlformats.org/officeDocument/2006/relationships/image" Target="media/image73.jpeg"/><Relationship Id="rId102" Type="http://schemas.openxmlformats.org/officeDocument/2006/relationships/image" Target="media/image72.jpeg"/><Relationship Id="rId101" Type="http://schemas.openxmlformats.org/officeDocument/2006/relationships/image" Target="media/image71.jpeg"/><Relationship Id="rId100" Type="http://schemas.openxmlformats.org/officeDocument/2006/relationships/image" Target="media/image70.jpeg"/><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276</Pages>
  <Words>18881</Words>
  <Characters>20126</Characters>
  <Lines>353</Lines>
  <Paragraphs>99</Paragraphs>
  <TotalTime>1</TotalTime>
  <ScaleCrop>false</ScaleCrop>
  <LinksUpToDate>false</LinksUpToDate>
  <CharactersWithSpaces>20257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＇夜归郎＇</cp:lastModifiedBy>
  <cp:lastPrinted>2021-03-31T08:31:00Z</cp:lastPrinted>
  <dcterms:modified xsi:type="dcterms:W3CDTF">2026-10-16T06:45:21Z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DBD0E132BC7441B4AA26D24F36243B5D_13</vt:lpwstr>
  </property>
  <property fmtid="{D5CDD505-2E9C-101B-9397-08002B2CF9AE}" pid="4" name="KSOTemplateDocerSaveRecord">
    <vt:lpwstr>eyJoZGlkIjoiZjdjMmQwNzZhNTFhMjFkZmQ0OThlNzhhYjlmZjg3YmIiLCJ1c2VySWQiOiIzNTExNzk0NTAifQ==</vt:lpwstr>
  </property>
</Properties>
</file>